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FB8C" w14:textId="7E513AD4" w:rsidR="00637822" w:rsidRDefault="00D81C1B">
      <w:pPr>
        <w:pStyle w:val="Heading1"/>
      </w:pPr>
      <w:r>
        <w:t>WRitten Report</w:t>
      </w:r>
    </w:p>
    <w:p w14:paraId="48BBB05C" w14:textId="60A1065B" w:rsidR="00D81C1B" w:rsidRDefault="00D81C1B">
      <w:r>
        <w:t>Author: Stephen Loucel</w:t>
      </w:r>
    </w:p>
    <w:p w14:paraId="1F6AA4B1" w14:textId="7EB263BE" w:rsidR="00D81C1B" w:rsidRDefault="00D81C1B">
      <w:r>
        <w:t>Date: Saturday, March 30th</w:t>
      </w:r>
    </w:p>
    <w:p w14:paraId="400C0EC0" w14:textId="1E817F3F" w:rsidR="00637822" w:rsidRDefault="00D81C1B">
      <w:pPr>
        <w:pStyle w:val="Heading2"/>
      </w:pPr>
      <w:r>
        <w:t>Questions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338"/>
        <w:gridCol w:w="9551"/>
        <w:gridCol w:w="335"/>
      </w:tblGrid>
      <w:tr w:rsidR="00D81C1B" w:rsidRPr="00D81C1B" w14:paraId="0365B9F2" w14:textId="77777777" w:rsidTr="00D81C1B">
        <w:trPr>
          <w:trHeight w:val="320"/>
        </w:trPr>
        <w:tc>
          <w:tcPr>
            <w:tcW w:w="102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623D" w14:textId="77777777" w:rsidR="00D81C1B" w:rsidRPr="00D81C1B" w:rsidRDefault="00D81C1B" w:rsidP="00D81C1B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2B2B2B"/>
                <w:lang w:eastAsia="en-US"/>
              </w:rPr>
            </w:pPr>
            <w:r w:rsidRPr="00D81C1B">
              <w:rPr>
                <w:rFonts w:ascii="Arial" w:eastAsia="Times New Roman" w:hAnsi="Arial" w:cs="Arial"/>
                <w:b/>
                <w:bCs/>
                <w:color w:val="2B2B2B"/>
                <w:lang w:eastAsia="en-US"/>
              </w:rPr>
              <w:t>1. Given the provided data, what are three conclusions that we can draw about crowdfunding campaigns?</w:t>
            </w:r>
          </w:p>
        </w:tc>
      </w:tr>
      <w:tr w:rsidR="00D81C1B" w:rsidRPr="00D81C1B" w14:paraId="63F31F74" w14:textId="77777777" w:rsidTr="00D81C1B">
        <w:trPr>
          <w:gridAfter w:val="1"/>
          <w:wAfter w:w="335" w:type="dxa"/>
          <w:trHeight w:val="320"/>
        </w:trPr>
        <w:tc>
          <w:tcPr>
            <w:tcW w:w="9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4559" w14:textId="77777777" w:rsidR="00D81C1B" w:rsidRPr="00D81C1B" w:rsidRDefault="00D81C1B" w:rsidP="00D81C1B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On average 36% of campaigns will fail, while 57% of campaigns will be successful.</w:t>
            </w:r>
          </w:p>
        </w:tc>
      </w:tr>
      <w:tr w:rsidR="00D81C1B" w:rsidRPr="00D81C1B" w14:paraId="4FF6E637" w14:textId="77777777" w:rsidTr="00D81C1B">
        <w:trPr>
          <w:gridAfter w:val="1"/>
          <w:wAfter w:w="335" w:type="dxa"/>
          <w:trHeight w:val="320"/>
        </w:trPr>
        <w:tc>
          <w:tcPr>
            <w:tcW w:w="9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11A0" w14:textId="31285BCF" w:rsidR="00D81C1B" w:rsidRPr="00D81C1B" w:rsidRDefault="00D81C1B" w:rsidP="00D81C1B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The three most popular funding campaigns are Theater, followed by film and video, then by Music.  Of the three, Film &amp; Video and Music are slightly more successful that theater campaigns by 2-3 percentage point.  Of categories that had more than 50 </w:t>
            </w: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campaigns</w:t>
            </w: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, Technology had the most successful campaigns at 67%.</w:t>
            </w:r>
          </w:p>
        </w:tc>
      </w:tr>
      <w:tr w:rsidR="00D81C1B" w:rsidRPr="00D81C1B" w14:paraId="44244E30" w14:textId="77777777" w:rsidTr="00D81C1B">
        <w:trPr>
          <w:gridAfter w:val="1"/>
          <w:wAfter w:w="335" w:type="dxa"/>
          <w:trHeight w:val="320"/>
        </w:trPr>
        <w:tc>
          <w:tcPr>
            <w:tcW w:w="9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3B07" w14:textId="77777777" w:rsidR="00D81C1B" w:rsidRPr="00D81C1B" w:rsidRDefault="00D81C1B" w:rsidP="00D81C1B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Campaigns were more likely to be successful in June and July (as seen in Outcomes by Month), and if you fundraised between $15,000 and $35,000 (as seen in Outcomes by Goal)</w:t>
            </w:r>
          </w:p>
        </w:tc>
      </w:tr>
      <w:tr w:rsidR="00D81C1B" w:rsidRPr="00D81C1B" w14:paraId="48BF630C" w14:textId="77777777" w:rsidTr="00D81C1B">
        <w:trPr>
          <w:trHeight w:val="32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6EB0" w14:textId="77777777" w:rsidR="00D81C1B" w:rsidRPr="00D81C1B" w:rsidRDefault="00D81C1B" w:rsidP="00D81C1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8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3B50" w14:textId="77777777" w:rsidR="00D81C1B" w:rsidRPr="00D81C1B" w:rsidRDefault="00D81C1B" w:rsidP="00D81C1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D81C1B" w:rsidRPr="00D81C1B" w14:paraId="65F5E1B6" w14:textId="77777777" w:rsidTr="00D81C1B">
        <w:trPr>
          <w:trHeight w:val="320"/>
        </w:trPr>
        <w:tc>
          <w:tcPr>
            <w:tcW w:w="102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AE48" w14:textId="77777777" w:rsidR="00D81C1B" w:rsidRPr="00D81C1B" w:rsidRDefault="00D81C1B" w:rsidP="00D81C1B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2B2B2B"/>
                <w:lang w:eastAsia="en-US"/>
              </w:rPr>
            </w:pPr>
            <w:r w:rsidRPr="00D81C1B">
              <w:rPr>
                <w:rFonts w:ascii="Arial" w:eastAsia="Times New Roman" w:hAnsi="Arial" w:cs="Arial"/>
                <w:b/>
                <w:bCs/>
                <w:color w:val="2B2B2B"/>
                <w:lang w:eastAsia="en-US"/>
              </w:rPr>
              <w:t>2. What are some limitations of this dataset?</w:t>
            </w:r>
          </w:p>
        </w:tc>
      </w:tr>
      <w:tr w:rsidR="00D81C1B" w:rsidRPr="00D81C1B" w14:paraId="5B2AFA77" w14:textId="77777777" w:rsidTr="00D81C1B">
        <w:trPr>
          <w:gridAfter w:val="1"/>
          <w:wAfter w:w="335" w:type="dxa"/>
          <w:trHeight w:val="320"/>
        </w:trPr>
        <w:tc>
          <w:tcPr>
            <w:tcW w:w="9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93D3" w14:textId="77777777" w:rsidR="00D81C1B" w:rsidRPr="00D81C1B" w:rsidRDefault="00D81C1B" w:rsidP="00D81C1B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The campaigns had different durations between the start of the campaign vs end of campaign. </w:t>
            </w:r>
          </w:p>
        </w:tc>
      </w:tr>
      <w:tr w:rsidR="00D81C1B" w:rsidRPr="00D81C1B" w14:paraId="5CC8D20E" w14:textId="77777777" w:rsidTr="00D81C1B">
        <w:trPr>
          <w:gridAfter w:val="1"/>
          <w:wAfter w:w="335" w:type="dxa"/>
          <w:trHeight w:val="320"/>
        </w:trPr>
        <w:tc>
          <w:tcPr>
            <w:tcW w:w="9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F571" w14:textId="2218FACE" w:rsidR="00D81C1B" w:rsidRPr="00D81C1B" w:rsidRDefault="00D81C1B" w:rsidP="00D81C1B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Not enough </w:t>
            </w: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drill</w:t>
            </w: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-down for Theater on what kind of Plays are more successful than others. </w:t>
            </w:r>
          </w:p>
        </w:tc>
      </w:tr>
      <w:tr w:rsidR="00D81C1B" w:rsidRPr="00D81C1B" w14:paraId="023D7329" w14:textId="77777777" w:rsidTr="00D81C1B">
        <w:trPr>
          <w:gridAfter w:val="1"/>
          <w:wAfter w:w="335" w:type="dxa"/>
          <w:trHeight w:val="320"/>
        </w:trPr>
        <w:tc>
          <w:tcPr>
            <w:tcW w:w="9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7AF8" w14:textId="77777777" w:rsidR="00D81C1B" w:rsidRPr="00D81C1B" w:rsidRDefault="00D81C1B" w:rsidP="00D81C1B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The success of campaigns could be influenced by </w:t>
            </w:r>
            <w:proofErr w:type="spellStart"/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macro economic</w:t>
            </w:r>
            <w:proofErr w:type="spellEnd"/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trends.  Moreover, it would be nice to see other factors like gender, age, and annual pay to get an idea of the demographics of campaign donors. </w:t>
            </w:r>
          </w:p>
        </w:tc>
      </w:tr>
      <w:tr w:rsidR="00D81C1B" w:rsidRPr="00D81C1B" w14:paraId="4908513B" w14:textId="77777777" w:rsidTr="00D81C1B">
        <w:trPr>
          <w:trHeight w:val="32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9123" w14:textId="77777777" w:rsidR="00D81C1B" w:rsidRPr="00D81C1B" w:rsidRDefault="00D81C1B" w:rsidP="00D81C1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8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A9C2" w14:textId="77777777" w:rsidR="00D81C1B" w:rsidRPr="00D81C1B" w:rsidRDefault="00D81C1B" w:rsidP="00D81C1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D81C1B" w:rsidRPr="00D81C1B" w14:paraId="15C5575E" w14:textId="77777777" w:rsidTr="00D81C1B">
        <w:trPr>
          <w:trHeight w:val="320"/>
        </w:trPr>
        <w:tc>
          <w:tcPr>
            <w:tcW w:w="102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2640" w14:textId="77777777" w:rsidR="00D81C1B" w:rsidRPr="00D81C1B" w:rsidRDefault="00D81C1B" w:rsidP="00D81C1B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2B2B2B"/>
                <w:lang w:eastAsia="en-US"/>
              </w:rPr>
            </w:pPr>
            <w:r w:rsidRPr="00D81C1B">
              <w:rPr>
                <w:rFonts w:ascii="Arial" w:eastAsia="Times New Roman" w:hAnsi="Arial" w:cs="Arial"/>
                <w:b/>
                <w:bCs/>
                <w:color w:val="2B2B2B"/>
                <w:lang w:eastAsia="en-US"/>
              </w:rPr>
              <w:t>3. What are some other possible tables and/or graphs that we could create, and what additional value would they provide?</w:t>
            </w:r>
          </w:p>
        </w:tc>
      </w:tr>
      <w:tr w:rsidR="00D81C1B" w:rsidRPr="00D81C1B" w14:paraId="1CDBF0C0" w14:textId="77777777" w:rsidTr="00D81C1B">
        <w:trPr>
          <w:gridAfter w:val="1"/>
          <w:wAfter w:w="338" w:type="dxa"/>
          <w:trHeight w:val="320"/>
        </w:trPr>
        <w:tc>
          <w:tcPr>
            <w:tcW w:w="98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1582" w14:textId="68999E27" w:rsidR="00D81C1B" w:rsidRPr="00D81C1B" w:rsidRDefault="00D81C1B" w:rsidP="00D81C1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Find the delta between the number of days of the campaign was </w:t>
            </w: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open and</w:t>
            </w: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see if there is a correlation between # days open and success.</w:t>
            </w:r>
          </w:p>
        </w:tc>
      </w:tr>
      <w:tr w:rsidR="00D81C1B" w:rsidRPr="00D81C1B" w14:paraId="708F1388" w14:textId="77777777" w:rsidTr="00D81C1B">
        <w:trPr>
          <w:gridAfter w:val="1"/>
          <w:wAfter w:w="338" w:type="dxa"/>
          <w:trHeight w:val="320"/>
        </w:trPr>
        <w:tc>
          <w:tcPr>
            <w:tcW w:w="98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EEFC" w14:textId="77777777" w:rsidR="00D81C1B" w:rsidRPr="00D81C1B" w:rsidRDefault="00D81C1B" w:rsidP="00D81C1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Compare US success rates vs international success rates. </w:t>
            </w:r>
          </w:p>
        </w:tc>
      </w:tr>
      <w:tr w:rsidR="00D81C1B" w:rsidRPr="00D81C1B" w14:paraId="754F94F0" w14:textId="77777777" w:rsidTr="00D81C1B">
        <w:trPr>
          <w:gridAfter w:val="1"/>
          <w:wAfter w:w="338" w:type="dxa"/>
          <w:trHeight w:val="320"/>
        </w:trPr>
        <w:tc>
          <w:tcPr>
            <w:tcW w:w="98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B063" w14:textId="77777777" w:rsidR="00D81C1B" w:rsidRPr="00D81C1B" w:rsidRDefault="00D81C1B" w:rsidP="00D81C1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1C1B">
              <w:rPr>
                <w:rFonts w:ascii="Calibri" w:eastAsia="Times New Roman" w:hAnsi="Calibri" w:cs="Calibri"/>
                <w:color w:val="000000"/>
                <w:lang w:eastAsia="en-US"/>
              </w:rPr>
              <w:t>Of Music campaigns, see what genre is most popular.</w:t>
            </w:r>
          </w:p>
        </w:tc>
      </w:tr>
    </w:tbl>
    <w:p w14:paraId="0D9F6D6C" w14:textId="77777777" w:rsidR="00D81C1B" w:rsidRPr="00D81C1B" w:rsidRDefault="00D81C1B" w:rsidP="00D81C1B"/>
    <w:p w14:paraId="119570A2" w14:textId="1CA97A58" w:rsidR="00637822" w:rsidRDefault="00637822" w:rsidP="00D81C1B">
      <w:pPr>
        <w:pStyle w:val="ListBullet"/>
        <w:numPr>
          <w:ilvl w:val="0"/>
          <w:numId w:val="0"/>
        </w:numPr>
        <w:ind w:left="936"/>
      </w:pPr>
    </w:p>
    <w:sectPr w:rsidR="00637822">
      <w:footerReference w:type="default" r:id="rId7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FC1E" w14:textId="77777777" w:rsidR="00CD31B6" w:rsidRDefault="00CD31B6">
      <w:pPr>
        <w:spacing w:before="0" w:after="0" w:line="240" w:lineRule="auto"/>
      </w:pPr>
      <w:r>
        <w:separator/>
      </w:r>
    </w:p>
    <w:p w14:paraId="2E2CD1DB" w14:textId="77777777" w:rsidR="00CD31B6" w:rsidRDefault="00CD31B6"/>
  </w:endnote>
  <w:endnote w:type="continuationSeparator" w:id="0">
    <w:p w14:paraId="08A671D3" w14:textId="77777777" w:rsidR="00CD31B6" w:rsidRDefault="00CD31B6">
      <w:pPr>
        <w:spacing w:before="0" w:after="0" w:line="240" w:lineRule="auto"/>
      </w:pPr>
      <w:r>
        <w:continuationSeparator/>
      </w:r>
    </w:p>
    <w:p w14:paraId="74696831" w14:textId="77777777" w:rsidR="00CD31B6" w:rsidRDefault="00CD3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5E436" w14:textId="77777777" w:rsidR="0063782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F72A" w14:textId="77777777" w:rsidR="00CD31B6" w:rsidRDefault="00CD31B6">
      <w:pPr>
        <w:spacing w:before="0" w:after="0" w:line="240" w:lineRule="auto"/>
      </w:pPr>
      <w:r>
        <w:separator/>
      </w:r>
    </w:p>
    <w:p w14:paraId="169AEB57" w14:textId="77777777" w:rsidR="00CD31B6" w:rsidRDefault="00CD31B6"/>
  </w:footnote>
  <w:footnote w:type="continuationSeparator" w:id="0">
    <w:p w14:paraId="39CA011A" w14:textId="77777777" w:rsidR="00CD31B6" w:rsidRDefault="00CD31B6">
      <w:pPr>
        <w:spacing w:before="0" w:after="0" w:line="240" w:lineRule="auto"/>
      </w:pPr>
      <w:r>
        <w:continuationSeparator/>
      </w:r>
    </w:p>
    <w:p w14:paraId="15992282" w14:textId="77777777" w:rsidR="00CD31B6" w:rsidRDefault="00CD31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0168D"/>
    <w:multiLevelType w:val="hybridMultilevel"/>
    <w:tmpl w:val="BAD6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005DA"/>
    <w:multiLevelType w:val="hybridMultilevel"/>
    <w:tmpl w:val="5AE2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90C72"/>
    <w:multiLevelType w:val="hybridMultilevel"/>
    <w:tmpl w:val="6264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384830">
    <w:abstractNumId w:val="1"/>
  </w:num>
  <w:num w:numId="2" w16cid:durableId="168251090">
    <w:abstractNumId w:val="3"/>
  </w:num>
  <w:num w:numId="3" w16cid:durableId="218371191">
    <w:abstractNumId w:val="0"/>
  </w:num>
  <w:num w:numId="4" w16cid:durableId="1722556415">
    <w:abstractNumId w:val="5"/>
  </w:num>
  <w:num w:numId="5" w16cid:durableId="1878003806">
    <w:abstractNumId w:val="4"/>
  </w:num>
  <w:num w:numId="6" w16cid:durableId="2051031911">
    <w:abstractNumId w:val="6"/>
  </w:num>
  <w:num w:numId="7" w16cid:durableId="1458375588">
    <w:abstractNumId w:val="2"/>
  </w:num>
  <w:num w:numId="8" w16cid:durableId="618150957">
    <w:abstractNumId w:val="9"/>
  </w:num>
  <w:num w:numId="9" w16cid:durableId="1613168958">
    <w:abstractNumId w:val="8"/>
  </w:num>
  <w:num w:numId="10" w16cid:durableId="232356370">
    <w:abstractNumId w:val="7"/>
  </w:num>
  <w:num w:numId="11" w16cid:durableId="19548991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1B"/>
    <w:rsid w:val="00637822"/>
    <w:rsid w:val="00CD31B6"/>
    <w:rsid w:val="00D8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24DE3A"/>
  <w15:chartTrackingRefBased/>
  <w15:docId w15:val="{4711D427-F402-8242-82C7-06BD416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D8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loucel/Library/Containers/com.microsoft.Word/Data/Library/Application%20Support/Microsoft/Office/16.0/DTS/en-US%7bA1F59CAE-B5FD-A344-A231-833060376BA7%7d/%7b57C50B4B-07AB-7344-8DF8-C2021AC478D8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Loucel</dc:creator>
  <cp:keywords/>
  <dc:description/>
  <cp:lastModifiedBy>Stephen Loucel</cp:lastModifiedBy>
  <cp:revision>1</cp:revision>
  <dcterms:created xsi:type="dcterms:W3CDTF">2024-03-30T23:53:00Z</dcterms:created>
  <dcterms:modified xsi:type="dcterms:W3CDTF">2024-03-30T23:59:00Z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