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C2F3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biased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C2F3E">
        <w:rPr>
          <w:sz w:val="52"/>
          <w:szCs w:val="52"/>
        </w:rPr>
        <w:t>ˈbaɪəst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ə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2F3E" w:rsidRDefault="00EC2F3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C2F3E">
        <w:rPr>
          <w:rFonts w:ascii="Arial Unicode MS" w:eastAsia="Arial Unicode MS" w:hAnsi="Arial Unicode MS" w:cs="Arial Unicode MS"/>
          <w:sz w:val="48"/>
          <w:szCs w:val="48"/>
        </w:rPr>
        <w:t xml:space="preserve">unfairly preferring one person or group over another </w:t>
      </w:r>
    </w:p>
    <w:p w:rsidR="00EC2F3E" w:rsidRDefault="00EC2F3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337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C2F3E" w:rsidP="00EC2F3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C2F3E">
        <w:rPr>
          <w:rFonts w:ascii="Arial Unicode MS" w:eastAsia="Arial Unicode MS" w:hAnsi="Arial Unicode MS" w:cs="Arial Unicode MS"/>
          <w:b/>
          <w:sz w:val="36"/>
          <w:szCs w:val="36"/>
        </w:rPr>
        <w:t>I'm not trying to be biased, I'm just saying that we know ... we actually watched from the very beginning up to this point. She doesn't really come from nowhere.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337B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2F3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2012-08-05T15:09:00Z</dcterms:modified>
</cp:coreProperties>
</file>