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C5B9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enterprise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C5B9C">
        <w:rPr>
          <w:sz w:val="52"/>
          <w:szCs w:val="52"/>
        </w:rPr>
        <w:t>ˈentəpraɪz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C5B9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C5B9C">
        <w:rPr>
          <w:rFonts w:ascii="Arial Unicode MS" w:eastAsia="Arial Unicode MS" w:hAnsi="Arial Unicode MS" w:cs="Arial Unicode MS"/>
          <w:sz w:val="48"/>
          <w:szCs w:val="48"/>
        </w:rPr>
        <w:t>a company, organization, or business</w:t>
      </w:r>
    </w:p>
    <w:p w:rsidR="001C5B9C" w:rsidRDefault="001C5B9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1C5B9C" w:rsidP="001C5B9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C5B9C">
        <w:rPr>
          <w:rFonts w:ascii="Arial Unicode MS" w:eastAsia="Arial Unicode MS" w:hAnsi="Arial Unicode MS" w:cs="Arial Unicode MS"/>
          <w:b/>
          <w:sz w:val="36"/>
          <w:szCs w:val="36"/>
        </w:rPr>
        <w:t>they say they've got 17 per cent debt to GDP, but they exclude from that measures about all the state-owned enterprises</w:t>
      </w:r>
      <w:r w:rsidR="00E1461D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C5B9C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1461D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2012-04-22T16:08:00Z</dcterms:modified>
</cp:coreProperties>
</file>