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512D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powerbroker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2512D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512D1">
        <w:rPr>
          <w:rFonts w:ascii="Arial Unicode MS" w:eastAsia="Arial Unicode MS" w:hAnsi="Arial Unicode MS" w:cs="Arial Unicode MS"/>
          <w:sz w:val="48"/>
          <w:szCs w:val="48"/>
        </w:rPr>
        <w:t>a person who has a strong influence on who has political power in an area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2B3E1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B3E19">
        <w:rPr>
          <w:rFonts w:ascii="Arial Unicode MS" w:eastAsia="Arial Unicode MS" w:hAnsi="Arial Unicode MS" w:cs="Arial Unicode MS"/>
          <w:b/>
          <w:i/>
          <w:sz w:val="44"/>
          <w:szCs w:val="44"/>
        </w:rPr>
        <w:t>Key Communist Party powerbroker sacked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2512D1" w:rsidP="002512D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512D1">
        <w:rPr>
          <w:rFonts w:ascii="Arial Unicode MS" w:eastAsia="Arial Unicode MS" w:hAnsi="Arial Unicode MS" w:cs="Arial Unicode MS"/>
          <w:b/>
          <w:sz w:val="36"/>
          <w:szCs w:val="36"/>
        </w:rPr>
        <w:t>EMMA ALBERICI, PRESENTER: There have been dramatic developments in Chinese politics today with the sacking of a key powerbroker in the upper echelons of the Communist Party.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2D1"/>
    <w:rsid w:val="00251DB2"/>
    <w:rsid w:val="002B3E19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2012-03-20T15:03:00Z</dcterms:modified>
</cp:coreProperties>
</file>