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Miyazaki's Curse.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392947" cy="4757738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2947" cy="4757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Our primal desires as groups and cultures often influence our individual lens of processing reality, the objects/people in it, and our relationship with them.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One can have love for Krishna the way Meera did, or one can submit to Allah without needing a "form", or follow Ram as the model man.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One can collect wisdom through gurus who first drove social change, and then became warriors- and consider the book itself a living entity or one can be devoted to a person who bore the burden of humanity's sins.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changes our language. It changes our mind. It changes our eyes. It changes how receptive we are to seeing what we have never seen.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Miyazaki wanted to point out how flawed our anthropocentric view of the world is through his messages about war and environmentalism.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Difficult emotions turned, unfamiliar points of view, twisted- and no change was achieved.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Other than a nostalgic feeling of magical fantasy- and a reminder of childhood.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Environmental nostalgia if you may.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Only the common myths survive transition.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Eden, the flood, the thunder gods and the judgement day.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the lives, stories and characters in between - get lost in their uniqueness.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world shall only see and hear you through the language of the myths it already knows.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can't watch. It can't listen.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does what it does to survive.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 when you're challenging ideas, myths, language and culture.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You're challenging survival.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 beautiful as your challenge may be.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 important, as your challenge may be.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real challenge always is making it appeal to the existing idea of survival.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That is the only way one myth, wins over another.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Miyazaki's Curse is not merely "loss in translation" as a linguist or language enthusiast would describe it.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Miyazaki's curse extends beyond.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It is the inability of a point of view to be understood as is, for the lack of a common code of survival, Object-Subject relationship, and meaning system together.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It is not a loss in translation. It is morphed in translation.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