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2053" w:rsidRDefault="00962053" w:rsidP="00962053">
      <w:pPr>
        <w:jc w:val="center"/>
      </w:pPr>
      <w:bookmarkStart w:id="0" w:name="_GoBack"/>
      <w:r w:rsidRPr="00962053">
        <w:t>PESSCARA: An Example Infrastructure for Big Data Research</w:t>
      </w:r>
    </w:p>
    <w:bookmarkEnd w:id="0"/>
    <w:p w:rsidR="00B423BB" w:rsidRDefault="001D7A26">
      <w:r>
        <w:t xml:space="preserve">We have built a Platform to Enable Sharing of Scientific Computing Algorithms and Research Assets (PESSCARA) that has enabled us to perform ‘Big Data’ style research using imaging, clinical, and genomic data. Unique aspects of this system include the use of a content management system to allow a much more flexible tagging system for adding information to other data. It also is designed in a way that makes it feasible to do queries for images at various levels, including the individual image level, the series (exam component) level, exam level, subject level, and project level. </w:t>
      </w:r>
    </w:p>
    <w:p w:rsidR="001D7A26" w:rsidRDefault="001D7A26">
      <w:r>
        <w:t xml:space="preserve">The system currently has about 6000 imaging examinations on about 700 subjects, with each examination typically consisting of 7 series, and 1000 images. We have clinical and genomic information on all subjects. The system has enabled us to develop cohorts based on genomic properties, clinical properties, image metadata properties, and image/pixel properties. </w:t>
      </w:r>
    </w:p>
    <w:p w:rsidR="001D7A26" w:rsidRDefault="001D7A26">
      <w:r>
        <w:t>The chapter would include a description of the system, the design decisions made in developing the system, a description of how to use the system, and some examples of how we have used it. We would also describe ways the system might also be used for non-imaging applications, and how we are planning to extend the system to better leverage workflow engine technology, workflow provenance, and high performance computing.</w:t>
      </w:r>
    </w:p>
    <w:p w:rsidR="001D7A26" w:rsidRDefault="001D7A26"/>
    <w:sectPr w:rsidR="001D7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7A26"/>
    <w:rsid w:val="001D7A26"/>
    <w:rsid w:val="00962053"/>
    <w:rsid w:val="00B42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213</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Mayo Clinic</Company>
  <LinksUpToDate>false</LinksUpToDate>
  <CharactersWithSpaces>1426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Bradley J Erickson</dc:creator>
  <cp:lastModifiedBy>Bradley J Erickson</cp:lastModifiedBy>
  <cp:revision>2</cp:revision>
  <dcterms:created xsi:type="dcterms:W3CDTF">2015-10-16T16:35:00Z</dcterms:created>
  <dcterms:modified xsi:type="dcterms:W3CDTF">2015-10-19T12:55:00Z</dcterms:modified>
</cp:coreProperties>
</file>