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spacing w:after="100"/>
        <w:jc w:val="center"/>
      </w:pPr>
      <w:r>
        <w:rPr>
          <w:rFonts w:ascii="Calibri" w:cs="Calibri" w:eastAsia="Calibri" w:hAnsi="Calibri"/>
          <w:b/>
          <w:bCs/>
          <w:color w:val="1F3864"/>
          <w:sz w:val="26"/>
          <w:szCs w:val="26"/>
        </w:rPr>
        <w:t xml:space="preserve">CENTRE HOSPITALO-UNIVERSITAIRE LA RABTA</w:t>
      </w:r>
    </w:p>
    <w:p>
      <w:pPr>
        <w:spacing w:after="500"/>
        <w:jc w:val="center"/>
      </w:pPr>
      <w:r>
        <w:rPr>
          <w:rFonts w:ascii="Calibri" w:cs="Calibri" w:eastAsia="Calibri" w:hAnsi="Calibri"/>
          <w:color w:val="555555"/>
          <w:sz w:val="24"/>
          <w:szCs w:val="24"/>
        </w:rPr>
        <w:t xml:space="preserve">Consultation N° INF01/2026 — 2ᵉ publication</w:t>
      </w:r>
    </w:p>
    <w:p>
      <w:pPr>
        <w:pBdr>
          <w:top w:val="single" w:color="2E74B5" w:sz="12" w:space="12"/>
          <w:bottom w:val="single" w:color="2E74B5" w:sz="12" w:space="12"/>
        </w:pBdr>
        <w:spacing w:after="120"/>
        <w:jc w:val="center"/>
      </w:pPr>
      <w:r>
        <w:rPr>
          <w:rFonts w:ascii="Calibri" w:cs="Calibri" w:eastAsia="Calibri" w:hAnsi="Calibri"/>
          <w:b/>
          <w:bCs/>
          <w:color w:val="1F3864"/>
          <w:sz w:val="50"/>
          <w:szCs w:val="50"/>
        </w:rPr>
        <w:t xml:space="preserve">FICHES DE RÉPONSE</w:t>
      </w:r>
    </w:p>
    <w:p>
      <w:pPr>
        <w:spacing w:after="80" w:before="260"/>
        <w:jc w:val="center"/>
      </w:pPr>
      <w:r>
        <w:rPr>
          <w:rFonts w:ascii="Calibri" w:cs="Calibri" w:eastAsia="Calibri" w:hAnsi="Calibri"/>
          <w:sz w:val="26"/>
          <w:szCs w:val="26"/>
        </w:rPr>
        <w:t xml:space="preserve">aux caractéristiques techniques minimales exigées</w:t>
      </w:r>
    </w:p>
    <w:p>
      <w:pPr>
        <w:spacing w:after="900"/>
        <w:jc w:val="center"/>
      </w:pPr>
      <w:r>
        <w:rPr>
          <w:rFonts w:ascii="Calibri" w:cs="Calibri" w:eastAsia="Calibri" w:hAnsi="Calibri"/>
          <w:b/>
          <w:bCs/>
          <w:color w:val="2E74B5"/>
          <w:sz w:val="26"/>
          <w:szCs w:val="26"/>
        </w:rPr>
        <w:t xml:space="preserve">Système de pointage biométrique — Fiches N° 1 à N° 6</w:t>
      </w:r>
    </w:p>
    <w:p>
      <w:pPr>
        <w:spacing w:after="60"/>
        <w:jc w:val="center"/>
      </w:pPr>
      <w:r>
        <w:rPr>
          <w:rFonts w:ascii="Calibri" w:cs="Calibri" w:eastAsia="Calibri" w:hAnsi="Calibri"/>
          <w:i/>
          <w:iCs/>
          <w:color w:val="777777"/>
          <w:sz w:val="22"/>
          <w:szCs w:val="22"/>
        </w:rPr>
        <w:t xml:space="preserve">Présenté par</w:t>
      </w:r>
    </w:p>
    <w:p>
      <w:pPr>
        <w:spacing w:after="60"/>
        <w:jc w:val="center"/>
      </w:pPr>
      <w:r>
        <w:rPr>
          <w:rFonts w:ascii="Calibri" w:cs="Calibri" w:eastAsia="Calibri" w:hAnsi="Calibri"/>
          <w:b/>
          <w:bCs/>
          <w:color w:val="1F3864"/>
          <w:sz w:val="34"/>
          <w:szCs w:val="34"/>
        </w:rPr>
        <w:t xml:space="preserve">HIKVIEW ENGINEERING</w:t>
      </w:r>
    </w:p>
    <w:p>
      <w:pPr>
        <w:spacing w:after="40"/>
        <w:jc w:val="center"/>
      </w:pPr>
      <w:r>
        <w:rPr>
          <w:rFonts w:ascii="Calibri" w:cs="Calibri" w:eastAsia="Calibri" w:hAnsi="Calibri"/>
          <w:sz w:val="21"/>
          <w:szCs w:val="21"/>
        </w:rPr>
        <w:t xml:space="preserve">Rue Marroc, 1250 Sbeitla — Kasserine, Tunisie</w:t>
      </w:r>
    </w:p>
    <w:p>
      <w:pPr>
        <w:spacing w:after="1000"/>
        <w:jc w:val="center"/>
      </w:pPr>
      <w:r>
        <w:rPr>
          <w:rFonts w:ascii="Calibri" w:cs="Calibri" w:eastAsia="Calibri" w:hAnsi="Calibri"/>
          <w:sz w:val="21"/>
          <w:szCs w:val="21"/>
        </w:rPr>
        <w:t xml:space="preserve">Matricule fiscal : 1667878 K</w:t>
      </w:r>
    </w:p>
    <w:p>
      <w:pPr>
        <w:jc w:val="center"/>
      </w:pPr>
      <w:r>
        <w:rPr>
          <w:rFonts w:ascii="Calibri" w:cs="Calibri" w:eastAsia="Calibri" w:hAnsi="Calibri"/>
          <w:i/>
          <w:iCs/>
          <w:color w:val="C00000"/>
          <w:sz w:val="20"/>
          <w:szCs w:val="20"/>
        </w:rPr>
        <w:t xml:space="preserve">Document à parapher sur chaque page, daté, signé et cacheté à la fin</w:t>
      </w:r>
    </w:p>
    <w:p>
      <w:r>
        <w:br w:type="page"/>
      </w:r>
    </w:p>
    <w:p>
      <w:pPr>
        <w:pStyle w:val="Heading1"/>
        <w:spacing w:after="180" w:before="320"/>
      </w:pPr>
      <w:r>
        <w:rPr>
          <w:rFonts w:ascii="Calibri" w:cs="Calibri" w:eastAsia="Calibri" w:hAnsi="Calibri"/>
          <w:b/>
          <w:bCs/>
          <w:color w:val="1F3864"/>
          <w:sz w:val="30"/>
          <w:szCs w:val="30"/>
        </w:rPr>
        <w:t xml:space="preserve">Note préliminaire</w:t>
      </w:r>
    </w:p>
    <w:p>
      <w:pPr>
        <w:spacing w:after="120" w:before="0" w:line="276"/>
      </w:pPr>
      <w:r>
        <w:rPr>
          <w:rFonts w:ascii="Calibri" w:cs="Calibri" w:eastAsia="Calibri" w:hAnsi="Calibri"/>
          <w:sz w:val="22"/>
          <w:szCs w:val="22"/>
        </w:rPr>
        <w:t xml:space="preserve">Les fiches ci-après reprennent intégralement les caractéristiques minimales exigées par le cahier des clauses techniques particulières. La troisième colonne présente les spécifications techniques proposées par HIKVIEW ENGINEERING ainsi que la référence du justificatif joint à l'offre technique.</w:t>
      </w:r>
    </w:p>
    <w:p>
      <w:pPr>
        <w:spacing w:after="120" w:before="0" w:line="276"/>
      </w:pPr>
      <w:r>
        <w:rPr>
          <w:rFonts w:ascii="Calibri" w:cs="Calibri" w:eastAsia="Calibri" w:hAnsi="Calibri"/>
          <w:i/>
          <w:iCs/>
          <w:sz w:val="22"/>
          <w:szCs w:val="22"/>
        </w:rPr>
        <w:t xml:space="preserve">Les zones signalées par des pointillés (………) doivent être complétées à la main ou par saisie avant le dépôt, une fois la marque et le modèle définitivement arrêtés et les documentations constructeur (Product Data) réunies.</w:t>
      </w:r>
    </w:p>
    <w:p>
      <w:pPr>
        <w:spacing w:after="120" w:before="0" w:line="276"/>
      </w:pPr>
      <w:r>
        <w:rPr>
          <w:rFonts w:ascii="Calibri" w:cs="Calibri" w:eastAsia="Calibri" w:hAnsi="Calibri"/>
          <w:sz w:val="22"/>
          <w:szCs w:val="22"/>
        </w:rPr>
        <w:t xml:space="preserve"/>
      </w:r>
    </w:p>
    <w:p>
      <w:pPr>
        <w:spacing w:after="120" w:before="0" w:line="276"/>
      </w:pPr>
      <w:r>
        <w:rPr>
          <w:rFonts w:ascii="Calibri" w:cs="Calibri" w:eastAsia="Calibri" w:hAnsi="Calibri"/>
          <w:b/>
          <w:bCs/>
          <w:sz w:val="22"/>
          <w:szCs w:val="22"/>
        </w:rPr>
        <w:t xml:space="preserve">Références des justificatifs joints à l'offre technique :</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1500"/>
        <w:gridCol w:w="7400"/>
      </w:tblGrid>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PJ-01</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Fiche technique constructeur de la pointeuse biométrique (Product Data original)</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PJ-02</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Fiche technique constructeur du serveur (Product Data original)</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PJ-03</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Fiche descriptive et conditions de licence du logiciel de gestion</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PJ-04</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Fiche technique du câble U/UTP catégorie 6 et certificat de conformité aux normes</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PJ-05</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Fiche technique des cordons de brassage U/UTP catégorie 6</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PJ-06</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Fiches techniques des accessoires de cheminement et du module d'alimentation de secours</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PJ-07</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Certificat ISO 9001 en cours de validité du fabricant des terminaux</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PJ-08</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Certificats de conformité aux normes (CE / FCC / RoHS) des équipements proposés</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PJ-09</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Attestations et lettres de garantie constructeur — 5 ans matériel passif, 1 an matériel actif</w:t>
            </w:r>
          </w:p>
        </w:tc>
      </w:tr>
      <w:tr>
        <w:tc>
          <w:tcPr>
            <w:tcW w:type="dxa" w:w="15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PJ-10</w:t>
            </w:r>
          </w:p>
        </w:tc>
        <w:tc>
          <w:tcPr>
            <w:tcW w:type="dxa" w:w="7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Document type « Plan de recollement avec repérage » et registre électronique de repérage et de certification</w:t>
            </w:r>
          </w:p>
        </w:tc>
      </w:tr>
    </w:tbl>
    <w:p>
      <w:r>
        <w:br w:type="page"/>
      </w:r>
    </w:p>
    <w:p>
      <w:pPr>
        <w:pStyle w:val="Heading1"/>
        <w:spacing w:after="180" w:before="320"/>
      </w:pPr>
      <w:r>
        <w:rPr>
          <w:rFonts w:ascii="Calibri" w:cs="Calibri" w:eastAsia="Calibri" w:hAnsi="Calibri"/>
          <w:b/>
          <w:bCs/>
          <w:color w:val="1F3864"/>
          <w:sz w:val="30"/>
          <w:szCs w:val="30"/>
        </w:rPr>
        <w:t xml:space="preserve">Fiche n° 1 — Pointeuse biométrique</w:t>
      </w:r>
    </w:p>
    <w:p>
      <w:pPr>
        <w:spacing w:after="120" w:before="0" w:line="276"/>
      </w:pPr>
      <w:r>
        <w:rPr>
          <w:rFonts w:ascii="Calibri" w:cs="Calibri" w:eastAsia="Calibri" w:hAnsi="Calibri"/>
          <w:b/>
          <w:bCs/>
          <w:sz w:val="22"/>
          <w:szCs w:val="22"/>
        </w:rPr>
        <w:t xml:space="preserve">Quantité : 25 unités</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2300"/>
        <w:gridCol w:w="3200"/>
        <w:gridCol w:w="3400"/>
      </w:tblGrid>
      <w:tr>
        <w:tc>
          <w:tcPr>
            <w:tcW w:type="dxa" w:w="23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1"/>
                <w:szCs w:val="21"/>
              </w:rPr>
              <w:t xml:space="preserve">FICHE DES CARACTÉRISTIQUES N° 1</w:t>
            </w:r>
          </w:p>
        </w:tc>
        <w:tc>
          <w:tcPr>
            <w:tcW w:type="dxa" w:w="32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1"/>
                <w:szCs w:val="21"/>
              </w:rPr>
              <w:t xml:space="preserve">Pointeuse biométrique</w:t>
            </w:r>
          </w:p>
        </w:tc>
        <w:tc>
          <w:tcPr>
            <w:tcW w:type="dxa" w:w="3400"/>
            <w:shd w:fill="1F3864"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3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w:t>
            </w:r>
          </w:p>
        </w:tc>
        <w:tc>
          <w:tcPr>
            <w:tcW w:type="dxa" w:w="32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Valeur minimale exigée</w:t>
            </w:r>
          </w:p>
        </w:tc>
        <w:tc>
          <w:tcPr>
            <w:tcW w:type="dxa" w:w="34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Spécifications techniques proposées et Référence des justificatifs</w:t>
            </w:r>
          </w:p>
        </w:tc>
      </w:tr>
      <w:tr>
        <w:tc>
          <w:tcPr>
            <w:tcW w:type="dxa" w:w="2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color w:val="1F3864"/>
                <w:sz w:val="20"/>
                <w:szCs w:val="20"/>
              </w:rPr>
              <w:t xml:space="preserve">Identification</w:t>
            </w:r>
          </w:p>
        </w:tc>
        <w:tc>
          <w:tcPr>
            <w:tcW w:type="dxa" w:w="32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Marque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ZKTeco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Modèle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SpeedFace-V5L  — version avec capteur d'empreinte et module carte multi-technologies bi-fréquence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Pays d'origine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(réf. PJ-01)</w:t>
            </w:r>
          </w:p>
        </w:tc>
      </w:tr>
      <w:tr>
        <w:tc>
          <w:tcPr>
            <w:tcW w:type="dxa" w:w="2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color w:val="1F3864"/>
                <w:sz w:val="20"/>
                <w:szCs w:val="20"/>
              </w:rPr>
              <w:t xml:space="preserve">Caractéristiques techniques</w:t>
            </w:r>
          </w:p>
        </w:tc>
        <w:tc>
          <w:tcPr>
            <w:tcW w:type="dxa" w:w="32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Technologie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Utilisation de cartes ou badges RFID (Radio Frequency Identification).</w:t>
            </w:r>
          </w:p>
          <w:p>
            <w:pPr>
              <w:spacing w:after="0" w:line="252"/>
            </w:pPr>
            <w:r>
              <w:rPr>
                <w:rFonts w:ascii="Calibri" w:cs="Calibri" w:eastAsia="Calibri" w:hAnsi="Calibri"/>
                <w:b w:val="false"/>
                <w:bCs w:val="false"/>
                <w:sz w:val="20"/>
                <w:szCs w:val="20"/>
              </w:rPr>
              <w:t xml:space="preserve">• Utilisation d'empreintes digitales, de reconnaissance faciale.</w:t>
            </w:r>
          </w:p>
          <w:p>
            <w:pPr>
              <w:spacing w:after="0" w:line="252"/>
            </w:pPr>
            <w:r>
              <w:rPr>
                <w:rFonts w:ascii="Calibri" w:cs="Calibri" w:eastAsia="Calibri" w:hAnsi="Calibri"/>
                <w:b w:val="false"/>
                <w:bCs w:val="false"/>
                <w:sz w:val="20"/>
                <w:szCs w:val="20"/>
              </w:rPr>
              <w:t xml:space="preserve">• Utilisation de code d'accès.</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Terminal multimodal assurant les quatre modes :</w:t>
            </w:r>
          </w:p>
          <w:p>
            <w:pPr>
              <w:spacing w:after="0" w:line="252"/>
            </w:pPr>
            <w:r>
              <w:rPr>
                <w:rFonts w:ascii="Calibri" w:cs="Calibri" w:eastAsia="Calibri" w:hAnsi="Calibri"/>
                <w:b w:val="false"/>
                <w:bCs w:val="false"/>
                <w:color w:val="1F3864"/>
                <w:sz w:val="20"/>
                <w:szCs w:val="20"/>
              </w:rPr>
              <w:t xml:space="preserve">• Badge RFID (module multi-technologies) ;</w:t>
            </w:r>
          </w:p>
          <w:p>
            <w:pPr>
              <w:spacing w:after="0" w:line="252"/>
            </w:pPr>
            <w:r>
              <w:rPr>
                <w:rFonts w:ascii="Calibri" w:cs="Calibri" w:eastAsia="Calibri" w:hAnsi="Calibri"/>
                <w:b w:val="false"/>
                <w:bCs w:val="false"/>
                <w:color w:val="1F3864"/>
                <w:sz w:val="20"/>
                <w:szCs w:val="20"/>
              </w:rPr>
              <w:t xml:space="preserve">• Empreinte digitale (capteur optique intégré) ;</w:t>
            </w:r>
          </w:p>
          <w:p>
            <w:pPr>
              <w:spacing w:after="0" w:line="252"/>
            </w:pPr>
            <w:r>
              <w:rPr>
                <w:rFonts w:ascii="Calibri" w:cs="Calibri" w:eastAsia="Calibri" w:hAnsi="Calibri"/>
                <w:b w:val="false"/>
                <w:bCs w:val="false"/>
                <w:color w:val="1F3864"/>
                <w:sz w:val="20"/>
                <w:szCs w:val="20"/>
              </w:rPr>
              <w:t xml:space="preserve">• Reconnaissance faciale (caméra binoculaire 2 MP WDR) ;</w:t>
            </w:r>
          </w:p>
          <w:p>
            <w:pPr>
              <w:spacing w:after="0" w:line="252"/>
            </w:pPr>
            <w:r>
              <w:rPr>
                <w:rFonts w:ascii="Calibri" w:cs="Calibri" w:eastAsia="Calibri" w:hAnsi="Calibri"/>
                <w:b w:val="false"/>
                <w:bCs w:val="false"/>
                <w:color w:val="1F3864"/>
                <w:sz w:val="20"/>
                <w:szCs w:val="20"/>
              </w:rPr>
              <w:t xml:space="preserve">• Code d'accès (PIN) sur clavier tactile.</w:t>
            </w:r>
          </w:p>
          <w:p>
            <w:pPr>
              <w:spacing w:after="0" w:line="252"/>
            </w:pPr>
            <w:r>
              <w:rPr>
                <w:rFonts w:ascii="Calibri" w:cs="Calibri" w:eastAsia="Calibri" w:hAnsi="Calibri"/>
                <w:b w:val="false"/>
                <w:bCs w:val="false"/>
                <w:color w:val="1F3864"/>
                <w:sz w:val="20"/>
                <w:szCs w:val="20"/>
              </w:rPr>
              <w:t xml:space="preserve">Les modes sont utilisables seuls ou combinés en authentification multifacteur.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Fréquence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Fonctionnement à des fréquences standard (125 kHz, 13.56 MHz).</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Module carte multi-technologies bi-fréquence :</w:t>
            </w:r>
          </w:p>
          <w:p>
            <w:pPr>
              <w:spacing w:after="0" w:line="252"/>
            </w:pPr>
            <w:r>
              <w:rPr>
                <w:rFonts w:ascii="Calibri" w:cs="Calibri" w:eastAsia="Calibri" w:hAnsi="Calibri"/>
                <w:b w:val="false"/>
                <w:bCs w:val="false"/>
                <w:color w:val="1F3864"/>
                <w:sz w:val="20"/>
                <w:szCs w:val="20"/>
              </w:rPr>
              <w:t xml:space="preserve">• 125 kHz : cartes EM / ID ;</w:t>
            </w:r>
          </w:p>
          <w:p>
            <w:pPr>
              <w:spacing w:after="0" w:line="252"/>
            </w:pPr>
            <w:r>
              <w:rPr>
                <w:rFonts w:ascii="Calibri" w:cs="Calibri" w:eastAsia="Calibri" w:hAnsi="Calibri"/>
                <w:b w:val="false"/>
                <w:bCs w:val="false"/>
                <w:color w:val="1F3864"/>
                <w:sz w:val="20"/>
                <w:szCs w:val="20"/>
              </w:rPr>
              <w:t xml:space="preserve">• 13,56 MHz : Mifare, Mifare Plus, DESFire EV1/EV2.</w:t>
            </w:r>
          </w:p>
          <w:p>
            <w:pPr>
              <w:spacing w:after="0" w:line="252"/>
            </w:pPr>
            <w:r>
              <w:rPr>
                <w:rFonts w:ascii="Calibri" w:cs="Calibri" w:eastAsia="Calibri" w:hAnsi="Calibri"/>
                <w:b w:val="false"/>
                <w:bCs w:val="false"/>
                <w:color w:val="1F3864"/>
                <w:sz w:val="20"/>
                <w:szCs w:val="20"/>
              </w:rPr>
              <w:t xml:space="preserve">Les deux fréquences sont opérationnelles simultanément sur le même terminal.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Capteurs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Capteurs optiques, capacitifs ou ultrasoniques pour la lecture des empreintes.</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Capteur d'empreinte optique haute résolution intégré au terminal, associé à un algorithme de reconnaissance de dernière génération.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Distance de lecture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Lecture à une distance variable (généralement de 5 à 10 cm).</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w:t>
            </w:r>
          </w:p>
          <w:p>
            <w:pPr>
              <w:spacing w:after="0" w:line="252"/>
            </w:pPr>
            <w:r>
              <w:rPr>
                <w:rFonts w:ascii="Calibri" w:cs="Calibri" w:eastAsia="Calibri" w:hAnsi="Calibri"/>
                <w:b w:val="false"/>
                <w:bCs w:val="false"/>
                <w:color w:val="1F3864"/>
                <w:sz w:val="20"/>
                <w:szCs w:val="20"/>
              </w:rPr>
              <w:t xml:space="preserve">• Badge RFID : 3 à 8 cm ;</w:t>
            </w:r>
          </w:p>
          <w:p>
            <w:pPr>
              <w:spacing w:after="0" w:line="252"/>
            </w:pPr>
            <w:r>
              <w:rPr>
                <w:rFonts w:ascii="Calibri" w:cs="Calibri" w:eastAsia="Calibri" w:hAnsi="Calibri"/>
                <w:b w:val="false"/>
                <w:bCs w:val="false"/>
                <w:color w:val="1F3864"/>
                <w:sz w:val="20"/>
                <w:szCs w:val="20"/>
              </w:rPr>
              <w:t xml:space="preserve">• Empreinte : contact sur capteur ;</w:t>
            </w:r>
          </w:p>
          <w:p>
            <w:pPr>
              <w:spacing w:after="0" w:line="252"/>
            </w:pPr>
            <w:r>
              <w:rPr>
                <w:rFonts w:ascii="Calibri" w:cs="Calibri" w:eastAsia="Calibri" w:hAnsi="Calibri"/>
                <w:b w:val="false"/>
                <w:bCs w:val="false"/>
                <w:color w:val="1F3864"/>
                <w:sz w:val="20"/>
                <w:szCs w:val="20"/>
              </w:rPr>
              <w:t xml:space="preserve">• Visage : 30 cm à 1,70 m (sans contact).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Temps de vérification</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Identification rapide en quelques secondes</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et supérieur à l'exigence —</w:t>
            </w:r>
          </w:p>
          <w:p>
            <w:pPr>
              <w:spacing w:after="0" w:line="252"/>
            </w:pPr>
            <w:r>
              <w:rPr>
                <w:rFonts w:ascii="Calibri" w:cs="Calibri" w:eastAsia="Calibri" w:hAnsi="Calibri"/>
                <w:b w:val="false"/>
                <w:bCs w:val="false"/>
                <w:color w:val="1F3864"/>
                <w:sz w:val="20"/>
                <w:szCs w:val="20"/>
              </w:rPr>
              <w:t xml:space="preserve">• Reconnaissance faciale : &lt; 0,35 seconde ;</w:t>
            </w:r>
          </w:p>
          <w:p>
            <w:pPr>
              <w:spacing w:after="0" w:line="252"/>
            </w:pPr>
            <w:r>
              <w:rPr>
                <w:rFonts w:ascii="Calibri" w:cs="Calibri" w:eastAsia="Calibri" w:hAnsi="Calibri"/>
                <w:b w:val="false"/>
                <w:bCs w:val="false"/>
                <w:color w:val="1F3864"/>
                <w:sz w:val="20"/>
                <w:szCs w:val="20"/>
              </w:rPr>
              <w:t xml:space="preserve">• Empreinte digitale : &lt; 0,5 seconde ;</w:t>
            </w:r>
          </w:p>
          <w:p>
            <w:pPr>
              <w:spacing w:after="0" w:line="252"/>
            </w:pPr>
            <w:r>
              <w:rPr>
                <w:rFonts w:ascii="Calibri" w:cs="Calibri" w:eastAsia="Calibri" w:hAnsi="Calibri"/>
                <w:b w:val="false"/>
                <w:bCs w:val="false"/>
                <w:color w:val="1F3864"/>
                <w:sz w:val="20"/>
                <w:szCs w:val="20"/>
              </w:rPr>
              <w:t xml:space="preserve">• Badge et code : instantané.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Capacité de stockage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Capacité de stocker des milliers de transactions de pointage.</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et largement supérieur —</w:t>
            </w:r>
          </w:p>
          <w:p>
            <w:pPr>
              <w:spacing w:after="0" w:line="252"/>
            </w:pPr>
            <w:r>
              <w:rPr>
                <w:rFonts w:ascii="Calibri" w:cs="Calibri" w:eastAsia="Calibri" w:hAnsi="Calibri"/>
                <w:b w:val="false"/>
                <w:bCs w:val="false"/>
                <w:color w:val="1F3864"/>
                <w:sz w:val="20"/>
                <w:szCs w:val="20"/>
              </w:rPr>
              <w:t xml:space="preserve">• 200 000 transactions de pointage en mémoire locale ;</w:t>
            </w:r>
          </w:p>
          <w:p>
            <w:pPr>
              <w:spacing w:after="0" w:line="252"/>
            </w:pPr>
            <w:r>
              <w:rPr>
                <w:rFonts w:ascii="Calibri" w:cs="Calibri" w:eastAsia="Calibri" w:hAnsi="Calibri"/>
                <w:b w:val="false"/>
                <w:bCs w:val="false"/>
                <w:color w:val="1F3864"/>
                <w:sz w:val="20"/>
                <w:szCs w:val="20"/>
              </w:rPr>
              <w:t xml:space="preserve">• Fonctionnement autonome et sans perte de données en cas de coupure du réseau, avec synchronisation automatique au rétablissement de la liaison.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Batterie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Batterie d'autonomie de 02 heures</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Le terminal est livré avec un module d'alimentation de secours 12 V DC dédié, dimensionné pour assurer une autonomie de fonctionnement d'au moins deux (02) heures en cas de coupure du réseau électrique.</w:t>
            </w:r>
          </w:p>
          <w:p>
            <w:pPr>
              <w:spacing w:after="0" w:line="252"/>
            </w:pPr>
            <w:r>
              <w:rPr>
                <w:rFonts w:ascii="Calibri" w:cs="Calibri" w:eastAsia="Calibri" w:hAnsi="Calibri"/>
                <w:b w:val="false"/>
                <w:bCs w:val="false"/>
                <w:color w:val="1F3864"/>
                <w:sz w:val="20"/>
                <w:szCs w:val="20"/>
              </w:rPr>
              <w:t xml:space="preserve">Un module est fourni et installé pour chacune des 25 pointeuses. Le terminal reste pleinement opérationnel pendant la coupure : identification, enregistrement et affichage.  (réf. PJ-06)</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Interface utilisateur</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Écran LCD pour afficher les informations de pointage</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et supérieur — Écran couleur IPS tactile de 5 pouces (720 × 1280).</w:t>
            </w:r>
          </w:p>
          <w:p>
            <w:pPr>
              <w:spacing w:after="0" w:line="252"/>
            </w:pPr>
            <w:r>
              <w:rPr>
                <w:rFonts w:ascii="Calibri" w:cs="Calibri" w:eastAsia="Calibri" w:hAnsi="Calibri"/>
                <w:b w:val="false"/>
                <w:bCs w:val="false"/>
                <w:color w:val="1F3864"/>
                <w:sz w:val="20"/>
                <w:szCs w:val="20"/>
              </w:rPr>
              <w:t xml:space="preserve">Affichage du nom de l'agent, de la date et de l'heure, du sens du pointage (entrée / sortie) et du résultat de l'identification. Interface disponible en français et en arabe.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Connectivité</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Ports USB, Ethernet, pour la communication avec le logiciel de gestion</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w:t>
            </w:r>
          </w:p>
          <w:p>
            <w:pPr>
              <w:spacing w:after="0" w:line="252"/>
            </w:pPr>
            <w:r>
              <w:rPr>
                <w:rFonts w:ascii="Calibri" w:cs="Calibri" w:eastAsia="Calibri" w:hAnsi="Calibri"/>
                <w:b w:val="false"/>
                <w:bCs w:val="false"/>
                <w:color w:val="1F3864"/>
                <w:sz w:val="20"/>
                <w:szCs w:val="20"/>
              </w:rPr>
              <w:t xml:space="preserve">• Ethernet RJ-45 10/100 Mbps (TCP/IP) — liaison principale avec le logiciel de gestion ;</w:t>
            </w:r>
          </w:p>
          <w:p>
            <w:pPr>
              <w:spacing w:after="0" w:line="252"/>
            </w:pPr>
            <w:r>
              <w:rPr>
                <w:rFonts w:ascii="Calibri" w:cs="Calibri" w:eastAsia="Calibri" w:hAnsi="Calibri"/>
                <w:b w:val="false"/>
                <w:bCs w:val="false"/>
                <w:color w:val="1F3864"/>
                <w:sz w:val="20"/>
                <w:szCs w:val="20"/>
              </w:rPr>
              <w:t xml:space="preserve">• Port USB (hôte) pour l'export local des données de pointage et la mise à jour du micrologiciel ;</w:t>
            </w:r>
          </w:p>
          <w:p>
            <w:pPr>
              <w:spacing w:after="0" w:line="252"/>
            </w:pPr>
            <w:r>
              <w:rPr>
                <w:rFonts w:ascii="Calibri" w:cs="Calibri" w:eastAsia="Calibri" w:hAnsi="Calibri"/>
                <w:b w:val="false"/>
                <w:bCs w:val="false"/>
                <w:color w:val="1F3864"/>
                <w:sz w:val="20"/>
                <w:szCs w:val="20"/>
              </w:rPr>
              <w:t xml:space="preserve">• RS-485 et Wiegand (entrée / sortie) ;</w:t>
            </w:r>
          </w:p>
          <w:p>
            <w:pPr>
              <w:spacing w:after="0" w:line="252"/>
            </w:pPr>
            <w:r>
              <w:rPr>
                <w:rFonts w:ascii="Calibri" w:cs="Calibri" w:eastAsia="Calibri" w:hAnsi="Calibri"/>
                <w:b w:val="false"/>
                <w:bCs w:val="false"/>
                <w:color w:val="1F3864"/>
                <w:sz w:val="20"/>
                <w:szCs w:val="20"/>
              </w:rPr>
              <w:t xml:space="preserve">• Wi-Fi en option.</w:t>
            </w:r>
          </w:p>
          <w:p>
            <w:pPr>
              <w:spacing w:after="0" w:line="252"/>
            </w:pPr>
            <w:r>
              <w:rPr>
                <w:rFonts w:ascii="Calibri" w:cs="Calibri" w:eastAsia="Calibri" w:hAnsi="Calibri"/>
                <w:b w:val="false"/>
                <w:bCs w:val="false"/>
                <w:color w:val="1F3864"/>
                <w:sz w:val="20"/>
                <w:szCs w:val="20"/>
              </w:rPr>
              <w:t xml:space="preserve">À CONFIRMER sur la Product Data du modèle définitivement commandé.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Nombre d'utilisateurs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Capacité de la pointeuse à gérer le nombre d'employés de l'hôpital et de prendre en considération les évolutions futures.</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et dimensionné pour l'évolution —</w:t>
            </w:r>
          </w:p>
          <w:p>
            <w:pPr>
              <w:spacing w:after="0" w:line="252"/>
            </w:pPr>
            <w:r>
              <w:rPr>
                <w:rFonts w:ascii="Calibri" w:cs="Calibri" w:eastAsia="Calibri" w:hAnsi="Calibri"/>
                <w:b w:val="false"/>
                <w:bCs w:val="false"/>
                <w:color w:val="1F3864"/>
                <w:sz w:val="20"/>
                <w:szCs w:val="20"/>
              </w:rPr>
              <w:t xml:space="preserve">• Visages : 6 000 en configuration standard, extensible à 10 000 ;</w:t>
            </w:r>
          </w:p>
          <w:p>
            <w:pPr>
              <w:spacing w:after="0" w:line="252"/>
            </w:pPr>
            <w:r>
              <w:rPr>
                <w:rFonts w:ascii="Calibri" w:cs="Calibri" w:eastAsia="Calibri" w:hAnsi="Calibri"/>
                <w:b w:val="false"/>
                <w:bCs w:val="false"/>
                <w:color w:val="1F3864"/>
                <w:sz w:val="20"/>
                <w:szCs w:val="20"/>
              </w:rPr>
              <w:t xml:space="preserve">• Empreintes digitales : 6 000 en configuration standard, extensible à 10 000 ;</w:t>
            </w:r>
          </w:p>
          <w:p>
            <w:pPr>
              <w:spacing w:after="0" w:line="252"/>
            </w:pPr>
            <w:r>
              <w:rPr>
                <w:rFonts w:ascii="Calibri" w:cs="Calibri" w:eastAsia="Calibri" w:hAnsi="Calibri"/>
                <w:b w:val="false"/>
                <w:bCs w:val="false"/>
                <w:color w:val="1F3864"/>
                <w:sz w:val="20"/>
                <w:szCs w:val="20"/>
              </w:rPr>
              <w:t xml:space="preserve">• Badges : 6 000, extensible à 10 000 ;</w:t>
            </w:r>
          </w:p>
          <w:p>
            <w:pPr>
              <w:spacing w:after="0" w:line="252"/>
            </w:pPr>
            <w:r>
              <w:rPr>
                <w:rFonts w:ascii="Calibri" w:cs="Calibri" w:eastAsia="Calibri" w:hAnsi="Calibri"/>
                <w:b w:val="false"/>
                <w:bCs w:val="false"/>
                <w:color w:val="1F3864"/>
                <w:sz w:val="20"/>
                <w:szCs w:val="20"/>
              </w:rPr>
              <w:t xml:space="preserve">• Utilisateurs : 6 000, extensible à 10 000.</w:t>
            </w:r>
          </w:p>
          <w:p>
            <w:pPr>
              <w:spacing w:after="0" w:line="252"/>
            </w:pPr>
            <w:r>
              <w:rPr>
                <w:rFonts w:ascii="Calibri" w:cs="Calibri" w:eastAsia="Calibri" w:hAnsi="Calibri"/>
                <w:b w:val="false"/>
                <w:bCs w:val="false"/>
                <w:color w:val="1F3864"/>
                <w:sz w:val="20"/>
                <w:szCs w:val="20"/>
              </w:rPr>
              <w:t xml:space="preserve">Soit deux fois l'effectif actuel de l'établissement (plus de 3 000 salariés) sur un seul terminal, alors que chaque pointeuse ne dessert que les agents des services affectés à son bloc. La réserve de capacité couvre largement la croissance des effectifs et la gestion des flux de personnel.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Anti-fraude faciale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(Article « Éviter les fausses prises faciales » du CCTP)</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Caméra binoculaire 2 MP WDR avec détection de vivacité : rejet des photographies, des vidéos et des masques imprimés. Détection du port du masque. Seuils de sensibilité et de tolérance paramétrables.  (réf. PJ-01)</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Protection anti-vandalisme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(Article « Protection des pointeuses contre le vandalisme » du CCTP)</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Boîtier en matériau renforcé, écran protégé, vis anti-vandalisme nécessitant un outil spécifique, fixation murale sécurisée et contact d'autoprotection (tamper) générant une alarme dans l'application.  (réf. PJ-01 / PJ-06)</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Normes et qualité</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Fabricant titulaire d'un certificat ISO</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Fabricant certifié ISO 9001 et ISO 14001 ; équipements conformes CE, FCC et RoHS. Matériel neuf, non reconditionné, de fabrication non arrêtée.  (réf. PJ-07 / PJ-08)</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Garantie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1 an</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Garantie de douze (12) mois de fonctionnement effectif à compter de la réception provisoire, assortie d'un engagement de maintenance préventive et curative de cinq (05) ans.  (réf. PJ-09)</w:t>
            </w:r>
          </w:p>
        </w:tc>
      </w:tr>
    </w:tbl>
    <w:p>
      <w:r>
        <w:br w:type="page"/>
      </w:r>
    </w:p>
    <w:p>
      <w:pPr>
        <w:pStyle w:val="Heading1"/>
        <w:spacing w:after="180" w:before="320"/>
      </w:pPr>
      <w:r>
        <w:rPr>
          <w:rFonts w:ascii="Calibri" w:cs="Calibri" w:eastAsia="Calibri" w:hAnsi="Calibri"/>
          <w:b/>
          <w:bCs/>
          <w:color w:val="1F3864"/>
          <w:sz w:val="30"/>
          <w:szCs w:val="30"/>
        </w:rPr>
        <w:t xml:space="preserve">Fiche n° 2 — Serveur</w:t>
      </w:r>
    </w:p>
    <w:p>
      <w:pPr>
        <w:spacing w:after="120" w:before="0" w:line="276"/>
      </w:pPr>
      <w:r>
        <w:rPr>
          <w:rFonts w:ascii="Calibri" w:cs="Calibri" w:eastAsia="Calibri" w:hAnsi="Calibri"/>
          <w:b/>
          <w:bCs/>
          <w:sz w:val="22"/>
          <w:szCs w:val="22"/>
        </w:rPr>
        <w:t xml:space="preserve">Quantité : 01 unité</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2300"/>
        <w:gridCol w:w="3200"/>
        <w:gridCol w:w="3400"/>
      </w:tblGrid>
      <w:tr>
        <w:tc>
          <w:tcPr>
            <w:tcW w:type="dxa" w:w="23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1"/>
                <w:szCs w:val="21"/>
              </w:rPr>
              <w:t xml:space="preserve">FICHE DES CARACTÉRISTIQUES N° 2</w:t>
            </w:r>
          </w:p>
        </w:tc>
        <w:tc>
          <w:tcPr>
            <w:tcW w:type="dxa" w:w="32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1"/>
                <w:szCs w:val="21"/>
              </w:rPr>
              <w:t xml:space="preserve">Serveur</w:t>
            </w:r>
          </w:p>
        </w:tc>
        <w:tc>
          <w:tcPr>
            <w:tcW w:type="dxa" w:w="3400"/>
            <w:shd w:fill="1F3864"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3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w:t>
            </w:r>
          </w:p>
        </w:tc>
        <w:tc>
          <w:tcPr>
            <w:tcW w:type="dxa" w:w="32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Valeur minimale exigée</w:t>
            </w:r>
          </w:p>
        </w:tc>
        <w:tc>
          <w:tcPr>
            <w:tcW w:type="dxa" w:w="34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Spécifications techniques proposées et Référence des justificatifs</w:t>
            </w:r>
          </w:p>
        </w:tc>
      </w:tr>
      <w:tr>
        <w:tc>
          <w:tcPr>
            <w:tcW w:type="dxa" w:w="2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color w:val="1F3864"/>
                <w:sz w:val="20"/>
                <w:szCs w:val="20"/>
              </w:rPr>
              <w:t xml:space="preserve">Identification</w:t>
            </w:r>
          </w:p>
        </w:tc>
        <w:tc>
          <w:tcPr>
            <w:tcW w:type="dxa" w:w="32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Marque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Modèle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Pays d'origine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(réf. PJ-02)</w:t>
            </w:r>
          </w:p>
        </w:tc>
      </w:tr>
      <w:tr>
        <w:tc>
          <w:tcPr>
            <w:tcW w:type="dxa" w:w="2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color w:val="1F3864"/>
                <w:sz w:val="20"/>
                <w:szCs w:val="20"/>
              </w:rPr>
              <w:t xml:space="preserve">Caractéristiques techniques</w:t>
            </w:r>
          </w:p>
        </w:tc>
        <w:tc>
          <w:tcPr>
            <w:tcW w:type="dxa" w:w="32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Processeur</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Intel Xeon</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Processeur Intel Xeon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Type Processeur</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Hexa Core</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Six (06) cœurs physiques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Référence Processeur</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indiquer</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Fréquence Processeur</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2.10 GHz up to 2.2 GHz Turbo max</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Fréquence de base ≥ 2,10 GHz, fréquence Turbo maximale ≥ 2,2 GHz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Mémoire Cache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18 Mo</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Cache ≥ 18 Mo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Mémoire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32 Go</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32 Go de mémoire ECC, extensible pour accompagner la croissance du parc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Disque Dur</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4 disques SSD 4x2 To</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Quatre (04) disques SSD de 2 To chacun, soit 8 To bruts, configurés en RAID pour la tolérance de panne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Contrôleur RAID</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Niveaux 0,1,10,5,50,6,60</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Contrôleur RAID matériel supportant les niveaux 0, 1, 10, 5, 50, 6 et 60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Carte Graphique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GPU intégré</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Contrôleur graphique intégré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Connecteurs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3x USB 3.2 G1, 1x USB 2.0, RJ-45, 1x vidéo VGA, 1x port série</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w:t>
            </w:r>
          </w:p>
          <w:p>
            <w:pPr>
              <w:spacing w:after="0" w:line="252"/>
            </w:pPr>
            <w:r>
              <w:rPr>
                <w:rFonts w:ascii="Calibri" w:cs="Calibri" w:eastAsia="Calibri" w:hAnsi="Calibri"/>
                <w:b w:val="false"/>
                <w:bCs w:val="false"/>
                <w:color w:val="1F3864"/>
                <w:sz w:val="20"/>
                <w:szCs w:val="20"/>
              </w:rPr>
              <w:t xml:space="preserve">• 3 × USB 3.2 Gen 1 ;</w:t>
            </w:r>
          </w:p>
          <w:p>
            <w:pPr>
              <w:spacing w:after="0" w:line="252"/>
            </w:pPr>
            <w:r>
              <w:rPr>
                <w:rFonts w:ascii="Calibri" w:cs="Calibri" w:eastAsia="Calibri" w:hAnsi="Calibri"/>
                <w:b w:val="false"/>
                <w:bCs w:val="false"/>
                <w:color w:val="1F3864"/>
                <w:sz w:val="20"/>
                <w:szCs w:val="20"/>
              </w:rPr>
              <w:t xml:space="preserve">• 1 × USB 2.0 ;</w:t>
            </w:r>
          </w:p>
          <w:p>
            <w:pPr>
              <w:spacing w:after="0" w:line="252"/>
            </w:pPr>
            <w:r>
              <w:rPr>
                <w:rFonts w:ascii="Calibri" w:cs="Calibri" w:eastAsia="Calibri" w:hAnsi="Calibri"/>
                <w:b w:val="false"/>
                <w:bCs w:val="false"/>
                <w:color w:val="1F3864"/>
                <w:sz w:val="20"/>
                <w:szCs w:val="20"/>
              </w:rPr>
              <w:t xml:space="preserve">• RJ-45 ;</w:t>
            </w:r>
          </w:p>
          <w:p>
            <w:pPr>
              <w:spacing w:after="0" w:line="252"/>
            </w:pPr>
            <w:r>
              <w:rPr>
                <w:rFonts w:ascii="Calibri" w:cs="Calibri" w:eastAsia="Calibri" w:hAnsi="Calibri"/>
                <w:b w:val="false"/>
                <w:bCs w:val="false"/>
                <w:color w:val="1F3864"/>
                <w:sz w:val="20"/>
                <w:szCs w:val="20"/>
              </w:rPr>
              <w:t xml:space="preserve">• 1 × sortie vidéo VGA ;</w:t>
            </w:r>
          </w:p>
          <w:p>
            <w:pPr>
              <w:spacing w:after="0" w:line="252"/>
            </w:pPr>
            <w:r>
              <w:rPr>
                <w:rFonts w:ascii="Calibri" w:cs="Calibri" w:eastAsia="Calibri" w:hAnsi="Calibri"/>
                <w:b w:val="false"/>
                <w:bCs w:val="false"/>
                <w:color w:val="1F3864"/>
                <w:sz w:val="20"/>
                <w:szCs w:val="20"/>
              </w:rPr>
              <w:t xml:space="preserve">• 1 × port série.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Alimentation</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Redondante</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Double alimentation redondante à chaud (hot-plug), garantissant la continuité de service en cas de défaillance d'un bloc  (réf. PJ-02)</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Système d'exploitation</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(Prérequis logiciels du CCTP)</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Windows Server — dernière version originale, installée, mise à jour et sécurisée par nos soins, correctifs de sécurité appliqués</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Base de données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SQL Server 2019 ou supérieur / MySQL 5.7 ou supérieur</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Microsoft SQL Server 2019 ou supérieur (alternative MySQL 5.7 ou supérieur au choix du CHU), installée et paramétrée sur le serveur dédié</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Composants logiciels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.NET Framework 4.8 ou supérieur ; JRE si requis</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.NET Framework 4.8 ou supérieur et Java Runtime Environment installés et configurés</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Sauvegarde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(Article « Mise en place des sauvegardes » du CCTP)</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Sauvegarde automatique quotidienne (complète et incrémentale) planifiée, avec procédure de restauration documentée et testée lors de la réception</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Garantie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1 an</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Garantie constructeur de douze (12) mois minimum sur site  (réf. PJ-09)</w:t>
            </w:r>
          </w:p>
        </w:tc>
      </w:tr>
    </w:tbl>
    <w:p>
      <w:r>
        <w:br w:type="page"/>
      </w:r>
    </w:p>
    <w:p>
      <w:pPr>
        <w:pStyle w:val="Heading1"/>
        <w:spacing w:after="180" w:before="320"/>
      </w:pPr>
      <w:r>
        <w:rPr>
          <w:rFonts w:ascii="Calibri" w:cs="Calibri" w:eastAsia="Calibri" w:hAnsi="Calibri"/>
          <w:b/>
          <w:bCs/>
          <w:color w:val="1F3864"/>
          <w:sz w:val="30"/>
          <w:szCs w:val="30"/>
        </w:rPr>
        <w:t xml:space="preserve">Fiche n° 3 — Licence pour le logiciel de gestion</w:t>
      </w:r>
    </w:p>
    <w:p>
      <w:pPr>
        <w:spacing w:after="120" w:before="0" w:line="276"/>
      </w:pPr>
      <w:r>
        <w:rPr>
          <w:rFonts w:ascii="Calibri" w:cs="Calibri" w:eastAsia="Calibri" w:hAnsi="Calibri"/>
          <w:b/>
          <w:bCs/>
          <w:sz w:val="22"/>
          <w:szCs w:val="22"/>
        </w:rPr>
        <w:t xml:space="preserve">Quantité : 01</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2300"/>
        <w:gridCol w:w="3200"/>
        <w:gridCol w:w="3400"/>
      </w:tblGrid>
      <w:tr>
        <w:tc>
          <w:tcPr>
            <w:tcW w:type="dxa" w:w="23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1"/>
                <w:szCs w:val="21"/>
              </w:rPr>
              <w:t xml:space="preserve">FICHE DES CARACTÉRISTIQUES N° 3</w:t>
            </w:r>
          </w:p>
        </w:tc>
        <w:tc>
          <w:tcPr>
            <w:tcW w:type="dxa" w:w="32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1"/>
                <w:szCs w:val="21"/>
              </w:rPr>
              <w:t xml:space="preserve">Licence pour le logiciel de gestion</w:t>
            </w:r>
          </w:p>
        </w:tc>
        <w:tc>
          <w:tcPr>
            <w:tcW w:type="dxa" w:w="3400"/>
            <w:shd w:fill="1F3864"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3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w:t>
            </w:r>
          </w:p>
        </w:tc>
        <w:tc>
          <w:tcPr>
            <w:tcW w:type="dxa" w:w="32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Valeur minimale exigée</w:t>
            </w:r>
          </w:p>
        </w:tc>
        <w:tc>
          <w:tcPr>
            <w:tcW w:type="dxa" w:w="34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Spécifications techniques proposées et Référence des justificatifs</w:t>
            </w:r>
          </w:p>
        </w:tc>
      </w:tr>
      <w:tr>
        <w:tc>
          <w:tcPr>
            <w:tcW w:type="dxa" w:w="2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color w:val="1F3864"/>
                <w:sz w:val="20"/>
                <w:szCs w:val="20"/>
              </w:rPr>
              <w:t xml:space="preserve">Identification</w:t>
            </w:r>
          </w:p>
        </w:tc>
        <w:tc>
          <w:tcPr>
            <w:tcW w:type="dxa" w:w="32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Durée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Licence PERPÉTUELLE — acquise définitivement par le CHU La Rabta, sans redevance annuelle obligatoire ni renouvellement à l'issue de la période de garantie  (réf. PJ-03)</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Nombre de terminaux</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25</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Licence couvrant 25 terminaux de pointage, extensible sur simple avenant en cas d'augmentation du parc  (réf. PJ-03)</w:t>
            </w:r>
          </w:p>
        </w:tc>
      </w:tr>
      <w:tr>
        <w:tc>
          <w:tcPr>
            <w:tcW w:type="dxa" w:w="2300"/>
            <w:shd w:fill="F2F2F2" w:color="auto" w:val="clear"/>
            <w:tcMar>
              <w:top w:type="dxa" w:w="70"/>
              <w:left w:type="dxa" w:w="110"/>
              <w:bottom w:type="dxa" w:w="70"/>
              <w:right w:type="dxa" w:w="110"/>
            </w:tcMar>
            <w:vAlign w:val="center"/>
          </w:tcPr>
          <w:p>
            <w:pPr>
              <w:spacing w:after="0" w:line="252"/>
            </w:pPr>
            <w:r>
              <w:rPr>
                <w:rFonts w:ascii="Calibri" w:cs="Calibri" w:eastAsia="Calibri" w:hAnsi="Calibri"/>
                <w:b/>
                <w:bCs/>
                <w:color w:val="1F3864"/>
                <w:sz w:val="20"/>
                <w:szCs w:val="20"/>
              </w:rPr>
              <w:t xml:space="preserve">Portée fonctionnelle de la licence</w:t>
            </w:r>
          </w:p>
        </w:tc>
        <w:tc>
          <w:tcPr>
            <w:tcW w:type="dxa" w:w="32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Utilisateurs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(Non chiffré au CCTP)</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Nombre d'utilisateurs nommés du portail ILLIMITÉ — l'ensemble des agents, superviseurs, gestionnaires et administrateurs de l'établissement est couvert, sans surcoût par utilisateur</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Effectif géré</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Effectif de l'hôpital et évolutions futures</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Aucune limitation du nombre d'agents gérés — plus de 3 000 salariés actuels et croissance ultérieure couverts</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Modules inclus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(Fonctionnalités principales du CCTP)</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Tous modules inclus, sans option payante :</w:t>
            </w:r>
          </w:p>
          <w:p>
            <w:pPr>
              <w:spacing w:after="0" w:line="252"/>
            </w:pPr>
            <w:r>
              <w:rPr>
                <w:rFonts w:ascii="Calibri" w:cs="Calibri" w:eastAsia="Calibri" w:hAnsi="Calibri"/>
                <w:b w:val="false"/>
                <w:bCs w:val="false"/>
                <w:color w:val="1F3864"/>
                <w:sz w:val="20"/>
                <w:szCs w:val="20"/>
              </w:rPr>
              <w:t xml:space="preserve">• Pointage du temps (entrée/sortie, temps réel, historique) ;</w:t>
            </w:r>
          </w:p>
          <w:p>
            <w:pPr>
              <w:spacing w:after="0" w:line="252"/>
            </w:pPr>
            <w:r>
              <w:rPr>
                <w:rFonts w:ascii="Calibri" w:cs="Calibri" w:eastAsia="Calibri" w:hAnsi="Calibri"/>
                <w:b w:val="false"/>
                <w:bCs w:val="false"/>
                <w:color w:val="1F3864"/>
                <w:sz w:val="20"/>
                <w:szCs w:val="20"/>
              </w:rPr>
              <w:t xml:space="preserve">• Gestion des horaires et plannings (fixes, variables, cycliques, heures supplémentaires) ;</w:t>
            </w:r>
          </w:p>
          <w:p>
            <w:pPr>
              <w:spacing w:after="0" w:line="252"/>
            </w:pPr>
            <w:r>
              <w:rPr>
                <w:rFonts w:ascii="Calibri" w:cs="Calibri" w:eastAsia="Calibri" w:hAnsi="Calibri"/>
                <w:b w:val="false"/>
                <w:bCs w:val="false"/>
                <w:color w:val="1F3864"/>
                <w:sz w:val="20"/>
                <w:szCs w:val="20"/>
              </w:rPr>
              <w:t xml:space="preserve">• Gestion des absences (demande, validation, suivi) ;</w:t>
            </w:r>
          </w:p>
          <w:p>
            <w:pPr>
              <w:spacing w:after="0" w:line="252"/>
            </w:pPr>
            <w:r>
              <w:rPr>
                <w:rFonts w:ascii="Calibri" w:cs="Calibri" w:eastAsia="Calibri" w:hAnsi="Calibri"/>
                <w:b w:val="false"/>
                <w:bCs w:val="false"/>
                <w:color w:val="1F3864"/>
                <w:sz w:val="20"/>
                <w:szCs w:val="20"/>
              </w:rPr>
              <w:t xml:space="preserve">• Rapports, tableaux de bord et exports Excel / PDF / CSV ;</w:t>
            </w:r>
          </w:p>
          <w:p>
            <w:pPr>
              <w:spacing w:after="0" w:line="252"/>
            </w:pPr>
            <w:r>
              <w:rPr>
                <w:rFonts w:ascii="Calibri" w:cs="Calibri" w:eastAsia="Calibri" w:hAnsi="Calibri"/>
                <w:b w:val="false"/>
                <w:bCs w:val="false"/>
                <w:color w:val="1F3864"/>
                <w:sz w:val="20"/>
                <w:szCs w:val="20"/>
              </w:rPr>
              <w:t xml:space="preserve">• Notifications et alertes ;</w:t>
            </w:r>
          </w:p>
          <w:p>
            <w:pPr>
              <w:spacing w:after="0" w:line="252"/>
            </w:pPr>
            <w:r>
              <w:rPr>
                <w:rFonts w:ascii="Calibri" w:cs="Calibri" w:eastAsia="Calibri" w:hAnsi="Calibri"/>
                <w:b w:val="false"/>
                <w:bCs w:val="false"/>
                <w:color w:val="1F3864"/>
                <w:sz w:val="20"/>
                <w:szCs w:val="20"/>
              </w:rPr>
              <w:t xml:space="preserve">• Administration, rôles et permissions (RBAC) ;</w:t>
            </w:r>
          </w:p>
          <w:p>
            <w:pPr>
              <w:spacing w:after="0" w:line="252"/>
            </w:pPr>
            <w:r>
              <w:rPr>
                <w:rFonts w:ascii="Calibri" w:cs="Calibri" w:eastAsia="Calibri" w:hAnsi="Calibri"/>
                <w:b w:val="false"/>
                <w:bCs w:val="false"/>
                <w:color w:val="1F3864"/>
                <w:sz w:val="20"/>
                <w:szCs w:val="20"/>
              </w:rPr>
              <w:t xml:space="preserve">• Pointage mobile avec géolocalisation ;</w:t>
            </w:r>
          </w:p>
          <w:p>
            <w:pPr>
              <w:spacing w:after="0" w:line="252"/>
            </w:pPr>
            <w:r>
              <w:rPr>
                <w:rFonts w:ascii="Calibri" w:cs="Calibri" w:eastAsia="Calibri" w:hAnsi="Calibri"/>
                <w:b w:val="false"/>
                <w:bCs w:val="false"/>
                <w:color w:val="1F3864"/>
                <w:sz w:val="20"/>
                <w:szCs w:val="20"/>
              </w:rPr>
              <w:t xml:space="preserve">• API REST, connecteurs et webhooks.  (réf. PJ-03)</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Multi-marques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(Article « Compatibilité multi-marques » du CCTP)</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La licence couvre l'intégration de terminaux de marques tierces (ZKTeco, Suprema, Hikvision et autres) sans licence complémentaire par marque  (réf. PJ-03)</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Langues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Support multilingue</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Interface disponible en français, arabe (avec prise en charge de l'écriture de droite à gauche) et anglais</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Déploiement</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Portail internet et/ou intranet</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Application web accessible depuis le portail intranet de l'établissement ; ouverture Internet possible sous contrôle du service informatique. Aucune installation requise sur les postes clients</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Mises à jour</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(Maintenance et support du CCTP)</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Mises à jour correctives, de sécurité et fonctionnelles incluses pendant toute la durée du contrat de maintenance</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Propriété des données</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(Loi organique n° 63/2004)</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Les données demeurent l'entière propriété du CHU La Rabta et sont hébergées exclusivement sur son serveur. Export intégral de la base possible à tout moment, sans dépendance au fournisseur</w:t>
            </w:r>
          </w:p>
        </w:tc>
      </w:tr>
      <w:tr>
        <w:tc>
          <w:tcPr>
            <w:tcW w:type="dxa" w:w="23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Garantie</w:t>
            </w:r>
          </w:p>
        </w:tc>
        <w:tc>
          <w:tcPr>
            <w:tcW w:type="dxa" w:w="32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(Article 9 du CCTP)</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Garantie de bon fonctionnement de douze (12) mois à compter de la mise en production, avec engagement de disponibilité (SLA) de 99,5 %</w:t>
            </w:r>
          </w:p>
        </w:tc>
      </w:tr>
    </w:tbl>
    <w:p>
      <w:r>
        <w:br w:type="page"/>
      </w:r>
    </w:p>
    <w:p>
      <w:pPr>
        <w:pStyle w:val="Heading1"/>
        <w:spacing w:after="180" w:before="320"/>
      </w:pPr>
      <w:r>
        <w:rPr>
          <w:rFonts w:ascii="Calibri" w:cs="Calibri" w:eastAsia="Calibri" w:hAnsi="Calibri"/>
          <w:b/>
          <w:bCs/>
          <w:color w:val="1F3864"/>
          <w:sz w:val="30"/>
          <w:szCs w:val="30"/>
        </w:rPr>
        <w:t xml:space="preserve">Fiche n° 4 — Câble en paire torsadée UTP cat. 6</w:t>
      </w:r>
    </w:p>
    <w:p>
      <w:pPr>
        <w:spacing w:after="120" w:before="0" w:line="276"/>
      </w:pPr>
      <w:r>
        <w:rPr>
          <w:rFonts w:ascii="Calibri" w:cs="Calibri" w:eastAsia="Calibri" w:hAnsi="Calibri"/>
          <w:b/>
          <w:bCs/>
          <w:sz w:val="22"/>
          <w:szCs w:val="22"/>
        </w:rPr>
        <w:t xml:space="preserve">Quantité : à préciser au bordereau (métré détaillé)</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1900"/>
        <w:gridCol w:w="1700"/>
        <w:gridCol w:w="2650"/>
        <w:gridCol w:w="2650"/>
      </w:tblGrid>
      <w:tr>
        <w:tc>
          <w:tcPr>
            <w:tcW w:type="dxa" w:w="19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0"/>
                <w:szCs w:val="20"/>
              </w:rPr>
              <w:t xml:space="preserve">FICHE DES CARACTÉRISTIQUES N° 4</w:t>
            </w:r>
          </w:p>
        </w:tc>
        <w:tc>
          <w:tcPr>
            <w:tcW w:type="dxa" w:w="17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0"/>
                <w:szCs w:val="20"/>
              </w:rPr>
              <w:t xml:space="preserve">Câble UTP cat. 6</w:t>
            </w:r>
          </w:p>
        </w:tc>
        <w:tc>
          <w:tcPr>
            <w:tcW w:type="dxa" w:w="2650"/>
            <w:shd w:fill="1F3864"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650"/>
            <w:shd w:fill="1F3864"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19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Élément</w:t>
            </w:r>
          </w:p>
        </w:tc>
        <w:tc>
          <w:tcPr>
            <w:tcW w:type="dxa" w:w="17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w:t>
            </w:r>
          </w:p>
        </w:tc>
        <w:tc>
          <w:tcPr>
            <w:tcW w:type="dxa" w:w="26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 minimales exigées</w:t>
            </w:r>
          </w:p>
        </w:tc>
        <w:tc>
          <w:tcPr>
            <w:tcW w:type="dxa" w:w="26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Spécifications techniques proposées et Référence des justificatifs</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Constructeur (Marque)</w:t>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(réf. PJ-04)</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Modèle (référence)</w:t>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(réf. PJ-04)</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Catégorie</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Cat. 6 conformément à la norme internationale ISO/IEC 11801 et les recommandations du standard ANSI/TIA/EIA-568</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Câble catégorie 6 certifié conforme ISO/IEC 11801 et ANSI/TIA/EIA-568  (réf. PJ-04)</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Type du câble</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4 paires catégories 6 type UTP</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4 paires torsadées non blindées (U/UTP), conducteurs cuivre nu massif, gaine LSZH  (réf. PJ-04)</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Conformité aux normes</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ISO 9001 valide</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Fabricant titulaire d'un certificat ISO 9001 en cours de validité  (réf. PJ-04 / PJ-07)</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Longueur de lien</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(Article 15 du CCTP : ≤ 90 m)</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Aucun lien permanent n'excède 90 mètres ; le respect de cette contrainte est vérifié lors du relevé et attesté par le rapport de certification de chaque prise</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Certification</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Test de certification du câblage (article 13)</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Certification de chaque lien au moyen d'un certificateur de chantier étalonné, avec rapport nominatif par prise remis au CHU</w:t>
            </w:r>
          </w:p>
        </w:tc>
      </w:tr>
    </w:tbl>
    <w:p>
      <w:r>
        <w:br w:type="page"/>
      </w:r>
    </w:p>
    <w:p>
      <w:pPr>
        <w:pStyle w:val="Heading1"/>
        <w:spacing w:after="180" w:before="320"/>
      </w:pPr>
      <w:r>
        <w:rPr>
          <w:rFonts w:ascii="Calibri" w:cs="Calibri" w:eastAsia="Calibri" w:hAnsi="Calibri"/>
          <w:b/>
          <w:bCs/>
          <w:color w:val="1F3864"/>
          <w:sz w:val="30"/>
          <w:szCs w:val="30"/>
        </w:rPr>
        <w:t xml:space="preserve">Fiche n° 5 — Cordons de brassage UTP cat. 6</w:t>
      </w:r>
    </w:p>
    <w:p>
      <w:pPr>
        <w:spacing w:after="120" w:before="0" w:line="276"/>
      </w:pPr>
      <w:r>
        <w:rPr>
          <w:rFonts w:ascii="Calibri" w:cs="Calibri" w:eastAsia="Calibri" w:hAnsi="Calibri"/>
          <w:b/>
          <w:bCs/>
          <w:sz w:val="22"/>
          <w:szCs w:val="22"/>
        </w:rPr>
        <w:t xml:space="preserve">Quantité : 25</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1900"/>
        <w:gridCol w:w="1700"/>
        <w:gridCol w:w="2650"/>
        <w:gridCol w:w="2650"/>
      </w:tblGrid>
      <w:tr>
        <w:tc>
          <w:tcPr>
            <w:tcW w:type="dxa" w:w="19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0"/>
                <w:szCs w:val="20"/>
              </w:rPr>
              <w:t xml:space="preserve">FICHE DES CARACTÉRISTIQUES N° 5</w:t>
            </w:r>
          </w:p>
        </w:tc>
        <w:tc>
          <w:tcPr>
            <w:tcW w:type="dxa" w:w="17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0"/>
                <w:szCs w:val="20"/>
              </w:rPr>
              <w:t xml:space="preserve">Cordons de brassage</w:t>
            </w:r>
          </w:p>
        </w:tc>
        <w:tc>
          <w:tcPr>
            <w:tcW w:type="dxa" w:w="2650"/>
            <w:shd w:fill="1F3864"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650"/>
            <w:shd w:fill="1F3864"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19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Élément</w:t>
            </w:r>
          </w:p>
        </w:tc>
        <w:tc>
          <w:tcPr>
            <w:tcW w:type="dxa" w:w="17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w:t>
            </w:r>
          </w:p>
        </w:tc>
        <w:tc>
          <w:tcPr>
            <w:tcW w:type="dxa" w:w="26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 minimales exigées</w:t>
            </w:r>
          </w:p>
        </w:tc>
        <w:tc>
          <w:tcPr>
            <w:tcW w:type="dxa" w:w="26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Spécifications techniques proposées et Référence des justificatifs</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Constructeur (marque)</w:t>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(réf. PJ-05)</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Modèle (référence)</w:t>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(réf. PJ-05)</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Catégorie</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Cat. 6 conformément à la norme internationale ISO/IEC 11801 (2ᵉ édition) et les recommandations du standard ANSI/TIA/EIA-568</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Cordon catégorie 6 conforme ISO/IEC 11801 (2ᵉ édition) et ANSI/TIA/EIA-568  (réf. PJ-05)</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Type</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UTP</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U/UTP, conducteurs cuivre multibrins, câble souple  (réf. PJ-05)</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Longueur</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1 m</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Longueur 1 mètre  (réf. PJ-05)</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Clip de verrouillage</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Protégé par la languette du manchon (surmoulé)</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Connecteur RJ45 surmoulé avec clip de verrouillage protégé par la languette du manchon, anti-accrochage  (réf. PJ-05)</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Conformité aux normes</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ISO 9001 valide</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Fabricant titulaire d'un certificat ISO 9001 en cours de validité  (réf. PJ-05 / PJ-07)</w:t>
            </w:r>
          </w:p>
        </w:tc>
      </w:tr>
    </w:tbl>
    <w:p>
      <w:r>
        <w:br w:type="page"/>
      </w:r>
    </w:p>
    <w:p>
      <w:pPr>
        <w:pStyle w:val="Heading1"/>
        <w:spacing w:after="180" w:before="320"/>
      </w:pPr>
      <w:r>
        <w:rPr>
          <w:rFonts w:ascii="Calibri" w:cs="Calibri" w:eastAsia="Calibri" w:hAnsi="Calibri"/>
          <w:b/>
          <w:bCs/>
          <w:color w:val="1F3864"/>
          <w:sz w:val="30"/>
          <w:szCs w:val="30"/>
        </w:rPr>
        <w:t xml:space="preserve">Fiche n° 6 — Accessoires</w:t>
      </w:r>
    </w:p>
    <w:p>
      <w:pPr>
        <w:spacing w:after="120" w:before="0" w:line="276"/>
      </w:pPr>
      <w:r>
        <w:rPr>
          <w:rFonts w:ascii="Calibri" w:cs="Calibri" w:eastAsia="Calibri" w:hAnsi="Calibri"/>
          <w:b/>
          <w:bCs/>
          <w:sz w:val="22"/>
          <w:szCs w:val="22"/>
        </w:rPr>
        <w:t xml:space="preserve">Quantités : à préciser en détail au bordereau</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1900"/>
        <w:gridCol w:w="1700"/>
        <w:gridCol w:w="2650"/>
        <w:gridCol w:w="2650"/>
      </w:tblGrid>
      <w:tr>
        <w:tc>
          <w:tcPr>
            <w:tcW w:type="dxa" w:w="19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0"/>
                <w:szCs w:val="20"/>
              </w:rPr>
              <w:t xml:space="preserve">FICHE DES CARACTÉRISTIQUES N° 6</w:t>
            </w:r>
          </w:p>
        </w:tc>
        <w:tc>
          <w:tcPr>
            <w:tcW w:type="dxa" w:w="1700"/>
            <w:shd w:fill="1F3864" w:color="auto" w:val="clear"/>
            <w:tcMar>
              <w:top w:type="dxa" w:w="70"/>
              <w:left w:type="dxa" w:w="110"/>
              <w:bottom w:type="dxa" w:w="70"/>
              <w:right w:type="dxa" w:w="110"/>
            </w:tcMar>
            <w:vAlign w:val="center"/>
          </w:tcPr>
          <w:p>
            <w:pPr>
              <w:spacing w:after="0" w:line="252"/>
            </w:pPr>
            <w:r>
              <w:rPr>
                <w:rFonts w:ascii="Calibri" w:cs="Calibri" w:eastAsia="Calibri" w:hAnsi="Calibri"/>
                <w:b/>
                <w:bCs/>
                <w:color w:val="FFFFFF"/>
                <w:sz w:val="20"/>
                <w:szCs w:val="20"/>
              </w:rPr>
              <w:t xml:space="preserve">Accessoires</w:t>
            </w:r>
          </w:p>
        </w:tc>
        <w:tc>
          <w:tcPr>
            <w:tcW w:type="dxa" w:w="2650"/>
            <w:shd w:fill="1F3864"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650"/>
            <w:shd w:fill="1F3864"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19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Élément</w:t>
            </w:r>
          </w:p>
        </w:tc>
        <w:tc>
          <w:tcPr>
            <w:tcW w:type="dxa" w:w="17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w:t>
            </w:r>
          </w:p>
        </w:tc>
        <w:tc>
          <w:tcPr>
            <w:tcW w:type="dxa" w:w="26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 minimales exigées</w:t>
            </w:r>
          </w:p>
        </w:tc>
        <w:tc>
          <w:tcPr>
            <w:tcW w:type="dxa" w:w="265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Spécifications techniques proposées et Référence des justificatifs</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Constructeur</w:t>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(réf. PJ-06)</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Moulure, Goulotte</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 (Intérieur)</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PROPOSÉ — Moulure et goulotte PVC blanc pour cheminement intérieur, avec couvercle clipsable et accessoires de changement de direction (angles intérieurs, extérieurs, plats, embouts, dérivations) de type préfabriqué.</w:t>
            </w:r>
          </w:p>
          <w:p>
            <w:pPr>
              <w:spacing w:after="0" w:line="252"/>
            </w:pPr>
            <w:r>
              <w:rPr>
                <w:rFonts w:ascii="Calibri" w:cs="Calibri" w:eastAsia="Calibri" w:hAnsi="Calibri"/>
                <w:b w:val="false"/>
                <w:bCs w:val="false"/>
                <w:color w:val="1F3864"/>
                <w:sz w:val="20"/>
                <w:szCs w:val="20"/>
              </w:rPr>
              <w:t xml:space="preserve">Sections adaptées au nombre de câbles par tronçon, détaillées au bordereau.  (réf. PJ-06)</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Tube PVC, fourreau</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 (Extérieur)</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PROPOSÉ — Tube PVC rigide et fourreau annelé pour cheminement extérieur, de bonne résistance aux facteurs climatiques, avec accessoires de fixation et d'étanchéité.  (réf. PJ-06)</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Autres</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À préciser</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PROPOSÉ —</w:t>
            </w:r>
          </w:p>
          <w:p>
            <w:pPr>
              <w:spacing w:after="0" w:line="252"/>
            </w:pPr>
            <w:r>
              <w:rPr>
                <w:rFonts w:ascii="Calibri" w:cs="Calibri" w:eastAsia="Calibri" w:hAnsi="Calibri"/>
                <w:b w:val="false"/>
                <w:bCs w:val="false"/>
                <w:color w:val="1F3864"/>
                <w:sz w:val="20"/>
                <w:szCs w:val="20"/>
              </w:rPr>
              <w:t xml:space="preserve">• Câble électrique d'alimentation des terminaux et protections associées ;</w:t>
            </w:r>
          </w:p>
          <w:p>
            <w:pPr>
              <w:spacing w:after="0" w:line="252"/>
            </w:pPr>
            <w:r>
              <w:rPr>
                <w:rFonts w:ascii="Calibri" w:cs="Calibri" w:eastAsia="Calibri" w:hAnsi="Calibri"/>
                <w:b w:val="false"/>
                <w:bCs w:val="false"/>
                <w:color w:val="1F3864"/>
                <w:sz w:val="20"/>
                <w:szCs w:val="20"/>
              </w:rPr>
              <w:t xml:space="preserve">• Coffrets et disjoncteurs de protection, conformes aux normes en vigueur ;</w:t>
            </w:r>
          </w:p>
          <w:p>
            <w:pPr>
              <w:spacing w:after="0" w:line="252"/>
            </w:pPr>
            <w:r>
              <w:rPr>
                <w:rFonts w:ascii="Calibri" w:cs="Calibri" w:eastAsia="Calibri" w:hAnsi="Calibri"/>
                <w:b w:val="false"/>
                <w:bCs w:val="false"/>
                <w:color w:val="1F3864"/>
                <w:sz w:val="20"/>
                <w:szCs w:val="20"/>
              </w:rPr>
              <w:t xml:space="preserve">• Serre-câbles, colliers, boîtiers d'encastrement et prises RJ45 Cat. 6 en saillie ;</w:t>
            </w:r>
          </w:p>
          <w:p>
            <w:pPr>
              <w:spacing w:after="0" w:line="252"/>
            </w:pPr>
            <w:r>
              <w:rPr>
                <w:rFonts w:ascii="Calibri" w:cs="Calibri" w:eastAsia="Calibri" w:hAnsi="Calibri"/>
                <w:b w:val="false"/>
                <w:bCs w:val="false"/>
                <w:color w:val="1F3864"/>
                <w:sz w:val="20"/>
                <w:szCs w:val="20"/>
              </w:rPr>
              <w:t xml:space="preserve">• Supports préfabriqués de fixation, résistants aux facteurs climatiques ;</w:t>
            </w:r>
          </w:p>
          <w:p>
            <w:pPr>
              <w:spacing w:after="0" w:line="252"/>
            </w:pPr>
            <w:r>
              <w:rPr>
                <w:rFonts w:ascii="Calibri" w:cs="Calibri" w:eastAsia="Calibri" w:hAnsi="Calibri"/>
                <w:b w:val="false"/>
                <w:bCs w:val="false"/>
                <w:color w:val="1F3864"/>
                <w:sz w:val="20"/>
                <w:szCs w:val="20"/>
              </w:rPr>
              <w:t xml:space="preserve">• 25 modules d'alimentation de secours 12 V DC assurant une autonomie ≥ 2 heures par pointeuse ;</w:t>
            </w:r>
          </w:p>
          <w:p>
            <w:pPr>
              <w:spacing w:after="0" w:line="252"/>
            </w:pPr>
            <w:r>
              <w:rPr>
                <w:rFonts w:ascii="Calibri" w:cs="Calibri" w:eastAsia="Calibri" w:hAnsi="Calibri"/>
                <w:b w:val="false"/>
                <w:bCs w:val="false"/>
                <w:color w:val="1F3864"/>
                <w:sz w:val="20"/>
                <w:szCs w:val="20"/>
              </w:rPr>
              <w:t xml:space="preserve">• Étiquettes de repérage normalisées des prises et des câbles, reportées au plan de recollement.  (réf. PJ-06)</w:t>
            </w:r>
          </w:p>
        </w:tc>
      </w:tr>
      <w:tr>
        <w:tc>
          <w:tcPr>
            <w:tcW w:type="dxa" w:w="19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17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Mise en œuvre</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(Article 15 du CCTP)</w:t>
            </w:r>
          </w:p>
        </w:tc>
        <w:tc>
          <w:tcPr>
            <w:tcW w:type="dxa" w:w="265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Séparation physique entre courant fort et courant faible assurée sur l'ensemble du cheminement ; protections mécaniques fournies pour tout type de raccordement avec l'installation réseau existante.</w:t>
            </w:r>
          </w:p>
        </w:tc>
      </w:tr>
    </w:tbl>
    <w:p>
      <w:r>
        <w:br w:type="page"/>
      </w:r>
    </w:p>
    <w:p>
      <w:pPr>
        <w:pStyle w:val="Heading1"/>
        <w:spacing w:after="180" w:before="320"/>
      </w:pPr>
      <w:r>
        <w:rPr>
          <w:rFonts w:ascii="Calibri" w:cs="Calibri" w:eastAsia="Calibri" w:hAnsi="Calibri"/>
          <w:b/>
          <w:bCs/>
          <w:color w:val="1F3864"/>
          <w:sz w:val="30"/>
          <w:szCs w:val="30"/>
        </w:rPr>
        <w:t xml:space="preserve">Conditions générales</w:t>
      </w:r>
    </w:p>
    <w:p>
      <w:pPr>
        <w:spacing w:after="120" w:before="0" w:line="276"/>
      </w:pPr>
      <w:r>
        <w:rPr>
          <w:rFonts w:ascii="Calibri" w:cs="Calibri" w:eastAsia="Calibri" w:hAnsi="Calibri"/>
          <w:i/>
          <w:iCs/>
          <w:sz w:val="22"/>
          <w:szCs w:val="22"/>
        </w:rPr>
        <w:t xml:space="preserve">Rubrique « 13 / conditions générale » du CCTP — page 30</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2500"/>
        <w:gridCol w:w="3400"/>
        <w:gridCol w:w="3000"/>
      </w:tblGrid>
      <w:tr>
        <w:tc>
          <w:tcPr>
            <w:tcW w:type="dxa" w:w="25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Elément</w:t>
            </w:r>
          </w:p>
        </w:tc>
        <w:tc>
          <w:tcPr>
            <w:tcW w:type="dxa" w:w="34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w:t>
            </w:r>
          </w:p>
        </w:tc>
        <w:tc>
          <w:tcPr>
            <w:tcW w:type="dxa" w:w="30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 proposées</w:t>
            </w:r>
          </w:p>
        </w:tc>
      </w:tr>
      <w:tr>
        <w:tc>
          <w:tcPr>
            <w:tcW w:type="dxa" w:w="2500"/>
            <w:shd w:fill="F2F2F2"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Conditions Générales</w:t>
            </w:r>
          </w:p>
        </w:tc>
        <w:tc>
          <w:tcPr>
            <w:tcW w:type="dxa" w:w="3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Fournisseur :</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HIKVIEW ENGINEERING — SARL, Rue Marroc, 1250 Sbeitla, MF 1667878 K</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Délais de livraison</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jours à compter de la notification de l'ordre de service (dans la limite du délai global de 60 jours)</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Délais d'exécution</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Soixante (60) jours au maximum à compter de la date de réception de l'ordre de service, conformément à l'article 4 du CCTP</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Garantie des Equipements</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Voir les deux lignes suivantes</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5 ans pour le Matériel Passif min.</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Garantie de cinq (05) ans minimum sur le matériel passif : câble U/UTP catégorie 6, cordons de brassage, prises, panneaux et accessoires de cheminement.</w:t>
            </w:r>
          </w:p>
          <w:p>
            <w:pPr>
              <w:spacing w:after="0" w:line="252"/>
            </w:pPr>
            <w:r>
              <w:rPr>
                <w:rFonts w:ascii="Calibri" w:cs="Calibri" w:eastAsia="Calibri" w:hAnsi="Calibri"/>
                <w:b w:val="false"/>
                <w:bCs w:val="false"/>
                <w:color w:val="1F3864"/>
                <w:sz w:val="20"/>
                <w:szCs w:val="20"/>
              </w:rPr>
              <w:t xml:space="preserve">Lettres de garantie des fabricants jointes  (réf. PJ-09)</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1 an pour le Matériel Actif min.</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Garantie de douze (12) mois minimum de fonctionnement effectif sur le matériel actif (pointeuses, serveur) à compter de la réception provisoire, assortie d'un engagement de maintenance préventive et curative de cinq (05) ans.  (réf. PJ-09)</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Effectif technique pour l'installation</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Équipe dédiée détaillée ci-dessous — voir également l'annexe 3, état du personnel qualifié</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Câbleur (nombre)</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câbleur(s)  (annexe 3)</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Technicien (nombre)</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technicien(s)  (annexe 3)</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Ingénieur (nombre)</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 ingénieur(s)  (annexe 3)</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Tests et vérification</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Tests de certification du câblage, essais fonctionnels de chaque pointeuse, tests de performance, de sécurité et d'acceptation utilisateur réalisés en présence des utilisateurs, avec remise des rapports.</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Plans de recollement : oui</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OUI — Plan de recollement avec repérage établi selon la convention PRÉFIXE-Bnn-ii, couvrant les 25 blocs : registre des pointeuses, des liens, des alimentations et de l'adressage réseau, plans d'implantation par bloc et synoptique général.</w:t>
            </w:r>
          </w:p>
          <w:p>
            <w:pPr>
              <w:spacing w:after="0" w:line="252"/>
            </w:pPr>
            <w:r>
              <w:rPr>
                <w:rFonts w:ascii="Calibri" w:cs="Calibri" w:eastAsia="Calibri" w:hAnsi="Calibri"/>
                <w:b w:val="false"/>
                <w:bCs w:val="false"/>
                <w:color w:val="1F3864"/>
                <w:sz w:val="20"/>
                <w:szCs w:val="20"/>
              </w:rPr>
              <w:t xml:space="preserve">Document type joint à l'offre technique  (réf. PJ-10)</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Rapport de test Câbles cuivre : oui</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OUI — Certification de chaque lien permanent en catégorie 6 (ISO/IEC 11801 Classe E, ANSI/TIA/EIA-568, configuration Permanent Link) au moyen d'un certificateur de chantier étalonné, avec rapport nominatif par prise et registre électronique récapitulatif.  (réf. PJ-10)</w:t>
            </w:r>
          </w:p>
        </w:tc>
      </w:tr>
    </w:tbl>
    <w:p>
      <w:r>
        <w:br w:type="page"/>
      </w:r>
    </w:p>
    <w:p>
      <w:pPr>
        <w:pStyle w:val="Heading1"/>
        <w:spacing w:after="180" w:before="320"/>
      </w:pPr>
      <w:r>
        <w:rPr>
          <w:rFonts w:ascii="Calibri" w:cs="Calibri" w:eastAsia="Calibri" w:hAnsi="Calibri"/>
          <w:b/>
          <w:bCs/>
          <w:color w:val="1F3864"/>
          <w:sz w:val="30"/>
          <w:szCs w:val="30"/>
        </w:rPr>
        <w:t xml:space="preserve">Documentation et plan de repérage</w:t>
      </w:r>
    </w:p>
    <w:p>
      <w:pPr>
        <w:spacing w:after="120" w:before="0" w:line="276"/>
      </w:pPr>
      <w:r>
        <w:rPr>
          <w:rFonts w:ascii="Calibri" w:cs="Calibri" w:eastAsia="Calibri" w:hAnsi="Calibri"/>
          <w:i/>
          <w:iCs/>
          <w:sz w:val="22"/>
          <w:szCs w:val="22"/>
        </w:rPr>
        <w:t xml:space="preserve">Rubrique « 14/ Documentation et plan de repérage » du CCTP — page 30</w:t>
      </w:r>
    </w:p>
    <w:tbl>
      <w:tblPr>
        <w:tblW w:type="dxa" w:w="8900"/>
        <w:tblBorders>
          <w:top w:val="single" w:color="9CB7D4" w:sz="4"/>
          <w:left w:val="single" w:color="9CB7D4" w:sz="4"/>
          <w:bottom w:val="single" w:color="9CB7D4" w:sz="4"/>
          <w:right w:val="single" w:color="9CB7D4" w:sz="4"/>
          <w:insideH w:val="single" w:color="BDD1E6" w:sz="2"/>
          <w:insideV w:val="single" w:color="BDD1E6" w:sz="2"/>
        </w:tblBorders>
      </w:tblPr>
      <w:tblGrid>
        <w:gridCol w:w="2500"/>
        <w:gridCol w:w="3400"/>
        <w:gridCol w:w="3000"/>
      </w:tblGrid>
      <w:tr>
        <w:tc>
          <w:tcPr>
            <w:tcW w:type="dxa" w:w="25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Elément</w:t>
            </w:r>
          </w:p>
        </w:tc>
        <w:tc>
          <w:tcPr>
            <w:tcW w:type="dxa" w:w="34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w:t>
            </w:r>
          </w:p>
        </w:tc>
        <w:tc>
          <w:tcPr>
            <w:tcW w:type="dxa" w:w="3000"/>
            <w:shd w:fill="DEEAF6"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Caractéristiques proposées</w:t>
            </w:r>
          </w:p>
        </w:tc>
      </w:tr>
      <w:tr>
        <w:tc>
          <w:tcPr>
            <w:tcW w:type="dxa" w:w="2500"/>
            <w:shd w:fill="F2F2F2" w:color="auto" w:val="clear"/>
            <w:tcMar>
              <w:top w:type="dxa" w:w="70"/>
              <w:left w:type="dxa" w:w="110"/>
              <w:bottom w:type="dxa" w:w="70"/>
              <w:right w:type="dxa" w:w="110"/>
            </w:tcMar>
            <w:vAlign w:val="center"/>
          </w:tcPr>
          <w:p>
            <w:pPr>
              <w:spacing w:after="0" w:line="252"/>
              <w:jc w:val="center"/>
            </w:pPr>
            <w:r>
              <w:rPr>
                <w:rFonts w:ascii="Calibri" w:cs="Calibri" w:eastAsia="Calibri" w:hAnsi="Calibri"/>
                <w:b/>
                <w:bCs/>
                <w:color w:val="1F3864"/>
                <w:sz w:val="20"/>
                <w:szCs w:val="20"/>
              </w:rPr>
              <w:t xml:space="preserve">Documentation et plans de repérage</w:t>
            </w:r>
          </w:p>
        </w:tc>
        <w:tc>
          <w:tcPr>
            <w:tcW w:type="dxa" w:w="34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000"/>
            <w:shd w:fill="F2F2F2" w:color="auto" w:val="clear"/>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Fournisseur :</w:t>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HIKVIEW ENGINEERING — SARL, Rue Marroc, 1250 Sbeitla, MF 1667878 K</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Nombre des rapports fournis : 2 (copie en papier et l'autre électronique)</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CONFORME — La documentation est remise en deux exemplaires :</w:t>
            </w:r>
          </w:p>
          <w:p>
            <w:pPr>
              <w:spacing w:after="0" w:line="252"/>
            </w:pPr>
            <w:r>
              <w:rPr>
                <w:rFonts w:ascii="Calibri" w:cs="Calibri" w:eastAsia="Calibri" w:hAnsi="Calibri"/>
                <w:b w:val="false"/>
                <w:bCs w:val="false"/>
                <w:color w:val="1F3864"/>
                <w:sz w:val="20"/>
                <w:szCs w:val="20"/>
              </w:rPr>
              <w:t xml:space="preserve">• un exemplaire PAPIER relié, complété, daté, signé et cacheté, accompagné des plans imprimés et des rapports natifs du certificateur ;</w:t>
            </w:r>
          </w:p>
          <w:p>
            <w:pPr>
              <w:spacing w:after="0" w:line="252"/>
            </w:pPr>
            <w:r>
              <w:rPr>
                <w:rFonts w:ascii="Calibri" w:cs="Calibri" w:eastAsia="Calibri" w:hAnsi="Calibri"/>
                <w:b w:val="false"/>
                <w:bCs w:val="false"/>
                <w:color w:val="1F3864"/>
                <w:sz w:val="20"/>
                <w:szCs w:val="20"/>
              </w:rPr>
              <w:t xml:space="preserve">• un exemplaire ÉLECTRONIQUE sur support numérique remis au service informatique : document au format PDF et au format modifiable, registre de repérage et de certification au format tableur, plans aux formats PDF et source, rapports natifs du certificateur, notices et fiches techniques des équipements installés.</w:t>
            </w:r>
          </w:p>
          <w:p>
            <w:pPr>
              <w:spacing w:after="0" w:line="252"/>
            </w:pPr>
            <w:r>
              <w:rPr>
                <w:rFonts w:ascii="Calibri" w:cs="Calibri" w:eastAsia="Calibri" w:hAnsi="Calibri"/>
                <w:b w:val="false"/>
                <w:bCs w:val="false"/>
                <w:color w:val="1F3864"/>
                <w:sz w:val="20"/>
                <w:szCs w:val="20"/>
              </w:rPr>
              <w:t xml:space="preserve">Le support électronique est organisé en dossiers portant les mêmes repères que le document papier.  (réf. PJ-10)</w:t>
            </w:r>
          </w:p>
        </w:tc>
      </w:tr>
      <w:tr>
        <w:tc>
          <w:tcPr>
            <w:tcW w:type="dxa" w:w="2500"/>
            <w:tcMar>
              <w:top w:type="dxa" w:w="70"/>
              <w:left w:type="dxa" w:w="110"/>
              <w:bottom w:type="dxa" w:w="70"/>
              <w:right w:type="dxa" w:w="110"/>
            </w:tcMar>
            <w:vAlign w:val="center"/>
          </w:tcPr>
          <w:p>
            <w:pPr>
              <w:spacing w:after="0" w:line="252"/>
            </w:pPr>
            <w:r>
              <w:rPr>
                <w:rFonts w:ascii="Calibri" w:cs="Calibri" w:eastAsia="Calibri" w:hAnsi="Calibri"/>
                <w:b/>
                <w:bCs/>
                <w:sz w:val="20"/>
                <w:szCs w:val="20"/>
              </w:rPr>
              <w:t xml:space="preserve"/>
            </w:r>
          </w:p>
        </w:tc>
        <w:tc>
          <w:tcPr>
            <w:tcW w:type="dxa" w:w="3400"/>
            <w:tcMar>
              <w:top w:type="dxa" w:w="70"/>
              <w:left w:type="dxa" w:w="110"/>
              <w:bottom w:type="dxa" w:w="70"/>
              <w:right w:type="dxa" w:w="110"/>
            </w:tcMar>
            <w:vAlign w:val="center"/>
          </w:tcPr>
          <w:p>
            <w:pPr>
              <w:spacing w:after="0" w:line="252"/>
            </w:pPr>
            <w:r>
              <w:rPr>
                <w:rFonts w:ascii="Calibri" w:cs="Calibri" w:eastAsia="Calibri" w:hAnsi="Calibri"/>
                <w:b w:val="false"/>
                <w:bCs w:val="false"/>
                <w:sz w:val="20"/>
                <w:szCs w:val="20"/>
              </w:rPr>
              <w:t xml:space="preserve">Plan de recollement avec repérage : oui</w:t>
            </w:r>
          </w:p>
        </w:tc>
        <w:tc>
          <w:tcPr>
            <w:tcW w:type="dxa" w:w="3000"/>
            <w:tcMar>
              <w:top w:type="dxa" w:w="70"/>
              <w:left w:type="dxa" w:w="110"/>
              <w:bottom w:type="dxa" w:w="70"/>
              <w:right w:type="dxa" w:w="110"/>
            </w:tcMar>
            <w:vAlign w:val="center"/>
          </w:tcPr>
          <w:p>
            <w:pPr>
              <w:spacing w:after="0" w:line="252"/>
            </w:pPr>
            <w:r>
              <w:rPr>
                <w:rFonts w:ascii="Calibri" w:cs="Calibri" w:eastAsia="Calibri" w:hAnsi="Calibri"/>
                <w:b w:val="false"/>
                <w:bCs w:val="false"/>
                <w:color w:val="1F3864"/>
                <w:sz w:val="20"/>
                <w:szCs w:val="20"/>
              </w:rPr>
              <w:t xml:space="preserve">OUI — Plan de recollement avec repérage indiquant de façon précise toutes les données et caractéristiques des installations réalisées :</w:t>
            </w:r>
          </w:p>
          <w:p>
            <w:pPr>
              <w:spacing w:after="0" w:line="252"/>
            </w:pPr>
            <w:r>
              <w:rPr>
                <w:rFonts w:ascii="Calibri" w:cs="Calibri" w:eastAsia="Calibri" w:hAnsi="Calibri"/>
                <w:b w:val="false"/>
                <w:bCs w:val="false"/>
                <w:color w:val="1F3864"/>
                <w:sz w:val="20"/>
                <w:szCs w:val="20"/>
              </w:rPr>
              <w:t xml:space="preserve">• convention de repérage unique PRÉFIXE-Bnn-ii appliquée aux pointeuses, prises, liens, locaux techniques, panneaux, ports, cordons, coffrets, disjoncteurs et alimentations de secours ;</w:t>
            </w:r>
          </w:p>
          <w:p>
            <w:pPr>
              <w:spacing w:after="0" w:line="252"/>
            </w:pPr>
            <w:r>
              <w:rPr>
                <w:rFonts w:ascii="Calibri" w:cs="Calibri" w:eastAsia="Calibri" w:hAnsi="Calibri"/>
                <w:b w:val="false"/>
                <w:bCs w:val="false"/>
                <w:color w:val="1F3864"/>
                <w:sz w:val="20"/>
                <w:szCs w:val="20"/>
              </w:rPr>
              <w:t xml:space="preserve">• règles de marquage physique par étiquettes transfert thermique aux deux extrémités de chaque câble, sur le plastron, sur le port de brassage et sur l'appareil ;</w:t>
            </w:r>
          </w:p>
          <w:p>
            <w:pPr>
              <w:spacing w:after="0" w:line="252"/>
            </w:pPr>
            <w:r>
              <w:rPr>
                <w:rFonts w:ascii="Calibri" w:cs="Calibri" w:eastAsia="Calibri" w:hAnsi="Calibri"/>
                <w:b w:val="false"/>
                <w:bCs w:val="false"/>
                <w:color w:val="1F3864"/>
                <w:sz w:val="20"/>
                <w:szCs w:val="20"/>
              </w:rPr>
              <w:t xml:space="preserve">• registres des 25 blocs, des liens et de leur certification, des alimentations et de l'adressage réseau ;</w:t>
            </w:r>
          </w:p>
          <w:p>
            <w:pPr>
              <w:spacing w:after="0" w:line="252"/>
            </w:pPr>
            <w:r>
              <w:rPr>
                <w:rFonts w:ascii="Calibri" w:cs="Calibri" w:eastAsia="Calibri" w:hAnsi="Calibri"/>
                <w:b w:val="false"/>
                <w:bCs w:val="false"/>
                <w:color w:val="1F3864"/>
                <w:sz w:val="20"/>
                <w:szCs w:val="20"/>
              </w:rPr>
              <w:t xml:space="preserve">• plan de masse, plan d'implantation par bloc avec position cotée et point de reprise de l'alimentation, synoptique général et schéma des alimentations, avec légende commune.</w:t>
            </w:r>
          </w:p>
          <w:p>
            <w:pPr>
              <w:spacing w:after="0" w:line="252"/>
            </w:pPr>
            <w:r>
              <w:rPr>
                <w:rFonts w:ascii="Calibri" w:cs="Calibri" w:eastAsia="Calibri" w:hAnsi="Calibri"/>
                <w:b w:val="false"/>
                <w:bCs w:val="false"/>
                <w:color w:val="1F3864"/>
                <w:sz w:val="20"/>
                <w:szCs w:val="20"/>
              </w:rPr>
              <w:t xml:space="preserve">Un document type complet est joint à l'offre technique.  (réf. PJ-10)</w:t>
            </w:r>
          </w:p>
        </w:tc>
      </w:tr>
    </w:tbl>
    <w:p>
      <w:pPr>
        <w:spacing w:before="600"/>
      </w:pPr>
    </w:p>
    <w:p>
      <w:pPr>
        <w:spacing w:after="120" w:before="0" w:line="276"/>
        <w:jc w:val="right"/>
      </w:pPr>
      <w:r>
        <w:rPr>
          <w:rFonts w:ascii="Calibri" w:cs="Calibri" w:eastAsia="Calibri" w:hAnsi="Calibri"/>
          <w:sz w:val="22"/>
          <w:szCs w:val="22"/>
        </w:rPr>
        <w:t xml:space="preserve">Fait à ……………………………, le ……………………………</w:t>
      </w:r>
    </w:p>
    <w:p>
      <w:pPr>
        <w:spacing w:before="200"/>
      </w:pPr>
    </w:p>
    <w:p>
      <w:pPr>
        <w:spacing w:after="120" w:before="0" w:line="276"/>
        <w:jc w:val="right"/>
      </w:pPr>
      <w:r>
        <w:rPr>
          <w:rFonts w:ascii="Calibri" w:cs="Calibri" w:eastAsia="Calibri" w:hAnsi="Calibri"/>
          <w:b/>
          <w:bCs/>
          <w:sz w:val="22"/>
          <w:szCs w:val="22"/>
        </w:rPr>
        <w:t xml:space="preserve">Le soumissionnaire</w:t>
      </w:r>
    </w:p>
    <w:p>
      <w:pPr>
        <w:spacing w:after="120" w:before="0" w:line="276"/>
        <w:jc w:val="right"/>
      </w:pPr>
      <w:r>
        <w:rPr>
          <w:rFonts w:ascii="Calibri" w:cs="Calibri" w:eastAsia="Calibri" w:hAnsi="Calibri"/>
          <w:i/>
          <w:iCs/>
          <w:sz w:val="19"/>
          <w:szCs w:val="19"/>
        </w:rPr>
        <w:t xml:space="preserve">(Nom, prénom et qualité du signataire, signature, date et cachet humide)</w:t>
      </w:r>
    </w:p>
    <w:sectPr>
      <w:headerReference w:type="default" r:id="rId7"/>
      <w:footerReference w:type="default" r:id="rId8"/>
      <w:pgSz w:w="11906" w:h="16838" w:orient="portrait"/>
      <w:pgMar w:top="1224"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888888"/>
        <w:sz w:val="16"/>
        <w:szCs w:val="16"/>
      </w:rPr>
      <w:t xml:space="preserve">Paraphe du soumissionnaire : ……………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4"/>
      </w:pBdr>
      <w:spacing w:after="60"/>
      <w:jc w:val="right"/>
    </w:pPr>
    <w:r>
      <w:rPr>
        <w:rFonts w:ascii="Calibri" w:cs="Calibri" w:eastAsia="Calibri" w:hAnsi="Calibri"/>
        <w:b/>
        <w:bCs/>
        <w:color w:val="1F3864"/>
        <w:sz w:val="17"/>
        <w:szCs w:val="17"/>
      </w:rPr>
      <w:t xml:space="preserve">HIKVIEW ENGINEERING</w:t>
    </w:r>
    <w:r>
      <w:rPr>
        <w:rFonts w:ascii="Calibri" w:cs="Calibri" w:eastAsia="Calibri" w:hAnsi="Calibri"/>
        <w:color w:val="777777"/>
        <w:sz w:val="17"/>
        <w:szCs w:val="17"/>
      </w:rPr>
      <w:t xml:space="preserve">   |   Fiches de réponse aux caractéristiques techniques — Consultation N° INF01/2026 — CHU La Rabta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835" w:hanging="259"/>
      </w:pPr>
    </w:lvl>
    <w:lvl w:ilvl="2" w15:tentative="1">
      <w:start w:val="1"/>
      <w:numFmt w:val="bullet"/>
      <w:lvlText w:val="·"/>
      <w:lvlJc w:val="left"/>
      <w:pPr>
        <w:ind w:left="1267"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Fiches de réponse aux caractéristiques techniques minimales exigées — CHU La Rabta</dc:title>
  <dc:creator>HIKVIEW ENGINEERING</dc:creator>
  <cp:lastModifiedBy>Un-named</cp:lastModifiedBy>
  <cp:revision>1</cp:revision>
  <dcterms:created xsi:type="dcterms:W3CDTF">2026-08-29T09:10:10.721Z</dcterms:created>
  <dcterms:modified xsi:type="dcterms:W3CDTF">2026-08-29T09:10:10.721Z</dcterms:modified>
</cp:coreProperties>
</file>

<file path=docProps/custom.xml><?xml version="1.0" encoding="utf-8"?>
<Properties xmlns="http://schemas.openxmlformats.org/officeDocument/2006/custom-properties" xmlns:vt="http://schemas.openxmlformats.org/officeDocument/2006/docPropsVTypes"/>
</file>