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00"/>
        <w:jc w:val="center"/>
      </w:pPr>
      <w:r>
        <w:rPr>
          <w:rFonts w:ascii="Calibri" w:cs="Calibri" w:eastAsia="Calibri" w:hAnsi="Calibri"/>
          <w:b/>
          <w:bCs/>
          <w:color w:val="1F3864"/>
          <w:sz w:val="26"/>
          <w:szCs w:val="26"/>
        </w:rPr>
        <w:t xml:space="preserve">CENTRE HOSPITALO-UNIVERSITAIRE LA RABTA</w:t>
      </w:r>
    </w:p>
    <w:p>
      <w:pPr>
        <w:spacing w:after="500"/>
        <w:jc w:val="center"/>
      </w:pPr>
      <w:r>
        <w:rPr>
          <w:rFonts w:ascii="Calibri" w:cs="Calibri" w:eastAsia="Calibri" w:hAnsi="Calibri"/>
          <w:color w:val="555555"/>
          <w:sz w:val="24"/>
          <w:szCs w:val="24"/>
        </w:rPr>
        <w:t xml:space="preserve">Consultation N° INF01/2026 — 2ᵉ publication</w:t>
      </w:r>
    </w:p>
    <w:p>
      <w:pPr>
        <w:pBdr>
          <w:top w:val="single" w:color="2E74B5" w:sz="12" w:space="12"/>
          <w:bottom w:val="single" w:color="2E74B5" w:sz="12" w:space="12"/>
        </w:pBdr>
        <w:spacing w:after="120"/>
        <w:jc w:val="center"/>
      </w:pPr>
      <w:r>
        <w:rPr>
          <w:rFonts w:ascii="Calibri" w:cs="Calibri" w:eastAsia="Calibri" w:hAnsi="Calibri"/>
          <w:b/>
          <w:bCs/>
          <w:color w:val="1F3864"/>
          <w:sz w:val="50"/>
          <w:szCs w:val="50"/>
        </w:rPr>
        <w:t xml:space="preserve">FICHES DE RÉPONSE</w:t>
      </w:r>
    </w:p>
    <w:p>
      <w:pPr>
        <w:spacing w:after="80" w:before="260"/>
        <w:jc w:val="center"/>
      </w:pPr>
      <w:r>
        <w:rPr>
          <w:rFonts w:ascii="Calibri" w:cs="Calibri" w:eastAsia="Calibri" w:hAnsi="Calibri"/>
          <w:sz w:val="26"/>
          <w:szCs w:val="26"/>
        </w:rPr>
        <w:t xml:space="preserve">aux caractéristiques techniques minimales exigées</w:t>
      </w:r>
    </w:p>
    <w:p>
      <w:pPr>
        <w:spacing w:after="900"/>
        <w:jc w:val="center"/>
      </w:pPr>
      <w:r>
        <w:rPr>
          <w:rFonts w:ascii="Calibri" w:cs="Calibri" w:eastAsia="Calibri" w:hAnsi="Calibri"/>
          <w:b/>
          <w:bCs/>
          <w:color w:val="2E74B5"/>
          <w:sz w:val="26"/>
          <w:szCs w:val="26"/>
        </w:rPr>
        <w:t xml:space="preserve">Système de pointage biométrique — Fiches N° 1 à N° 6</w:t>
      </w:r>
    </w:p>
    <w:p>
      <w:pPr>
        <w:spacing w:after="60"/>
        <w:jc w:val="center"/>
      </w:pPr>
      <w:r>
        <w:rPr>
          <w:rFonts w:ascii="Calibri" w:cs="Calibri" w:eastAsia="Calibri" w:hAnsi="Calibri"/>
          <w:i/>
          <w:iCs/>
          <w:color w:val="777777"/>
          <w:sz w:val="22"/>
          <w:szCs w:val="22"/>
        </w:rPr>
        <w:t xml:space="preserve">Présenté par</w:t>
      </w:r>
    </w:p>
    <w:p>
      <w:pPr>
        <w:spacing w:after="60"/>
        <w:jc w:val="center"/>
      </w:pPr>
      <w:r>
        <w:rPr>
          <w:rFonts w:ascii="Calibri" w:cs="Calibri" w:eastAsia="Calibri" w:hAnsi="Calibri"/>
          <w:b/>
          <w:bCs/>
          <w:color w:val="1F3864"/>
          <w:sz w:val="34"/>
          <w:szCs w:val="34"/>
        </w:rPr>
        <w:t xml:space="preserve">HIKVIEW ENGINEERING</w:t>
      </w:r>
    </w:p>
    <w:p>
      <w:pPr>
        <w:spacing w:after="40"/>
        <w:jc w:val="center"/>
      </w:pPr>
      <w:r>
        <w:rPr>
          <w:rFonts w:ascii="Calibri" w:cs="Calibri" w:eastAsia="Calibri" w:hAnsi="Calibri"/>
          <w:sz w:val="21"/>
          <w:szCs w:val="21"/>
        </w:rPr>
        <w:t xml:space="preserve">Rue Marroc, 1250 Sbeitla — Kasserine, Tunisie</w:t>
      </w:r>
    </w:p>
    <w:p>
      <w:pPr>
        <w:spacing w:after="1000"/>
        <w:jc w:val="center"/>
      </w:pPr>
      <w:r>
        <w:rPr>
          <w:rFonts w:ascii="Calibri" w:cs="Calibri" w:eastAsia="Calibri" w:hAnsi="Calibri"/>
          <w:sz w:val="21"/>
          <w:szCs w:val="21"/>
        </w:rPr>
        <w:t xml:space="preserve">Matricule fiscal : 1667878 K</w:t>
      </w:r>
    </w:p>
    <w:p>
      <w:pPr>
        <w:jc w:val="center"/>
      </w:pPr>
      <w:r>
        <w:rPr>
          <w:rFonts w:ascii="Calibri" w:cs="Calibri" w:eastAsia="Calibri" w:hAnsi="Calibri"/>
          <w:i/>
          <w:iCs/>
          <w:color w:val="C00000"/>
          <w:sz w:val="20"/>
          <w:szCs w:val="20"/>
        </w:rPr>
        <w:t xml:space="preserve">Document à parapher sur chaque page, daté, signé et cacheté à la fin</w:t>
      </w:r>
    </w:p>
    <w:p>
      <w:r>
        <w:br w:type="page"/>
      </w:r>
    </w:p>
    <w:p>
      <w:pPr>
        <w:pStyle w:val="Heading1"/>
        <w:spacing w:after="180" w:before="320"/>
      </w:pPr>
      <w:r>
        <w:rPr>
          <w:rFonts w:ascii="Calibri" w:cs="Calibri" w:eastAsia="Calibri" w:hAnsi="Calibri"/>
          <w:b/>
          <w:bCs/>
          <w:color w:val="1F3864"/>
          <w:sz w:val="30"/>
          <w:szCs w:val="30"/>
        </w:rPr>
        <w:t xml:space="preserve">Note préliminaire</w:t>
      </w:r>
    </w:p>
    <w:p>
      <w:pPr>
        <w:spacing w:after="120" w:before="0" w:line="276"/>
      </w:pPr>
      <w:r>
        <w:rPr>
          <w:rFonts w:ascii="Calibri" w:cs="Calibri" w:eastAsia="Calibri" w:hAnsi="Calibri"/>
          <w:sz w:val="22"/>
          <w:szCs w:val="22"/>
        </w:rPr>
        <w:t xml:space="preserve">Les fiches ci-après reprennent intégralement les caractéristiques minimales exigées par le cahier des clauses techniques particulières. La troisième colonne présente les spécifications techniques proposées par HIKVIEW ENGINEERING ainsi que la référence du justificatif joint à l'offre technique.</w:t>
      </w:r>
    </w:p>
    <w:p>
      <w:pPr>
        <w:spacing w:after="120" w:before="0" w:line="276"/>
      </w:pPr>
      <w:r>
        <w:rPr>
          <w:rFonts w:ascii="Calibri" w:cs="Calibri" w:eastAsia="Calibri" w:hAnsi="Calibri"/>
          <w:i/>
          <w:iCs/>
          <w:sz w:val="22"/>
          <w:szCs w:val="22"/>
        </w:rPr>
        <w:t xml:space="preserve">Les zones signalées par des pointillés (………) doivent être complétées à la main ou par saisie avant le dépôt, une fois la marque et le modèle définitivement arrêtés et les documentations constructeur (Product Data) réunies.</w:t>
      </w:r>
    </w:p>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Références des justificatifs joints à l'offre technique :</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500"/>
        <w:gridCol w:w="7400"/>
      </w:tblGrid>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PJ-01</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constructeur de la pointeuse biométrique (Product Data original)</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PJ-02</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Lenovo ThinkSystem ST250 V3 (DS0172) et guide produit ThinkSystem RAID 940 Series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PJ-03</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descriptive et conditions de licence du logiciel de gestion</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PJ-04</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du câble U/UTP catégorie 6 et certificat de conformité aux normes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PJ-05</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des cordons de brassage U/UTP catégorie 6</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PJ-06</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Fiches techniques des accessoires de cheminement et du module d'alimentation de secours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PJ-07</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Certificat ISO 9001 en cours de validité du fabricant des terminaux</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PJ-08</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Certificats de conformité aux normes (CE / FCC / RoHS) des équipements proposés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PJ-09</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Attestations et lettres de garantie constructeur — 5 ans matériel passif, 1 an matériel actif</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PJ-10</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Document type « Plan de recollement avec repérage » et registre électronique de repérage et de certification</w:t>
            </w:r>
          </w:p>
        </w:tc>
      </w:tr>
    </w:tbl>
    <w:p>
      <w:r>
        <w:br w:type="page"/>
      </w:r>
    </w:p>
    <w:p>
      <w:pPr>
        <w:pStyle w:val="Heading1"/>
        <w:spacing w:after="180" w:before="320"/>
      </w:pPr>
      <w:r>
        <w:rPr>
          <w:rFonts w:ascii="Calibri" w:cs="Calibri" w:eastAsia="Calibri" w:hAnsi="Calibri"/>
          <w:b/>
          <w:bCs/>
          <w:color w:val="1F3864"/>
          <w:sz w:val="30"/>
          <w:szCs w:val="30"/>
        </w:rPr>
        <w:t xml:space="preserve">Fiche n° 1 — Pointeuse biométrique</w:t>
      </w:r>
    </w:p>
    <w:p>
      <w:pPr>
        <w:spacing w:after="120" w:before="0" w:line="276"/>
      </w:pPr>
      <w:r>
        <w:rPr>
          <w:rFonts w:ascii="Calibri" w:cs="Calibri" w:eastAsia="Calibri" w:hAnsi="Calibri"/>
          <w:b/>
          <w:bCs/>
          <w:sz w:val="22"/>
          <w:szCs w:val="22"/>
        </w:rPr>
        <w:t xml:space="preserve">Quantité : 25 unités</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300"/>
        <w:gridCol w:w="3200"/>
        <w:gridCol w:w="3400"/>
      </w:tblGrid>
      <w:tr>
        <w:tc>
          <w:tcPr>
            <w:tcW w:type="dxa" w:w="23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FICHE DES CARACTÉRISTIQUES N° 1</w:t>
            </w:r>
          </w:p>
        </w:tc>
        <w:tc>
          <w:tcPr>
            <w:tcW w:type="dxa" w:w="32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Pointeuse biométrique</w:t>
            </w:r>
          </w:p>
        </w:tc>
        <w:tc>
          <w:tcPr>
            <w:tcW w:type="dxa" w:w="340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w:t>
            </w:r>
          </w:p>
        </w:tc>
        <w:tc>
          <w:tcPr>
            <w:tcW w:type="dxa" w:w="3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Valeur minimale exigée</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Identification</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Marque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ZKTeco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SpeedFace-V5L  — version avec capteur d'empreinte et module carte multi-technologies bi-fréquence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Pays d'origine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PJ-01)</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Caractéristiques techniques</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Technologie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Utilisation de cartes ou badges RFID (Radio Frequency Identification).</w:t>
            </w:r>
          </w:p>
          <w:p>
            <w:pPr>
              <w:spacing w:after="0" w:line="252"/>
            </w:pPr>
            <w:r>
              <w:rPr>
                <w:rFonts w:ascii="Calibri" w:cs="Calibri" w:eastAsia="Calibri" w:hAnsi="Calibri"/>
                <w:b w:val="false"/>
                <w:bCs w:val="false"/>
                <w:sz w:val="20"/>
                <w:szCs w:val="20"/>
              </w:rPr>
              <w:t xml:space="preserve">• Utilisation d'empreintes digitales, de reconnaissance faciale.</w:t>
            </w:r>
          </w:p>
          <w:p>
            <w:pPr>
              <w:spacing w:after="0" w:line="252"/>
            </w:pPr>
            <w:r>
              <w:rPr>
                <w:rFonts w:ascii="Calibri" w:cs="Calibri" w:eastAsia="Calibri" w:hAnsi="Calibri"/>
                <w:b w:val="false"/>
                <w:bCs w:val="false"/>
                <w:sz w:val="20"/>
                <w:szCs w:val="20"/>
              </w:rPr>
              <w:t xml:space="preserve">• Utilisation de code d'accès.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Terminal multimodal assurant les quatre modes :</w:t>
            </w:r>
          </w:p>
          <w:p>
            <w:pPr>
              <w:spacing w:after="0" w:line="252"/>
            </w:pPr>
            <w:r>
              <w:rPr>
                <w:rFonts w:ascii="Calibri" w:cs="Calibri" w:eastAsia="Calibri" w:hAnsi="Calibri"/>
                <w:b w:val="false"/>
                <w:bCs w:val="false"/>
                <w:color w:val="1F3864"/>
                <w:sz w:val="20"/>
                <w:szCs w:val="20"/>
              </w:rPr>
              <w:t xml:space="preserve">• Badge RFID (module multi-technologies) ;</w:t>
            </w:r>
          </w:p>
          <w:p>
            <w:pPr>
              <w:spacing w:after="0" w:line="252"/>
            </w:pPr>
            <w:r>
              <w:rPr>
                <w:rFonts w:ascii="Calibri" w:cs="Calibri" w:eastAsia="Calibri" w:hAnsi="Calibri"/>
                <w:b w:val="false"/>
                <w:bCs w:val="false"/>
                <w:color w:val="1F3864"/>
                <w:sz w:val="20"/>
                <w:szCs w:val="20"/>
              </w:rPr>
              <w:t xml:space="preserve">• Empreinte digitale (capteur optique intégré) ;</w:t>
            </w:r>
          </w:p>
          <w:p>
            <w:pPr>
              <w:spacing w:after="0" w:line="252"/>
            </w:pPr>
            <w:r>
              <w:rPr>
                <w:rFonts w:ascii="Calibri" w:cs="Calibri" w:eastAsia="Calibri" w:hAnsi="Calibri"/>
                <w:b w:val="false"/>
                <w:bCs w:val="false"/>
                <w:color w:val="1F3864"/>
                <w:sz w:val="20"/>
                <w:szCs w:val="20"/>
              </w:rPr>
              <w:t xml:space="preserve">• Reconnaissance faciale (caméra binoculaire 2 MP WDR) ;</w:t>
            </w:r>
          </w:p>
          <w:p>
            <w:pPr>
              <w:spacing w:after="0" w:line="252"/>
            </w:pPr>
            <w:r>
              <w:rPr>
                <w:rFonts w:ascii="Calibri" w:cs="Calibri" w:eastAsia="Calibri" w:hAnsi="Calibri"/>
                <w:b w:val="false"/>
                <w:bCs w:val="false"/>
                <w:color w:val="1F3864"/>
                <w:sz w:val="20"/>
                <w:szCs w:val="20"/>
              </w:rPr>
              <w:t xml:space="preserve">• Code d'accès (PIN) sur clavier tactile.</w:t>
            </w:r>
          </w:p>
          <w:p>
            <w:pPr>
              <w:spacing w:after="0" w:line="252"/>
            </w:pPr>
            <w:r>
              <w:rPr>
                <w:rFonts w:ascii="Calibri" w:cs="Calibri" w:eastAsia="Calibri" w:hAnsi="Calibri"/>
                <w:b w:val="false"/>
                <w:bCs w:val="false"/>
                <w:color w:val="1F3864"/>
                <w:sz w:val="20"/>
                <w:szCs w:val="20"/>
              </w:rPr>
              <w:t xml:space="preserve">Les modes sont utilisables seuls ou combinés en authentification multifacteur.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Fréquence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Fonctionnement à des fréquences standard (125 kHz, 13.56 MHz).</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Module carte multi-technologies bi-fréquence :</w:t>
            </w:r>
          </w:p>
          <w:p>
            <w:pPr>
              <w:spacing w:after="0" w:line="252"/>
            </w:pPr>
            <w:r>
              <w:rPr>
                <w:rFonts w:ascii="Calibri" w:cs="Calibri" w:eastAsia="Calibri" w:hAnsi="Calibri"/>
                <w:b w:val="false"/>
                <w:bCs w:val="false"/>
                <w:color w:val="1F3864"/>
                <w:sz w:val="20"/>
                <w:szCs w:val="20"/>
              </w:rPr>
              <w:t xml:space="preserve">• 125 kHz : cartes EM / ID ;</w:t>
            </w:r>
          </w:p>
          <w:p>
            <w:pPr>
              <w:spacing w:after="0" w:line="252"/>
            </w:pPr>
            <w:r>
              <w:rPr>
                <w:rFonts w:ascii="Calibri" w:cs="Calibri" w:eastAsia="Calibri" w:hAnsi="Calibri"/>
                <w:b w:val="false"/>
                <w:bCs w:val="false"/>
                <w:color w:val="1F3864"/>
                <w:sz w:val="20"/>
                <w:szCs w:val="20"/>
              </w:rPr>
              <w:t xml:space="preserve">• 13,56 MHz : Mifare, Mifare Plus, DESFire EV1/EV2.</w:t>
            </w:r>
          </w:p>
          <w:p>
            <w:pPr>
              <w:spacing w:after="0" w:line="252"/>
            </w:pPr>
            <w:r>
              <w:rPr>
                <w:rFonts w:ascii="Calibri" w:cs="Calibri" w:eastAsia="Calibri" w:hAnsi="Calibri"/>
                <w:b w:val="false"/>
                <w:bCs w:val="false"/>
                <w:color w:val="1F3864"/>
                <w:sz w:val="20"/>
                <w:szCs w:val="20"/>
              </w:rPr>
              <w:t xml:space="preserve">Les deux fréquences sont opérationnelles simultanément sur le même terminal.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Capteurs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Capteurs optiques, capacitifs ou ultrasoniques pour la lecture des empreintes.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Capteur d'empreinte optique haute résolution intégré au terminal, associé à un algorithme de reconnaissance de dernière génération.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Distance de lecture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Lecture à une distance variable (généralement de 5 à 10 cm).</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w:t>
            </w:r>
          </w:p>
          <w:p>
            <w:pPr>
              <w:spacing w:after="0" w:line="252"/>
            </w:pPr>
            <w:r>
              <w:rPr>
                <w:rFonts w:ascii="Calibri" w:cs="Calibri" w:eastAsia="Calibri" w:hAnsi="Calibri"/>
                <w:b w:val="false"/>
                <w:bCs w:val="false"/>
                <w:color w:val="1F3864"/>
                <w:sz w:val="20"/>
                <w:szCs w:val="20"/>
              </w:rPr>
              <w:t xml:space="preserve">• Badge RFID : 3 à 8 cm ;</w:t>
            </w:r>
          </w:p>
          <w:p>
            <w:pPr>
              <w:spacing w:after="0" w:line="252"/>
            </w:pPr>
            <w:r>
              <w:rPr>
                <w:rFonts w:ascii="Calibri" w:cs="Calibri" w:eastAsia="Calibri" w:hAnsi="Calibri"/>
                <w:b w:val="false"/>
                <w:bCs w:val="false"/>
                <w:color w:val="1F3864"/>
                <w:sz w:val="20"/>
                <w:szCs w:val="20"/>
              </w:rPr>
              <w:t xml:space="preserve">• Empreinte : contact sur capteur ;</w:t>
            </w:r>
          </w:p>
          <w:p>
            <w:pPr>
              <w:spacing w:after="0" w:line="252"/>
            </w:pPr>
            <w:r>
              <w:rPr>
                <w:rFonts w:ascii="Calibri" w:cs="Calibri" w:eastAsia="Calibri" w:hAnsi="Calibri"/>
                <w:b w:val="false"/>
                <w:bCs w:val="false"/>
                <w:color w:val="1F3864"/>
                <w:sz w:val="20"/>
                <w:szCs w:val="20"/>
              </w:rPr>
              <w:t xml:space="preserve">• Visage : 30 cm à 1,70 m (sans contact).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Temps de vérification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Identification rapide en quelques secondes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supérieur à l'exigence —</w:t>
            </w:r>
          </w:p>
          <w:p>
            <w:pPr>
              <w:spacing w:after="0" w:line="252"/>
            </w:pPr>
            <w:r>
              <w:rPr>
                <w:rFonts w:ascii="Calibri" w:cs="Calibri" w:eastAsia="Calibri" w:hAnsi="Calibri"/>
                <w:b w:val="false"/>
                <w:bCs w:val="false"/>
                <w:color w:val="1F3864"/>
                <w:sz w:val="20"/>
                <w:szCs w:val="20"/>
              </w:rPr>
              <w:t xml:space="preserve">• Reconnaissance faciale : &lt; 0,35 seconde ;</w:t>
            </w:r>
          </w:p>
          <w:p>
            <w:pPr>
              <w:spacing w:after="0" w:line="252"/>
            </w:pPr>
            <w:r>
              <w:rPr>
                <w:rFonts w:ascii="Calibri" w:cs="Calibri" w:eastAsia="Calibri" w:hAnsi="Calibri"/>
                <w:b w:val="false"/>
                <w:bCs w:val="false"/>
                <w:color w:val="1F3864"/>
                <w:sz w:val="20"/>
                <w:szCs w:val="20"/>
              </w:rPr>
              <w:t xml:space="preserve">• Empreinte digitale : &lt; 0,5 seconde ;</w:t>
            </w:r>
          </w:p>
          <w:p>
            <w:pPr>
              <w:spacing w:after="0" w:line="252"/>
            </w:pPr>
            <w:r>
              <w:rPr>
                <w:rFonts w:ascii="Calibri" w:cs="Calibri" w:eastAsia="Calibri" w:hAnsi="Calibri"/>
                <w:b w:val="false"/>
                <w:bCs w:val="false"/>
                <w:color w:val="1F3864"/>
                <w:sz w:val="20"/>
                <w:szCs w:val="20"/>
              </w:rPr>
              <w:t xml:space="preserve">• Badge et code : instantané.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Capacité de stockage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Capacité de stocker des milliers de transactions de pointage.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largement supérieur —</w:t>
            </w:r>
          </w:p>
          <w:p>
            <w:pPr>
              <w:spacing w:after="0" w:line="252"/>
            </w:pPr>
            <w:r>
              <w:rPr>
                <w:rFonts w:ascii="Calibri" w:cs="Calibri" w:eastAsia="Calibri" w:hAnsi="Calibri"/>
                <w:b w:val="false"/>
                <w:bCs w:val="false"/>
                <w:color w:val="1F3864"/>
                <w:sz w:val="20"/>
                <w:szCs w:val="20"/>
              </w:rPr>
              <w:t xml:space="preserve">• 200 000 transactions de pointage en mémoire locale ;</w:t>
            </w:r>
          </w:p>
          <w:p>
            <w:pPr>
              <w:spacing w:after="0" w:line="252"/>
            </w:pPr>
            <w:r>
              <w:rPr>
                <w:rFonts w:ascii="Calibri" w:cs="Calibri" w:eastAsia="Calibri" w:hAnsi="Calibri"/>
                <w:b w:val="false"/>
                <w:bCs w:val="false"/>
                <w:color w:val="1F3864"/>
                <w:sz w:val="20"/>
                <w:szCs w:val="20"/>
              </w:rPr>
              <w:t xml:space="preserve">• Fonctionnement autonome et sans perte de données en cas de coupure du réseau, avec synchronisation automatique au rétablissement de la liaison.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Batterie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Batterie d'autonomie de 02 heures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Le terminal est livré avec un module d'alimentation de secours 12 V DC dédié, dimensionné pour assurer une autonomie de fonctionnement d'au moins deux (02) heures en cas de coupure du réseau électrique.</w:t>
            </w:r>
          </w:p>
          <w:p>
            <w:pPr>
              <w:spacing w:after="0" w:line="252"/>
            </w:pPr>
            <w:r>
              <w:rPr>
                <w:rFonts w:ascii="Calibri" w:cs="Calibri" w:eastAsia="Calibri" w:hAnsi="Calibri"/>
                <w:b w:val="false"/>
                <w:bCs w:val="false"/>
                <w:color w:val="1F3864"/>
                <w:sz w:val="20"/>
                <w:szCs w:val="20"/>
              </w:rPr>
              <w:t xml:space="preserve">Un module est fourni et installé pour chacune des 25 pointeuses. Le terminal reste pleinement opérationnel pendant la coupure : identification, enregistrement et affichage.  (réf. PJ-06)</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Interface utilisateur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Écran LCD pour afficher les informations de pointage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supérieur — Écran couleur IPS tactile de 5 pouces (720 × 1280).</w:t>
            </w:r>
          </w:p>
          <w:p>
            <w:pPr>
              <w:spacing w:after="0" w:line="252"/>
            </w:pPr>
            <w:r>
              <w:rPr>
                <w:rFonts w:ascii="Calibri" w:cs="Calibri" w:eastAsia="Calibri" w:hAnsi="Calibri"/>
                <w:b w:val="false"/>
                <w:bCs w:val="false"/>
                <w:color w:val="1F3864"/>
                <w:sz w:val="20"/>
                <w:szCs w:val="20"/>
              </w:rPr>
              <w:t xml:space="preserve">Affichage du nom de l'agent, de la date et de l'heure, du sens du pointage (entrée / sortie) et du résultat de l'identification. Interface disponible en français et en arabe.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Connectivité</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Ports USB, Ethernet, pour la communication avec le logiciel de gestion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w:t>
            </w:r>
          </w:p>
          <w:p>
            <w:pPr>
              <w:spacing w:after="0" w:line="252"/>
            </w:pPr>
            <w:r>
              <w:rPr>
                <w:rFonts w:ascii="Calibri" w:cs="Calibri" w:eastAsia="Calibri" w:hAnsi="Calibri"/>
                <w:b w:val="false"/>
                <w:bCs w:val="false"/>
                <w:color w:val="1F3864"/>
                <w:sz w:val="20"/>
                <w:szCs w:val="20"/>
              </w:rPr>
              <w:t xml:space="preserve">• Ethernet RJ-45 10/100 Mbps (TCP/IP) — liaison principale avec le logiciel de gestion ;</w:t>
            </w:r>
          </w:p>
          <w:p>
            <w:pPr>
              <w:spacing w:after="0" w:line="252"/>
            </w:pPr>
            <w:r>
              <w:rPr>
                <w:rFonts w:ascii="Calibri" w:cs="Calibri" w:eastAsia="Calibri" w:hAnsi="Calibri"/>
                <w:b w:val="false"/>
                <w:bCs w:val="false"/>
                <w:color w:val="1F3864"/>
                <w:sz w:val="20"/>
                <w:szCs w:val="20"/>
              </w:rPr>
              <w:t xml:space="preserve">• Port USB (hôte) pour l'export local des données de pointage et la mise à jour du micrologiciel ;</w:t>
            </w:r>
          </w:p>
          <w:p>
            <w:pPr>
              <w:spacing w:after="0" w:line="252"/>
            </w:pPr>
            <w:r>
              <w:rPr>
                <w:rFonts w:ascii="Calibri" w:cs="Calibri" w:eastAsia="Calibri" w:hAnsi="Calibri"/>
                <w:b w:val="false"/>
                <w:bCs w:val="false"/>
                <w:color w:val="1F3864"/>
                <w:sz w:val="20"/>
                <w:szCs w:val="20"/>
              </w:rPr>
              <w:t xml:space="preserve">• RS-485 et Wiegand (entrée / sortie) ;</w:t>
            </w:r>
          </w:p>
          <w:p>
            <w:pPr>
              <w:spacing w:after="0" w:line="252"/>
            </w:pPr>
            <w:r>
              <w:rPr>
                <w:rFonts w:ascii="Calibri" w:cs="Calibri" w:eastAsia="Calibri" w:hAnsi="Calibri"/>
                <w:b w:val="false"/>
                <w:bCs w:val="false"/>
                <w:color w:val="1F3864"/>
                <w:sz w:val="20"/>
                <w:szCs w:val="20"/>
              </w:rPr>
              <w:t xml:space="preserve">• Wi-Fi en option.</w:t>
            </w:r>
          </w:p>
          <w:p>
            <w:pPr>
              <w:spacing w:after="0" w:line="252"/>
            </w:pPr>
            <w:r>
              <w:rPr>
                <w:rFonts w:ascii="Calibri" w:cs="Calibri" w:eastAsia="Calibri" w:hAnsi="Calibri"/>
                <w:b w:val="false"/>
                <w:bCs w:val="false"/>
                <w:color w:val="1F3864"/>
                <w:sz w:val="20"/>
                <w:szCs w:val="20"/>
              </w:rPr>
              <w:t xml:space="preserve">À CONFIRMER sur la Product Data du modèle définitivement commandé.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Nombre d'utilisateurs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Capacité de la pointeuse à gérer le nombre d'employés de l'hôpital et de prendre en considération les évolutions futures.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dimensionné pour l'évolution —</w:t>
            </w:r>
          </w:p>
          <w:p>
            <w:pPr>
              <w:spacing w:after="0" w:line="252"/>
            </w:pPr>
            <w:r>
              <w:rPr>
                <w:rFonts w:ascii="Calibri" w:cs="Calibri" w:eastAsia="Calibri" w:hAnsi="Calibri"/>
                <w:b w:val="false"/>
                <w:bCs w:val="false"/>
                <w:color w:val="1F3864"/>
                <w:sz w:val="20"/>
                <w:szCs w:val="20"/>
              </w:rPr>
              <w:t xml:space="preserve">• Visages : 6 000 en configuration standard, extensible à 10 000 ;</w:t>
            </w:r>
          </w:p>
          <w:p>
            <w:pPr>
              <w:spacing w:after="0" w:line="252"/>
            </w:pPr>
            <w:r>
              <w:rPr>
                <w:rFonts w:ascii="Calibri" w:cs="Calibri" w:eastAsia="Calibri" w:hAnsi="Calibri"/>
                <w:b w:val="false"/>
                <w:bCs w:val="false"/>
                <w:color w:val="1F3864"/>
                <w:sz w:val="20"/>
                <w:szCs w:val="20"/>
              </w:rPr>
              <w:t xml:space="preserve">• Empreintes digitales : 6 000 en configuration standard, extensible à 10 000 ;</w:t>
            </w:r>
          </w:p>
          <w:p>
            <w:pPr>
              <w:spacing w:after="0" w:line="252"/>
            </w:pPr>
            <w:r>
              <w:rPr>
                <w:rFonts w:ascii="Calibri" w:cs="Calibri" w:eastAsia="Calibri" w:hAnsi="Calibri"/>
                <w:b w:val="false"/>
                <w:bCs w:val="false"/>
                <w:color w:val="1F3864"/>
                <w:sz w:val="20"/>
                <w:szCs w:val="20"/>
              </w:rPr>
              <w:t xml:space="preserve">• Badges : 6 000, extensible à 10 000 ;</w:t>
            </w:r>
          </w:p>
          <w:p>
            <w:pPr>
              <w:spacing w:after="0" w:line="252"/>
            </w:pPr>
            <w:r>
              <w:rPr>
                <w:rFonts w:ascii="Calibri" w:cs="Calibri" w:eastAsia="Calibri" w:hAnsi="Calibri"/>
                <w:b w:val="false"/>
                <w:bCs w:val="false"/>
                <w:color w:val="1F3864"/>
                <w:sz w:val="20"/>
                <w:szCs w:val="20"/>
              </w:rPr>
              <w:t xml:space="preserve">• Utilisateurs : 6 000, extensible à 10 000.</w:t>
            </w:r>
          </w:p>
          <w:p>
            <w:pPr>
              <w:spacing w:after="0" w:line="252"/>
            </w:pPr>
            <w:r>
              <w:rPr>
                <w:rFonts w:ascii="Calibri" w:cs="Calibri" w:eastAsia="Calibri" w:hAnsi="Calibri"/>
                <w:b w:val="false"/>
                <w:bCs w:val="false"/>
                <w:color w:val="1F3864"/>
                <w:sz w:val="20"/>
                <w:szCs w:val="20"/>
              </w:rPr>
              <w:t xml:space="preserve">Soit deux fois l'effectif actuel de l'établissement (plus de 3 000 salariés) sur un seul terminal, alors que chaque pointeuse ne dessert que les agents des services affectés à son bloc. La réserve de capacité couvre largement la croissance des effectifs et la gestion des flux de personnel.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Anti-fraude faciale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Éviter les fausses prises faciales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Caméra binoculaire 2 MP WDR avec détection de vivacité : rejet des photographies, des vidéos et des masques imprimés. Détection du port du masque. Seuils de sensibilité et de tolérance paramétrables.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Protection anti-vandalisme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Protection des pointeuses contre le vandalisme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Boîtier en matériau renforcé, écran protégé, vis anti-vandalisme nécessitant un outil spécifique, fixation murale sécurisée et contact d'autoprotection (tamper) générant une alarme dans l'application.  (réf. PJ-01 / PJ-06)</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Normes et qualité</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Fabricant titulaire d'un certificat ISO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Fabricant certifié ISO 9001 et ISO 14001 ; équipements conformes CE, FCC et RoHS. Matériel neuf, non reconditionné, de fabrication non arrêtée.  (réf. PJ-07 / PJ-08)</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Garantie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an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de douze (12) mois de fonctionnement effectif à compter de la réception provisoire, assortie d'un engagement de maintenance préventive et curative de cinq (05) ans.  (réf. PJ-09)</w:t>
            </w:r>
          </w:p>
        </w:tc>
      </w:tr>
    </w:tbl>
    <w:p>
      <w:r>
        <w:br w:type="page"/>
      </w:r>
    </w:p>
    <w:p>
      <w:pPr>
        <w:pStyle w:val="Heading1"/>
        <w:spacing w:after="180" w:before="320"/>
      </w:pPr>
      <w:r>
        <w:rPr>
          <w:rFonts w:ascii="Calibri" w:cs="Calibri" w:eastAsia="Calibri" w:hAnsi="Calibri"/>
          <w:b/>
          <w:bCs/>
          <w:color w:val="1F3864"/>
          <w:sz w:val="30"/>
          <w:szCs w:val="30"/>
        </w:rPr>
        <w:t xml:space="preserve">Fiche n° 2 — Serveur</w:t>
      </w:r>
    </w:p>
    <w:p>
      <w:pPr>
        <w:spacing w:after="120" w:before="0" w:line="276"/>
      </w:pPr>
      <w:r>
        <w:rPr>
          <w:rFonts w:ascii="Calibri" w:cs="Calibri" w:eastAsia="Calibri" w:hAnsi="Calibri"/>
          <w:b/>
          <w:bCs/>
          <w:sz w:val="22"/>
          <w:szCs w:val="22"/>
        </w:rPr>
        <w:t xml:space="preserve">Quantité : 01 unité</w:t>
      </w:r>
    </w:p>
    <w:p>
      <w:pPr>
        <w:spacing w:after="120" w:before="0" w:line="276"/>
      </w:pPr>
      <w:r>
        <w:rPr>
          <w:rFonts w:ascii="Calibri" w:cs="Calibri" w:eastAsia="Calibri" w:hAnsi="Calibri"/>
          <w:b/>
          <w:bCs/>
          <w:color w:val="1F3864"/>
          <w:sz w:val="22"/>
          <w:szCs w:val="22"/>
        </w:rPr>
        <w:t xml:space="preserve">Serveur proposé : Lenovo ThinkSystem ST250 V3, équipé du contrôleur ThinkSystem RAID 940-8i.</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300"/>
        <w:gridCol w:w="3200"/>
        <w:gridCol w:w="3400"/>
      </w:tblGrid>
      <w:tr>
        <w:tc>
          <w:tcPr>
            <w:tcW w:type="dxa" w:w="23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FICHE DES CARACTÉRISTIQUES N° 2</w:t>
            </w:r>
          </w:p>
        </w:tc>
        <w:tc>
          <w:tcPr>
            <w:tcW w:type="dxa" w:w="32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Serveur</w:t>
            </w:r>
          </w:p>
        </w:tc>
        <w:tc>
          <w:tcPr>
            <w:tcW w:type="dxa" w:w="340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w:t>
            </w:r>
          </w:p>
        </w:tc>
        <w:tc>
          <w:tcPr>
            <w:tcW w:type="dxa" w:w="3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Valeur minimale exigée</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Identification</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Marque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LENOVO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ThinkSystem ST250 V3 — châssis 4U, convertible en montage rack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Pays d'origine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(à renseigner d'après le certificat d'origine du distributeur agréé)</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Caractéristiques techniques</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Intel Xeon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Processeur Intel Xeon E-2436 (série E-2400), architecture Raptor Lake, DDR5.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Type 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Hexa Core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Six (06) cœurs physiques / 12 threads.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Référence 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indiquer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Intel Xeon E-2436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Fréquence 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2.10 GHz up to 2.2 GHz Turbo max</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supérieur —</w:t>
            </w:r>
          </w:p>
          <w:p>
            <w:pPr>
              <w:spacing w:after="0" w:line="252"/>
            </w:pPr>
            <w:r>
              <w:rPr>
                <w:rFonts w:ascii="Calibri" w:cs="Calibri" w:eastAsia="Calibri" w:hAnsi="Calibri"/>
                <w:b w:val="false"/>
                <w:bCs w:val="false"/>
                <w:color w:val="1F3864"/>
                <w:sz w:val="20"/>
                <w:szCs w:val="20"/>
              </w:rPr>
              <w:t xml:space="preserve">• Fréquence de base : 2,90 GHz (exigée : 2,10 GHz) ;</w:t>
            </w:r>
          </w:p>
          <w:p>
            <w:pPr>
              <w:spacing w:after="0" w:line="252"/>
            </w:pPr>
            <w:r>
              <w:rPr>
                <w:rFonts w:ascii="Calibri" w:cs="Calibri" w:eastAsia="Calibri" w:hAnsi="Calibri"/>
                <w:b w:val="false"/>
                <w:bCs w:val="false"/>
                <w:color w:val="1F3864"/>
                <w:sz w:val="20"/>
                <w:szCs w:val="20"/>
              </w:rPr>
              <w:t xml:space="preserve">• Fréquence Turbo maximale : 5,00 GHz (exigée : 2,20 GHz).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Mémoire Cache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18 Mo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Cache de 18 Mo, strictement conforme à la valeur exigée.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Mémoire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32 Go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32 Go de mémoire TruDDR5 5600 MHz installés.</w:t>
            </w:r>
          </w:p>
          <w:p>
            <w:pPr>
              <w:spacing w:after="0" w:line="252"/>
            </w:pPr>
            <w:r>
              <w:rPr>
                <w:rFonts w:ascii="Calibri" w:cs="Calibri" w:eastAsia="Calibri" w:hAnsi="Calibri"/>
                <w:b w:val="false"/>
                <w:bCs w:val="false"/>
                <w:color w:val="1F3864"/>
                <w:sz w:val="20"/>
                <w:szCs w:val="20"/>
              </w:rPr>
              <w:t xml:space="preserve">Quatre (04) emplacements DIMM au total, extensibles jusqu'à 128 Go pour accompagner la croissance des effectifs de l'établissement.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Disque Dur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4 disques SSD 4x2 To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Quatre (04) disques SSD de 2 To chacun, soit 8 To bruts, en baies remplaçables à chaud.</w:t>
            </w:r>
          </w:p>
          <w:p>
            <w:pPr>
              <w:spacing w:after="0" w:line="252"/>
            </w:pPr>
            <w:r>
              <w:rPr>
                <w:rFonts w:ascii="Calibri" w:cs="Calibri" w:eastAsia="Calibri" w:hAnsi="Calibri"/>
                <w:b w:val="false"/>
                <w:bCs w:val="false"/>
                <w:color w:val="1F3864"/>
                <w:sz w:val="20"/>
                <w:szCs w:val="20"/>
              </w:rPr>
              <w:t xml:space="preserve">Le châssis accepte jusqu'à 8 disques 3,5" ou 16 disques 2,5", laissant une réserve d'extension importante sans changement de serveur.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Contrôleur RAID</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Niveaux 0,1,10,5,50,6,60</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Contrôleur matériel ThinkSystem RAID 940-8i 4 Go Flash PCIe Gen4 12 Gb (référence Lenovo 4Y37A09728).</w:t>
            </w:r>
          </w:p>
          <w:p>
            <w:pPr>
              <w:spacing w:after="0" w:line="252"/>
            </w:pPr>
            <w:r>
              <w:rPr>
                <w:rFonts w:ascii="Calibri" w:cs="Calibri" w:eastAsia="Calibri" w:hAnsi="Calibri"/>
                <w:b w:val="false"/>
                <w:bCs w:val="false"/>
                <w:color w:val="1F3864"/>
                <w:sz w:val="20"/>
                <w:szCs w:val="20"/>
              </w:rPr>
              <w:t xml:space="preserve">Sa documentation constructeur indique : « Support for RAID 0, 1, 10, 5, 50, 6 and 60 standard » — soit strictement les sept niveaux exigés, sans licence complémentaire.</w:t>
            </w:r>
          </w:p>
          <w:p>
            <w:pPr>
              <w:spacing w:after="0" w:line="252"/>
            </w:pPr>
            <w:r>
              <w:rPr>
                <w:rFonts w:ascii="Calibri" w:cs="Calibri" w:eastAsia="Calibri" w:hAnsi="Calibri"/>
                <w:b w:val="false"/>
                <w:bCs w:val="false"/>
                <w:color w:val="1F3864"/>
                <w:sz w:val="20"/>
                <w:szCs w:val="20"/>
              </w:rPr>
              <w:t xml:space="preserve">Processeur RAID dédié (RAID-on-Chip, famille Broadcom MegaRAID 9560) déchargeant intégralement le processeur du serveur, avec accélération matérielle des calculs de parité RAID 5 et RAID 6.</w:t>
            </w:r>
          </w:p>
          <w:p>
            <w:pPr>
              <w:spacing w:after="0" w:line="252"/>
            </w:pPr>
            <w:r>
              <w:rPr>
                <w:rFonts w:ascii="Calibri" w:cs="Calibri" w:eastAsia="Calibri" w:hAnsi="Calibri"/>
                <w:b w:val="false"/>
                <w:bCs w:val="false"/>
                <w:color w:val="1F3864"/>
                <w:sz w:val="20"/>
                <w:szCs w:val="20"/>
              </w:rPr>
              <w:t xml:space="preserve">Cache de 4 Go protégé par mémoire flash (flash-backed cache), interface hôte PCIe 4.0 x8, connectivité 12 Gb/s SAS et SATA jusqu'à huit disques internes.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Carte Graphique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GPU intégré</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Contrôleur graphique intégré au processeur de gestion Lenovo XClarity Controller 2, avec sortie vidéo VGA en face arrière.</w:t>
            </w:r>
          </w:p>
          <w:p>
            <w:pPr>
              <w:spacing w:after="0" w:line="252"/>
            </w:pPr>
            <w:r>
              <w:rPr>
                <w:rFonts w:ascii="Calibri" w:cs="Calibri" w:eastAsia="Calibri" w:hAnsi="Calibri"/>
                <w:b w:val="false"/>
                <w:bCs w:val="false"/>
                <w:color w:val="1F3864"/>
                <w:sz w:val="20"/>
                <w:szCs w:val="20"/>
              </w:rPr>
              <w:t xml:space="preserve">Le serveur admet en option une carte graphique dédiée NVIDIA Quadro T400 ou T1000 si l'administration le souhaite ultérieurement.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Connecteurs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3x USB 3.2 G1, 1x USB 2.0, RJ-45, 1x vidéo VGA, 1x port série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supérieur —</w:t>
            </w:r>
          </w:p>
          <w:p>
            <w:pPr>
              <w:spacing w:after="0" w:line="252"/>
            </w:pPr>
            <w:r>
              <w:rPr>
                <w:rFonts w:ascii="Calibri" w:cs="Calibri" w:eastAsia="Calibri" w:hAnsi="Calibri"/>
                <w:b w:val="false"/>
                <w:bCs w:val="false"/>
                <w:color w:val="1F3864"/>
                <w:sz w:val="20"/>
                <w:szCs w:val="20"/>
              </w:rPr>
              <w:t xml:space="preserve">• USB 3.2 Gen 1 : cinq ports au total — un en façade, quatre en face arrière (exigés : trois) ;</w:t>
            </w:r>
          </w:p>
          <w:p>
            <w:pPr>
              <w:spacing w:after="0" w:line="252"/>
            </w:pPr>
            <w:r>
              <w:rPr>
                <w:rFonts w:ascii="Calibri" w:cs="Calibri" w:eastAsia="Calibri" w:hAnsi="Calibri"/>
                <w:b w:val="false"/>
                <w:bCs w:val="false"/>
                <w:color w:val="1F3864"/>
                <w:sz w:val="20"/>
                <w:szCs w:val="20"/>
              </w:rPr>
              <w:t xml:space="preserve">• USB 2.0 : un port en façade, dédié à la gestion XClarity Mobile (exigé : un) ;</w:t>
            </w:r>
          </w:p>
          <w:p>
            <w:pPr>
              <w:spacing w:after="0" w:line="252"/>
            </w:pPr>
            <w:r>
              <w:rPr>
                <w:rFonts w:ascii="Calibri" w:cs="Calibri" w:eastAsia="Calibri" w:hAnsi="Calibri"/>
                <w:b w:val="false"/>
                <w:bCs w:val="false"/>
                <w:color w:val="1F3864"/>
                <w:sz w:val="20"/>
                <w:szCs w:val="20"/>
              </w:rPr>
              <w:t xml:space="preserve">• RJ-45 : deux ports Ethernet 1 GbE intégrés, plus un port RJ-45 dédié à l'administration à distance ;</w:t>
            </w:r>
          </w:p>
          <w:p>
            <w:pPr>
              <w:spacing w:after="0" w:line="252"/>
            </w:pPr>
            <w:r>
              <w:rPr>
                <w:rFonts w:ascii="Calibri" w:cs="Calibri" w:eastAsia="Calibri" w:hAnsi="Calibri"/>
                <w:b w:val="false"/>
                <w:bCs w:val="false"/>
                <w:color w:val="1F3864"/>
                <w:sz w:val="20"/>
                <w:szCs w:val="20"/>
              </w:rPr>
              <w:t xml:space="preserve">• Vidéo VGA : un port en face arrière ;</w:t>
            </w:r>
          </w:p>
          <w:p>
            <w:pPr>
              <w:spacing w:after="0" w:line="252"/>
            </w:pPr>
            <w:r>
              <w:rPr>
                <w:rFonts w:ascii="Calibri" w:cs="Calibri" w:eastAsia="Calibri" w:hAnsi="Calibri"/>
                <w:b w:val="false"/>
                <w:bCs w:val="false"/>
                <w:color w:val="1F3864"/>
                <w:sz w:val="20"/>
                <w:szCs w:val="20"/>
              </w:rPr>
              <w:t xml:space="preserve">• Port série : un port en face arrière.</w:t>
            </w:r>
          </w:p>
          <w:p>
            <w:pPr>
              <w:spacing w:after="0" w:line="252"/>
            </w:pPr>
            <w:r>
              <w:rPr>
                <w:rFonts w:ascii="Calibri" w:cs="Calibri" w:eastAsia="Calibri" w:hAnsi="Calibri"/>
                <w:b w:val="false"/>
                <w:bCs w:val="false"/>
                <w:color w:val="1F3864"/>
                <w:sz w:val="20"/>
                <w:szCs w:val="20"/>
              </w:rPr>
              <w:t xml:space="preserve">S'y ajoute un port USB 3.2 Gen 1 interne, utilisable pour une clé de licence ou d'amorçage.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Alimentation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Redondante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Configuration à alimentations redondantes CRPS, remplaçables à chaud, certifiées Platinum ou Titanium selon le modèle retenu.</w:t>
            </w:r>
          </w:p>
          <w:p>
            <w:pPr>
              <w:spacing w:after="0" w:line="252"/>
            </w:pPr>
            <w:r>
              <w:rPr>
                <w:rFonts w:ascii="Calibri" w:cs="Calibri" w:eastAsia="Calibri" w:hAnsi="Calibri"/>
                <w:b w:val="false"/>
                <w:bCs w:val="false"/>
                <w:color w:val="1F3864"/>
                <w:sz w:val="20"/>
                <w:szCs w:val="20"/>
              </w:rPr>
              <w:t xml:space="preserve">La défaillance d'un bloc n'interrompt pas le fonctionnement du serveur — exigence déterminante pour un établissement de santé à activité continue.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Système d'exploitation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(Prérequis logiciels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Microsoft Windows Server, certifié et pris en charge par le constructeur sur cette plateforme. Installation, mise à jour et sécurisation assurées par nos soins.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Base de données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SQL Server 2019 ou supérieur / MySQL 5.7 ou supérieur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Microsoft SQL Server 2019 ou supérieur (alternative MySQL 5.7 ou supérieur au choix du CHU), installée et paramétrée sur le serveur dédié.</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Composants logiciels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.NET Framework 4.8 ou supérieur ; JRE si requis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.NET Framework 4.8 ou supérieur installé et configuré. Aucun module de la solution ne requiert d'environnement d'exécution Java.</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Administration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Administration et sécurité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Lenovo XClarity Controller 2 : administration à distance, console déportée, surveillance de l'état du matériel et alertes automatiques.</w:t>
            </w:r>
          </w:p>
          <w:p>
            <w:pPr>
              <w:spacing w:after="0" w:line="252"/>
            </w:pPr>
            <w:r>
              <w:rPr>
                <w:rFonts w:ascii="Calibri" w:cs="Calibri" w:eastAsia="Calibri" w:hAnsi="Calibri"/>
                <w:b w:val="false"/>
                <w:bCs w:val="false"/>
                <w:color w:val="1F3864"/>
                <w:sz w:val="20"/>
                <w:szCs w:val="20"/>
              </w:rPr>
              <w:t xml:space="preserve">Module Root of Trust avec résilience du micrologiciel et TPM 2.0 pour l'intégrité du démarrage.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Sauvegarde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Mise en place des sauvegardes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Sauvegarde automatique quotidienne (complète et incrémentale) planifiée, avec procédure de restauration documentée et essai de restauration réalisé lors de la réception.</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Garantie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an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constructeur d'un (01) an, pièces remplaçables par l'utilisateur et intervention sur site le jour ouvré suivant (9×5).</w:t>
            </w:r>
          </w:p>
          <w:p>
            <w:pPr>
              <w:spacing w:after="0" w:line="252"/>
            </w:pPr>
            <w:r>
              <w:rPr>
                <w:rFonts w:ascii="Calibri" w:cs="Calibri" w:eastAsia="Calibri" w:hAnsi="Calibri"/>
                <w:b w:val="false"/>
                <w:bCs w:val="false"/>
                <w:color w:val="1F3864"/>
                <w:sz w:val="20"/>
                <w:szCs w:val="20"/>
              </w:rPr>
              <w:t xml:space="preserve">Extension à trois (03) ans disponible sur demande de l'administration.  (réf. PJ-09)</w:t>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color w:val="1F3864"/>
          <w:sz w:val="22"/>
          <w:szCs w:val="22"/>
        </w:rPr>
        <w:t xml:space="preserve">Note relative aux niveaux RAID 50 et 60</w:t>
      </w:r>
    </w:p>
    <w:p>
      <w:pPr>
        <w:spacing w:after="120" w:before="0" w:line="276"/>
      </w:pPr>
      <w:r>
        <w:rPr>
          <w:rFonts w:ascii="Calibri" w:cs="Calibri" w:eastAsia="Calibri" w:hAnsi="Calibri"/>
          <w:sz w:val="22"/>
          <w:szCs w:val="22"/>
        </w:rPr>
        <w:t xml:space="preserve">Les niveaux RAID 50 et RAID 60 sont pris en charge en standard par le contrôleur proposé. Leur mise en œuvre effective requiert respectivement six (06) et huit (08) disques physiques au minimum, alors que le présent marché porte sur quatre (04) disques. Ils demeurent donc disponibles sans aucune modification matérielle du serveur dès que la capacité de stockage sera étendue, le châssis acceptant jusqu'à seize disques.</w:t>
      </w:r>
    </w:p>
    <w:p>
      <w:pPr>
        <w:spacing w:after="120" w:before="0" w:line="276"/>
      </w:pPr>
      <w:r>
        <w:rPr>
          <w:rFonts w:ascii="Calibri" w:cs="Calibri" w:eastAsia="Calibri" w:hAnsi="Calibri"/>
          <w:sz w:val="22"/>
          <w:szCs w:val="22"/>
        </w:rPr>
        <w:t xml:space="preserve">Configuration retenue à la livraison : RAID 10 sur les quatre disques SSD de 2 To, soit 4 To utiles, choisie pour son meilleur compromis entre performance en écriture et tolérance de panne sur une charge de base de données transactionnelle. Le contrôleur permet la reconfiguration vers RAID 5 ou RAID 6 à la demande du service informatique.</w:t>
      </w:r>
    </w:p>
    <w:p>
      <w:r>
        <w:br w:type="page"/>
      </w:r>
    </w:p>
    <w:p>
      <w:pPr>
        <w:pStyle w:val="Heading1"/>
        <w:spacing w:after="180" w:before="320"/>
      </w:pPr>
      <w:r>
        <w:rPr>
          <w:rFonts w:ascii="Calibri" w:cs="Calibri" w:eastAsia="Calibri" w:hAnsi="Calibri"/>
          <w:b/>
          <w:bCs/>
          <w:color w:val="1F3864"/>
          <w:sz w:val="30"/>
          <w:szCs w:val="30"/>
        </w:rPr>
        <w:t xml:space="preserve">Fiche n° 3 — Licence pour le logiciel de gestion</w:t>
      </w:r>
    </w:p>
    <w:p>
      <w:pPr>
        <w:spacing w:after="120" w:before="0" w:line="276"/>
      </w:pPr>
      <w:r>
        <w:rPr>
          <w:rFonts w:ascii="Calibri" w:cs="Calibri" w:eastAsia="Calibri" w:hAnsi="Calibri"/>
          <w:b/>
          <w:bCs/>
          <w:sz w:val="22"/>
          <w:szCs w:val="22"/>
        </w:rPr>
        <w:t xml:space="preserve">Quantité : 01</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300"/>
        <w:gridCol w:w="3200"/>
        <w:gridCol w:w="3400"/>
      </w:tblGrid>
      <w:tr>
        <w:tc>
          <w:tcPr>
            <w:tcW w:type="dxa" w:w="23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FICHE DES CARACTÉRISTIQUES N° 3</w:t>
            </w:r>
          </w:p>
        </w:tc>
        <w:tc>
          <w:tcPr>
            <w:tcW w:type="dxa" w:w="32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Licence pour le logiciel de gestion</w:t>
            </w:r>
          </w:p>
        </w:tc>
        <w:tc>
          <w:tcPr>
            <w:tcW w:type="dxa" w:w="340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w:t>
            </w:r>
          </w:p>
        </w:tc>
        <w:tc>
          <w:tcPr>
            <w:tcW w:type="dxa" w:w="3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Valeur minimale exigée</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Identification</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Durée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Licence PERPÉTUELLE — acquise définitivement par le CHU La Rabta, sans redevance annuelle obligatoire ni renouvellement à l'issue de la période de garantie  (réf. PJ-03)</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Nombre de terminaux</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25</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Licence couvrant 25 terminaux de pointage, extensible sur simple avenant en cas d'augmentation du parc  (réf. PJ-03)</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Portée fonctionnelle de la licence</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Utilisateurs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(Non chiffré au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Nombre d'utilisateurs nommés du portail ILLIMITÉ — l'ensemble des agents, superviseurs, gestionnaires et administrateurs de l'établissement est couvert, sans surcoût par utilisateur</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Effectif géré</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Effectif de l'hôpital et évolutions futures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Aucune limitation du nombre d'agents gérés — plus de 3 000 salariés actuels et croissance ultérieure couverts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Modules inclus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(Fonctionnalités principales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Tous modules inclus, sans option payante :</w:t>
            </w:r>
          </w:p>
          <w:p>
            <w:pPr>
              <w:spacing w:after="0" w:line="252"/>
            </w:pPr>
            <w:r>
              <w:rPr>
                <w:rFonts w:ascii="Calibri" w:cs="Calibri" w:eastAsia="Calibri" w:hAnsi="Calibri"/>
                <w:b w:val="false"/>
                <w:bCs w:val="false"/>
                <w:color w:val="1F3864"/>
                <w:sz w:val="20"/>
                <w:szCs w:val="20"/>
              </w:rPr>
              <w:t xml:space="preserve">• Pointage du temps (entrée/sortie, temps réel, historique) ;</w:t>
            </w:r>
          </w:p>
          <w:p>
            <w:pPr>
              <w:spacing w:after="0" w:line="252"/>
            </w:pPr>
            <w:r>
              <w:rPr>
                <w:rFonts w:ascii="Calibri" w:cs="Calibri" w:eastAsia="Calibri" w:hAnsi="Calibri"/>
                <w:b w:val="false"/>
                <w:bCs w:val="false"/>
                <w:color w:val="1F3864"/>
                <w:sz w:val="20"/>
                <w:szCs w:val="20"/>
              </w:rPr>
              <w:t xml:space="preserve">• Gestion des horaires et plannings (fixes, variables, cycliques, heures supplémentaires) ;</w:t>
            </w:r>
          </w:p>
          <w:p>
            <w:pPr>
              <w:spacing w:after="0" w:line="252"/>
            </w:pPr>
            <w:r>
              <w:rPr>
                <w:rFonts w:ascii="Calibri" w:cs="Calibri" w:eastAsia="Calibri" w:hAnsi="Calibri"/>
                <w:b w:val="false"/>
                <w:bCs w:val="false"/>
                <w:color w:val="1F3864"/>
                <w:sz w:val="20"/>
                <w:szCs w:val="20"/>
              </w:rPr>
              <w:t xml:space="preserve">• Gestion des absences (demande, validation, suivi) ;</w:t>
            </w:r>
          </w:p>
          <w:p>
            <w:pPr>
              <w:spacing w:after="0" w:line="252"/>
            </w:pPr>
            <w:r>
              <w:rPr>
                <w:rFonts w:ascii="Calibri" w:cs="Calibri" w:eastAsia="Calibri" w:hAnsi="Calibri"/>
                <w:b w:val="false"/>
                <w:bCs w:val="false"/>
                <w:color w:val="1F3864"/>
                <w:sz w:val="20"/>
                <w:szCs w:val="20"/>
              </w:rPr>
              <w:t xml:space="preserve">• Rapports, tableaux de bord et exports Excel / PDF / CSV ;</w:t>
            </w:r>
          </w:p>
          <w:p>
            <w:pPr>
              <w:spacing w:after="0" w:line="252"/>
            </w:pPr>
            <w:r>
              <w:rPr>
                <w:rFonts w:ascii="Calibri" w:cs="Calibri" w:eastAsia="Calibri" w:hAnsi="Calibri"/>
                <w:b w:val="false"/>
                <w:bCs w:val="false"/>
                <w:color w:val="1F3864"/>
                <w:sz w:val="20"/>
                <w:szCs w:val="20"/>
              </w:rPr>
              <w:t xml:space="preserve">• Notifications et alertes ;</w:t>
            </w:r>
          </w:p>
          <w:p>
            <w:pPr>
              <w:spacing w:after="0" w:line="252"/>
            </w:pPr>
            <w:r>
              <w:rPr>
                <w:rFonts w:ascii="Calibri" w:cs="Calibri" w:eastAsia="Calibri" w:hAnsi="Calibri"/>
                <w:b w:val="false"/>
                <w:bCs w:val="false"/>
                <w:color w:val="1F3864"/>
                <w:sz w:val="20"/>
                <w:szCs w:val="20"/>
              </w:rPr>
              <w:t xml:space="preserve">• Administration, rôles et permissions (RBAC) ;</w:t>
            </w:r>
          </w:p>
          <w:p>
            <w:pPr>
              <w:spacing w:after="0" w:line="252"/>
            </w:pPr>
            <w:r>
              <w:rPr>
                <w:rFonts w:ascii="Calibri" w:cs="Calibri" w:eastAsia="Calibri" w:hAnsi="Calibri"/>
                <w:b w:val="false"/>
                <w:bCs w:val="false"/>
                <w:color w:val="1F3864"/>
                <w:sz w:val="20"/>
                <w:szCs w:val="20"/>
              </w:rPr>
              <w:t xml:space="preserve">• Pointage mobile avec géolocalisation ;</w:t>
            </w:r>
          </w:p>
          <w:p>
            <w:pPr>
              <w:spacing w:after="0" w:line="252"/>
            </w:pPr>
            <w:r>
              <w:rPr>
                <w:rFonts w:ascii="Calibri" w:cs="Calibri" w:eastAsia="Calibri" w:hAnsi="Calibri"/>
                <w:b w:val="false"/>
                <w:bCs w:val="false"/>
                <w:color w:val="1F3864"/>
                <w:sz w:val="20"/>
                <w:szCs w:val="20"/>
              </w:rPr>
              <w:t xml:space="preserve">• API REST, connecteurs et webhooks.  (réf. PJ-03)</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Multi-marques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Compatibilité multi-marques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La licence couvre l'intégration de terminaux de marques tierces (ZKTeco, Suprema, Hikvision et autres) sans licence complémentaire par marque  (réf. PJ-03)</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Langues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Support multilingue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Interface disponible en français, arabe (avec prise en charge de l'écriture de droite à gauche) et anglais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Déploiement</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Portail internet et/ou intranet</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Application web accessible depuis le portail intranet de l'établissement ; ouverture Internet possible sous contrôle du service informatique. Aucune installation requise sur les postes clients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Mises à jour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(Maintenance et support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Mises à jour correctives, de sécurité et fonctionnelles incluses pendant toute la durée du contrat de maintenance</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Propriété des données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(Loi organique n° 63/2004)</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Les données demeurent l'entière propriété du CHU La Rabta et sont hébergées exclusivement sur son serveur. Export intégral de la base possible à tout moment, sans dépendance au fournisseur</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Garantie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9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Garantie de bon fonctionnement de douze (12) mois à compter de la mise en production, avec engagement de disponibilité (SLA) de 99,5 %</w:t>
            </w:r>
          </w:p>
        </w:tc>
      </w:tr>
    </w:tbl>
    <w:p>
      <w:r>
        <w:br w:type="page"/>
      </w:r>
    </w:p>
    <w:p>
      <w:pPr>
        <w:pStyle w:val="Heading1"/>
        <w:spacing w:after="180" w:before="320"/>
      </w:pPr>
      <w:r>
        <w:rPr>
          <w:rFonts w:ascii="Calibri" w:cs="Calibri" w:eastAsia="Calibri" w:hAnsi="Calibri"/>
          <w:b/>
          <w:bCs/>
          <w:color w:val="1F3864"/>
          <w:sz w:val="30"/>
          <w:szCs w:val="30"/>
        </w:rPr>
        <w:t xml:space="preserve">Fiche n° 4 — Câble en paire torsadée UTP cat. 6</w:t>
      </w:r>
    </w:p>
    <w:p>
      <w:pPr>
        <w:spacing w:after="120" w:before="0" w:line="276"/>
      </w:pPr>
      <w:r>
        <w:rPr>
          <w:rFonts w:ascii="Calibri" w:cs="Calibri" w:eastAsia="Calibri" w:hAnsi="Calibri"/>
          <w:b/>
          <w:bCs/>
          <w:sz w:val="22"/>
          <w:szCs w:val="22"/>
        </w:rPr>
        <w:t xml:space="preserve">Quantité : à préciser au bordereau (métré détaillé)</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900"/>
        <w:gridCol w:w="1700"/>
        <w:gridCol w:w="2650"/>
        <w:gridCol w:w="2650"/>
      </w:tblGrid>
      <w:tr>
        <w:tc>
          <w:tcPr>
            <w:tcW w:type="dxa" w:w="19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FICHE DES CARACTÉRISTIQUES N° 4</w:t>
            </w:r>
          </w:p>
        </w:tc>
        <w:tc>
          <w:tcPr>
            <w:tcW w:type="dxa" w:w="17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Câble UTP cat. 6</w:t>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w:t>
            </w:r>
          </w:p>
        </w:tc>
        <w:tc>
          <w:tcPr>
            <w:tcW w:type="dxa" w:w="1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minimales exigées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Constructeur (Marque)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 (référence)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Catégorie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 6 conformément à la norme internationale ISO/IEC 11801 et les recommandations du standard ANSI/TIA/EIA-568</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Câble catégorie 6 certifié conforme ISO/IEC 11801 et ANSI/TIA/EIA-568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Type du câble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4 paires catégories 6 type UTP</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4 paires torsadées non blindées (U/UTP), conducteurs cuivre nu massif, gaine LSZH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Conformité aux normes</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ISO 9001 valide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Fabricant titulaire d'un certificat ISO 9001 en cours de validité  (réf. PJ-04 / PJ-07)</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Longueur de lien</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15 du CCTP : ≤ 90 m)</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Aucun lien permanent n'excède 90 mètres ; le respect de cette contrainte est vérifié lors du relevé et attesté par le rapport de certification de chaque prise</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Certification</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Test de certification du câblage (article 13)</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Certification de chaque lien au moyen d'un certificateur de chantier étalonné, avec rapport nominatif par prise remis au CHU</w:t>
            </w:r>
          </w:p>
        </w:tc>
      </w:tr>
    </w:tbl>
    <w:p>
      <w:r>
        <w:br w:type="page"/>
      </w:r>
    </w:p>
    <w:p>
      <w:pPr>
        <w:pStyle w:val="Heading1"/>
        <w:spacing w:after="180" w:before="320"/>
      </w:pPr>
      <w:r>
        <w:rPr>
          <w:rFonts w:ascii="Calibri" w:cs="Calibri" w:eastAsia="Calibri" w:hAnsi="Calibri"/>
          <w:b/>
          <w:bCs/>
          <w:color w:val="1F3864"/>
          <w:sz w:val="30"/>
          <w:szCs w:val="30"/>
        </w:rPr>
        <w:t xml:space="preserve">Fiche n° 5 — Cordons de brassage UTP cat. 6</w:t>
      </w:r>
    </w:p>
    <w:p>
      <w:pPr>
        <w:spacing w:after="120" w:before="0" w:line="276"/>
      </w:pPr>
      <w:r>
        <w:rPr>
          <w:rFonts w:ascii="Calibri" w:cs="Calibri" w:eastAsia="Calibri" w:hAnsi="Calibri"/>
          <w:b/>
          <w:bCs/>
          <w:sz w:val="22"/>
          <w:szCs w:val="22"/>
        </w:rPr>
        <w:t xml:space="preserve">Quantité : 25</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900"/>
        <w:gridCol w:w="1700"/>
        <w:gridCol w:w="2650"/>
        <w:gridCol w:w="2650"/>
      </w:tblGrid>
      <w:tr>
        <w:tc>
          <w:tcPr>
            <w:tcW w:type="dxa" w:w="19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FICHE DES CARACTÉRISTIQUES N° 5</w:t>
            </w:r>
          </w:p>
        </w:tc>
        <w:tc>
          <w:tcPr>
            <w:tcW w:type="dxa" w:w="17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Cordons de brassage</w:t>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w:t>
            </w:r>
          </w:p>
        </w:tc>
        <w:tc>
          <w:tcPr>
            <w:tcW w:type="dxa" w:w="1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minimales exigées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Constructeur (marque)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 (référence)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Catégorie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 6 conformément à la norme internationale ISO/IEC 11801 (2ᵉ édition) et les recommandations du standard ANSI/TIA/EIA-568</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Cordon catégorie 6 conforme ISO/IEC 11801 (2ᵉ édition) et ANSI/TIA/EIA-568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Type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UTP</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U/UTP, conducteurs cuivre multibrins, câble souple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Longueur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m</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Longueur 1 mètre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Clip de verrouillage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Protégé par la languette du manchon (surmoulé)</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Connecteur RJ45 surmoulé avec clip de verrouillage protégé par la languette du manchon, anti-accrochage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Conformité aux normes</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ISO 9001 valide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Fabricant titulaire d'un certificat ISO 9001 en cours de validité  (réf. PJ-05 / PJ-07)</w:t>
            </w:r>
          </w:p>
        </w:tc>
      </w:tr>
    </w:tbl>
    <w:p>
      <w:r>
        <w:br w:type="page"/>
      </w:r>
    </w:p>
    <w:p>
      <w:pPr>
        <w:pStyle w:val="Heading1"/>
        <w:spacing w:after="180" w:before="320"/>
      </w:pPr>
      <w:r>
        <w:rPr>
          <w:rFonts w:ascii="Calibri" w:cs="Calibri" w:eastAsia="Calibri" w:hAnsi="Calibri"/>
          <w:b/>
          <w:bCs/>
          <w:color w:val="1F3864"/>
          <w:sz w:val="30"/>
          <w:szCs w:val="30"/>
        </w:rPr>
        <w:t xml:space="preserve">Fiche n° 6 — Accessoires</w:t>
      </w:r>
    </w:p>
    <w:p>
      <w:pPr>
        <w:spacing w:after="120" w:before="0" w:line="276"/>
      </w:pPr>
      <w:r>
        <w:rPr>
          <w:rFonts w:ascii="Calibri" w:cs="Calibri" w:eastAsia="Calibri" w:hAnsi="Calibri"/>
          <w:b/>
          <w:bCs/>
          <w:sz w:val="22"/>
          <w:szCs w:val="22"/>
        </w:rPr>
        <w:t xml:space="preserve">Quantités : à préciser en détail au bordereau</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900"/>
        <w:gridCol w:w="1700"/>
        <w:gridCol w:w="2650"/>
        <w:gridCol w:w="2650"/>
      </w:tblGrid>
      <w:tr>
        <w:tc>
          <w:tcPr>
            <w:tcW w:type="dxa" w:w="19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FICHE DES CARACTÉRISTIQUES N° 6</w:t>
            </w:r>
          </w:p>
        </w:tc>
        <w:tc>
          <w:tcPr>
            <w:tcW w:type="dxa" w:w="17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Accessoires</w:t>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w:t>
            </w:r>
          </w:p>
        </w:tc>
        <w:tc>
          <w:tcPr>
            <w:tcW w:type="dxa" w:w="1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minimales exigées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Constructeur</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Moulure, Goulotte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 (Intérieur)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PROPOSÉ — Moulure et goulotte PVC blanc pour cheminement intérieur, avec couvercle clipsable et accessoires de changement de direction (angles intérieurs, extérieurs, plats, embouts, dérivations) de type préfabriqué.</w:t>
            </w:r>
          </w:p>
          <w:p>
            <w:pPr>
              <w:spacing w:after="0" w:line="252"/>
            </w:pPr>
            <w:r>
              <w:rPr>
                <w:rFonts w:ascii="Calibri" w:cs="Calibri" w:eastAsia="Calibri" w:hAnsi="Calibri"/>
                <w:b w:val="false"/>
                <w:bCs w:val="false"/>
                <w:color w:val="1F3864"/>
                <w:sz w:val="20"/>
                <w:szCs w:val="20"/>
              </w:rPr>
              <w:t xml:space="preserve">Sections adaptées au nombre de câbles par tronçon, détaillées au bordereau.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Tube PVC, fourreau</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 (Extérieur)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PROPOSÉ — Tube PVC rigide et fourreau annelé pour cheminement extérieur, de bonne résistance aux facteurs climatiques, avec accessoires de fixation et d'étanchéité.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Autres</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PROPOSÉ —</w:t>
            </w:r>
          </w:p>
          <w:p>
            <w:pPr>
              <w:spacing w:after="0" w:line="252"/>
            </w:pPr>
            <w:r>
              <w:rPr>
                <w:rFonts w:ascii="Calibri" w:cs="Calibri" w:eastAsia="Calibri" w:hAnsi="Calibri"/>
                <w:b w:val="false"/>
                <w:bCs w:val="false"/>
                <w:color w:val="1F3864"/>
                <w:sz w:val="20"/>
                <w:szCs w:val="20"/>
              </w:rPr>
              <w:t xml:space="preserve">• Câble électrique d'alimentation des terminaux et protections associées ;</w:t>
            </w:r>
          </w:p>
          <w:p>
            <w:pPr>
              <w:spacing w:after="0" w:line="252"/>
            </w:pPr>
            <w:r>
              <w:rPr>
                <w:rFonts w:ascii="Calibri" w:cs="Calibri" w:eastAsia="Calibri" w:hAnsi="Calibri"/>
                <w:b w:val="false"/>
                <w:bCs w:val="false"/>
                <w:color w:val="1F3864"/>
                <w:sz w:val="20"/>
                <w:szCs w:val="20"/>
              </w:rPr>
              <w:t xml:space="preserve">• Coffrets et disjoncteurs de protection, conformes aux normes en vigueur ;</w:t>
            </w:r>
          </w:p>
          <w:p>
            <w:pPr>
              <w:spacing w:after="0" w:line="252"/>
            </w:pPr>
            <w:r>
              <w:rPr>
                <w:rFonts w:ascii="Calibri" w:cs="Calibri" w:eastAsia="Calibri" w:hAnsi="Calibri"/>
                <w:b w:val="false"/>
                <w:bCs w:val="false"/>
                <w:color w:val="1F3864"/>
                <w:sz w:val="20"/>
                <w:szCs w:val="20"/>
              </w:rPr>
              <w:t xml:space="preserve">• Serre-câbles, colliers, boîtiers d'encastrement et prises RJ45 Cat. 6 en saillie ;</w:t>
            </w:r>
          </w:p>
          <w:p>
            <w:pPr>
              <w:spacing w:after="0" w:line="252"/>
            </w:pPr>
            <w:r>
              <w:rPr>
                <w:rFonts w:ascii="Calibri" w:cs="Calibri" w:eastAsia="Calibri" w:hAnsi="Calibri"/>
                <w:b w:val="false"/>
                <w:bCs w:val="false"/>
                <w:color w:val="1F3864"/>
                <w:sz w:val="20"/>
                <w:szCs w:val="20"/>
              </w:rPr>
              <w:t xml:space="preserve">• Supports préfabriqués de fixation, résistants aux facteurs climatiques ;</w:t>
            </w:r>
          </w:p>
          <w:p>
            <w:pPr>
              <w:spacing w:after="0" w:line="252"/>
            </w:pPr>
            <w:r>
              <w:rPr>
                <w:rFonts w:ascii="Calibri" w:cs="Calibri" w:eastAsia="Calibri" w:hAnsi="Calibri"/>
                <w:b w:val="false"/>
                <w:bCs w:val="false"/>
                <w:color w:val="1F3864"/>
                <w:sz w:val="20"/>
                <w:szCs w:val="20"/>
              </w:rPr>
              <w:t xml:space="preserve">• 25 modules d'alimentation de secours 12 V DC assurant une autonomie ≥ 2 heures par pointeuse ;</w:t>
            </w:r>
          </w:p>
          <w:p>
            <w:pPr>
              <w:spacing w:after="0" w:line="252"/>
            </w:pPr>
            <w:r>
              <w:rPr>
                <w:rFonts w:ascii="Calibri" w:cs="Calibri" w:eastAsia="Calibri" w:hAnsi="Calibri"/>
                <w:b w:val="false"/>
                <w:bCs w:val="false"/>
                <w:color w:val="1F3864"/>
                <w:sz w:val="20"/>
                <w:szCs w:val="20"/>
              </w:rPr>
              <w:t xml:space="preserve">• Étiquettes de repérage normalisées des prises et des câbles, reportées au plan de recollement.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Mise en œuvre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15 du CCTP)</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Séparation physique entre courant fort et courant faible assurée sur l'ensemble du cheminement ; protections mécaniques fournies pour tout type de raccordement avec l'installation réseau existante.</w:t>
            </w:r>
          </w:p>
        </w:tc>
      </w:tr>
    </w:tbl>
    <w:p>
      <w:r>
        <w:br w:type="page"/>
      </w:r>
    </w:p>
    <w:p>
      <w:pPr>
        <w:pStyle w:val="Heading1"/>
        <w:spacing w:after="180" w:before="320"/>
      </w:pPr>
      <w:r>
        <w:rPr>
          <w:rFonts w:ascii="Calibri" w:cs="Calibri" w:eastAsia="Calibri" w:hAnsi="Calibri"/>
          <w:b/>
          <w:bCs/>
          <w:color w:val="1F3864"/>
          <w:sz w:val="30"/>
          <w:szCs w:val="30"/>
        </w:rPr>
        <w:t xml:space="preserve">Conditions générales</w:t>
      </w:r>
    </w:p>
    <w:p>
      <w:pPr>
        <w:spacing w:after="120" w:before="0" w:line="276"/>
      </w:pPr>
      <w:r>
        <w:rPr>
          <w:rFonts w:ascii="Calibri" w:cs="Calibri" w:eastAsia="Calibri" w:hAnsi="Calibri"/>
          <w:i/>
          <w:iCs/>
          <w:sz w:val="22"/>
          <w:szCs w:val="22"/>
        </w:rPr>
        <w:t xml:space="preserve">Rubrique « 13 / conditions générale » du CCTP — page 30</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500"/>
        <w:gridCol w:w="3400"/>
        <w:gridCol w:w="3000"/>
      </w:tblGrid>
      <w:tr>
        <w:tc>
          <w:tcPr>
            <w:tcW w:type="dxa" w:w="2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Elément</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3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proposées</w:t>
            </w:r>
          </w:p>
        </w:tc>
      </w:tr>
      <w:tr>
        <w:tc>
          <w:tcPr>
            <w:tcW w:type="dxa" w:w="2500"/>
            <w:shd w:fill="F2F2F2"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Conditions Générales</w:t>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Fournisseur :</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HIKVIEW ENGINEERING — SARL, Rue Marroc, 1250 Sbeitla, MF 1667878 K</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Délais de livraison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jours à compter de la notification de l'ordre de service (dans la limite du délai global de 60 jours)</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Délais d'exécution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Soixante (60) jours au maximum à compter de la date de réception de l'ordre de service, conformément à l'article 4 du CCTP</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Garantie des Equipements</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Voir les deux lignes suivantes</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5 ans pour le Matériel Passif min.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de cinq (05) ans minimum sur le matériel passif : câble U/UTP catégorie 6, cordons de brassage, prises, panneaux et accessoires de cheminement.</w:t>
            </w:r>
          </w:p>
          <w:p>
            <w:pPr>
              <w:spacing w:after="0" w:line="252"/>
            </w:pPr>
            <w:r>
              <w:rPr>
                <w:rFonts w:ascii="Calibri" w:cs="Calibri" w:eastAsia="Calibri" w:hAnsi="Calibri"/>
                <w:b w:val="false"/>
                <w:bCs w:val="false"/>
                <w:color w:val="1F3864"/>
                <w:sz w:val="20"/>
                <w:szCs w:val="20"/>
              </w:rPr>
              <w:t xml:space="preserve">Lettres de garantie des fabricants jointes  (réf. PJ-09)</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an pour le Matériel Actif min.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de douze (12) mois minimum de fonctionnement effectif sur le matériel actif (pointeuses, serveur) à compter de la réception provisoire, assortie d'un engagement de maintenance préventive et curative de cinq (05) ans.  (réf. PJ-09)</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Effectif technique pour l'installation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Équipe dédiée détaillée ci-dessous — voir également l'annexe 3, état du personnel qualifié</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Câbleur (nombre)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câbleur(s)  (annexe 3)</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Technicien (nombre)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technicien(s)  (annexe 3)</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Ingénieur (nombre)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ingénieur(s)  (annexe 3)</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Tests et vérification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Tests de certification du câblage, essais fonctionnels de chaque pointeuse, tests de performance, de sécurité et d'acceptation utilisateur réalisés en présence des utilisateurs, avec remise des rapports.</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Plans de recollement : oui</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OUI — Plan de recollement avec repérage établi selon la convention PRÉFIXE-Bnn-ii, couvrant les 25 blocs : registre des pointeuses, des liens, des alimentations et de l'adressage réseau, plans d'implantation par bloc et synoptique général.</w:t>
            </w:r>
          </w:p>
          <w:p>
            <w:pPr>
              <w:spacing w:after="0" w:line="252"/>
            </w:pPr>
            <w:r>
              <w:rPr>
                <w:rFonts w:ascii="Calibri" w:cs="Calibri" w:eastAsia="Calibri" w:hAnsi="Calibri"/>
                <w:b w:val="false"/>
                <w:bCs w:val="false"/>
                <w:color w:val="1F3864"/>
                <w:sz w:val="20"/>
                <w:szCs w:val="20"/>
              </w:rPr>
              <w:t xml:space="preserve">Document type joint à l'offre technique  (réf. PJ-10)</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Rapport de test Câbles cuivre : oui</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OUI — Certification de chaque lien permanent en catégorie 6 (ISO/IEC 11801 Classe E, ANSI/TIA/EIA-568, configuration Permanent Link) au moyen d'un certificateur de chantier étalonné, avec rapport nominatif par prise et registre électronique récapitulatif.  (réf. PJ-10)</w:t>
            </w:r>
          </w:p>
        </w:tc>
      </w:tr>
    </w:tbl>
    <w:p>
      <w:r>
        <w:br w:type="page"/>
      </w:r>
    </w:p>
    <w:p>
      <w:pPr>
        <w:pStyle w:val="Heading1"/>
        <w:spacing w:after="180" w:before="320"/>
      </w:pPr>
      <w:r>
        <w:rPr>
          <w:rFonts w:ascii="Calibri" w:cs="Calibri" w:eastAsia="Calibri" w:hAnsi="Calibri"/>
          <w:b/>
          <w:bCs/>
          <w:color w:val="1F3864"/>
          <w:sz w:val="30"/>
          <w:szCs w:val="30"/>
        </w:rPr>
        <w:t xml:space="preserve">Documentation et plan de repérage</w:t>
      </w:r>
    </w:p>
    <w:p>
      <w:pPr>
        <w:spacing w:after="120" w:before="0" w:line="276"/>
      </w:pPr>
      <w:r>
        <w:rPr>
          <w:rFonts w:ascii="Calibri" w:cs="Calibri" w:eastAsia="Calibri" w:hAnsi="Calibri"/>
          <w:i/>
          <w:iCs/>
          <w:sz w:val="22"/>
          <w:szCs w:val="22"/>
        </w:rPr>
        <w:t xml:space="preserve">Rubrique « 14/ Documentation et plan de repérage » du CCTP — page 30</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500"/>
        <w:gridCol w:w="3400"/>
        <w:gridCol w:w="3000"/>
      </w:tblGrid>
      <w:tr>
        <w:tc>
          <w:tcPr>
            <w:tcW w:type="dxa" w:w="2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Elément</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3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proposées</w:t>
            </w:r>
          </w:p>
        </w:tc>
      </w:tr>
      <w:tr>
        <w:tc>
          <w:tcPr>
            <w:tcW w:type="dxa" w:w="2500"/>
            <w:shd w:fill="F2F2F2"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Documentation et plans de repérage</w:t>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Fournisseur :</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HIKVIEW ENGINEERING — SARL, Rue Marroc, 1250 Sbeitla, MF 1667878 K</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Nombre des rapports fournis : 2 (copie en papier et l'autre électronique)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La documentation est remise en deux exemplaires :</w:t>
            </w:r>
          </w:p>
          <w:p>
            <w:pPr>
              <w:spacing w:after="0" w:line="252"/>
            </w:pPr>
            <w:r>
              <w:rPr>
                <w:rFonts w:ascii="Calibri" w:cs="Calibri" w:eastAsia="Calibri" w:hAnsi="Calibri"/>
                <w:b w:val="false"/>
                <w:bCs w:val="false"/>
                <w:color w:val="1F3864"/>
                <w:sz w:val="20"/>
                <w:szCs w:val="20"/>
              </w:rPr>
              <w:t xml:space="preserve">• un exemplaire PAPIER relié, complété, daté, signé et cacheté, accompagné des plans imprimés et des rapports natifs du certificateur ;</w:t>
            </w:r>
          </w:p>
          <w:p>
            <w:pPr>
              <w:spacing w:after="0" w:line="252"/>
            </w:pPr>
            <w:r>
              <w:rPr>
                <w:rFonts w:ascii="Calibri" w:cs="Calibri" w:eastAsia="Calibri" w:hAnsi="Calibri"/>
                <w:b w:val="false"/>
                <w:bCs w:val="false"/>
                <w:color w:val="1F3864"/>
                <w:sz w:val="20"/>
                <w:szCs w:val="20"/>
              </w:rPr>
              <w:t xml:space="preserve">• un exemplaire ÉLECTRONIQUE sur support numérique remis au service informatique : document au format PDF et au format modifiable, registre de repérage et de certification au format tableur, plans aux formats PDF et source, rapports natifs du certificateur, notices et fiches techniques des équipements installés.</w:t>
            </w:r>
          </w:p>
          <w:p>
            <w:pPr>
              <w:spacing w:after="0" w:line="252"/>
            </w:pPr>
            <w:r>
              <w:rPr>
                <w:rFonts w:ascii="Calibri" w:cs="Calibri" w:eastAsia="Calibri" w:hAnsi="Calibri"/>
                <w:b w:val="false"/>
                <w:bCs w:val="false"/>
                <w:color w:val="1F3864"/>
                <w:sz w:val="20"/>
                <w:szCs w:val="20"/>
              </w:rPr>
              <w:t xml:space="preserve">Le support électronique est organisé en dossiers portant les mêmes repères que le document papier.  (réf. PJ-10)</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Plan de recollement avec repérage : oui</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OUI — Plan de recollement avec repérage indiquant de façon précise toutes les données et caractéristiques des installations réalisées :</w:t>
            </w:r>
          </w:p>
          <w:p>
            <w:pPr>
              <w:spacing w:after="0" w:line="252"/>
            </w:pPr>
            <w:r>
              <w:rPr>
                <w:rFonts w:ascii="Calibri" w:cs="Calibri" w:eastAsia="Calibri" w:hAnsi="Calibri"/>
                <w:b w:val="false"/>
                <w:bCs w:val="false"/>
                <w:color w:val="1F3864"/>
                <w:sz w:val="20"/>
                <w:szCs w:val="20"/>
              </w:rPr>
              <w:t xml:space="preserve">• convention de repérage unique PRÉFIXE-Bnn-ii appliquée aux pointeuses, prises, liens, locaux techniques, panneaux, ports, cordons, coffrets, disjoncteurs et alimentations de secours ;</w:t>
            </w:r>
          </w:p>
          <w:p>
            <w:pPr>
              <w:spacing w:after="0" w:line="252"/>
            </w:pPr>
            <w:r>
              <w:rPr>
                <w:rFonts w:ascii="Calibri" w:cs="Calibri" w:eastAsia="Calibri" w:hAnsi="Calibri"/>
                <w:b w:val="false"/>
                <w:bCs w:val="false"/>
                <w:color w:val="1F3864"/>
                <w:sz w:val="20"/>
                <w:szCs w:val="20"/>
              </w:rPr>
              <w:t xml:space="preserve">• règles de marquage physique par étiquettes transfert thermique aux deux extrémités de chaque câble, sur le plastron, sur le port de brassage et sur l'appareil ;</w:t>
            </w:r>
          </w:p>
          <w:p>
            <w:pPr>
              <w:spacing w:after="0" w:line="252"/>
            </w:pPr>
            <w:r>
              <w:rPr>
                <w:rFonts w:ascii="Calibri" w:cs="Calibri" w:eastAsia="Calibri" w:hAnsi="Calibri"/>
                <w:b w:val="false"/>
                <w:bCs w:val="false"/>
                <w:color w:val="1F3864"/>
                <w:sz w:val="20"/>
                <w:szCs w:val="20"/>
              </w:rPr>
              <w:t xml:space="preserve">• registres des 25 blocs, des liens et de leur certification, des alimentations et de l'adressage réseau ;</w:t>
            </w:r>
          </w:p>
          <w:p>
            <w:pPr>
              <w:spacing w:after="0" w:line="252"/>
            </w:pPr>
            <w:r>
              <w:rPr>
                <w:rFonts w:ascii="Calibri" w:cs="Calibri" w:eastAsia="Calibri" w:hAnsi="Calibri"/>
                <w:b w:val="false"/>
                <w:bCs w:val="false"/>
                <w:color w:val="1F3864"/>
                <w:sz w:val="20"/>
                <w:szCs w:val="20"/>
              </w:rPr>
              <w:t xml:space="preserve">• plan de masse, plan d'implantation par bloc avec position cotée et point de reprise de l'alimentation, synoptique général et schéma des alimentations, avec légende commune.</w:t>
            </w:r>
          </w:p>
          <w:p>
            <w:pPr>
              <w:spacing w:after="0" w:line="252"/>
            </w:pPr>
            <w:r>
              <w:rPr>
                <w:rFonts w:ascii="Calibri" w:cs="Calibri" w:eastAsia="Calibri" w:hAnsi="Calibri"/>
                <w:b w:val="false"/>
                <w:bCs w:val="false"/>
                <w:color w:val="1F3864"/>
                <w:sz w:val="20"/>
                <w:szCs w:val="20"/>
              </w:rPr>
              <w:t xml:space="preserve">Un document type complet est joint à l'offre technique.  (réf. PJ-10)</w:t>
            </w:r>
          </w:p>
        </w:tc>
      </w:tr>
    </w:tbl>
    <w:p>
      <w:pPr>
        <w:spacing w:before="600"/>
      </w:pPr>
    </w:p>
    <w:p>
      <w:pPr>
        <w:spacing w:after="120" w:before="0" w:line="276"/>
        <w:jc w:val="right"/>
      </w:pPr>
      <w:r>
        <w:rPr>
          <w:rFonts w:ascii="Calibri" w:cs="Calibri" w:eastAsia="Calibri" w:hAnsi="Calibri"/>
          <w:sz w:val="22"/>
          <w:szCs w:val="22"/>
        </w:rPr>
        <w:t xml:space="preserve">Fait à ……………………………, le ……………………………</w:t>
      </w:r>
    </w:p>
    <w:p>
      <w:pPr>
        <w:spacing w:before="200"/>
      </w:pPr>
    </w:p>
    <w:p>
      <w:pPr>
        <w:spacing w:after="120" w:before="0" w:line="276"/>
        <w:jc w:val="right"/>
      </w:pPr>
      <w:r>
        <w:rPr>
          <w:rFonts w:ascii="Calibri" w:cs="Calibri" w:eastAsia="Calibri" w:hAnsi="Calibri"/>
          <w:b/>
          <w:bCs/>
          <w:sz w:val="22"/>
          <w:szCs w:val="22"/>
        </w:rPr>
        <w:t xml:space="preserve">Le soumissionnaire</w:t>
      </w:r>
    </w:p>
    <w:p>
      <w:pPr>
        <w:spacing w:after="120" w:before="0" w:line="276"/>
        <w:jc w:val="right"/>
      </w:pPr>
      <w:r>
        <w:rPr>
          <w:rFonts w:ascii="Calibri" w:cs="Calibri" w:eastAsia="Calibri" w:hAnsi="Calibri"/>
          <w:i/>
          <w:iCs/>
          <w:sz w:val="19"/>
          <w:szCs w:val="19"/>
        </w:rPr>
        <w:t xml:space="preserve">(Nom, prénom et qualité du signataire, signature, date et cachet humide)</w:t>
      </w:r>
    </w:p>
    <w:sectPr>
      <w:headerReference w:type="default" r:id="rId7"/>
      <w:footerReference w:type="default" r:id="rId8"/>
      <w:pgSz w:w="11906" w:h="16838" w:orient="portrait"/>
      <w:pgMar w:top="1224"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888888"/>
        <w:sz w:val="16"/>
        <w:szCs w:val="16"/>
      </w:rPr>
      <w:t xml:space="preserve">Paraphe du soumissionnaire : ……………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60"/>
      <w:jc w:val="right"/>
    </w:pPr>
    <w:r>
      <w:rPr>
        <w:rFonts w:ascii="Calibri" w:cs="Calibri" w:eastAsia="Calibri" w:hAnsi="Calibri"/>
        <w:b/>
        <w:bCs/>
        <w:color w:val="1F3864"/>
        <w:sz w:val="17"/>
        <w:szCs w:val="17"/>
      </w:rPr>
      <w:t xml:space="preserve">HIKVIEW ENGINEERING</w:t>
    </w:r>
    <w:r>
      <w:rPr>
        <w:rFonts w:ascii="Calibri" w:cs="Calibri" w:eastAsia="Calibri" w:hAnsi="Calibri"/>
        <w:color w:val="777777"/>
        <w:sz w:val="17"/>
        <w:szCs w:val="17"/>
      </w:rPr>
      <w:t xml:space="preserve">   |   Fiches de réponse aux caractéristiques techniques — Consultation N° INF01/2026 — CHU La Rabta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35" w:hanging="259"/>
      </w:pPr>
    </w:lvl>
    <w:lvl w:ilvl="2" w15:tentative="1">
      <w:start w:val="1"/>
      <w:numFmt w:val="bullet"/>
      <w:lvlText w:val="·"/>
      <w:lvlJc w:val="left"/>
      <w:pPr>
        <w:ind w:left="1267"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Fiches de réponse aux caractéristiques techniques minimales exigées — CHU La Rabta</dc:title>
  <dc:creator>HIKVIEW ENGINEERING</dc:creator>
  <cp:lastModifiedBy>Un-named</cp:lastModifiedBy>
  <cp:revision>1</cp:revision>
  <dcterms:created xsi:type="dcterms:W3CDTF">2026-08-29T12:19:50.757Z</dcterms:created>
  <dcterms:modified xsi:type="dcterms:W3CDTF">2026-08-29T12:19:50.775Z</dcterms:modified>
</cp:coreProperties>
</file>

<file path=docProps/custom.xml><?xml version="1.0" encoding="utf-8"?>
<Properties xmlns="http://schemas.openxmlformats.org/officeDocument/2006/custom-properties" xmlns:vt="http://schemas.openxmlformats.org/officeDocument/2006/docPropsVTypes"/>
</file>