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Calibri" w:cs="Calibri" w:eastAsia="Calibri" w:hAnsi="Calibri"/>
          <w:b/>
          <w:bCs/>
          <w:color w:val="1F3864"/>
          <w:sz w:val="26"/>
          <w:szCs w:val="26"/>
        </w:rPr>
        <w:t xml:space="preserve">CENTRE HOSPITALO-UNIVERSITAIRE LA RABTA</w:t>
      </w:r>
    </w:p>
    <w:p>
      <w:pPr>
        <w:spacing w:after="480"/>
        <w:jc w:val="center"/>
      </w:pPr>
      <w:r>
        <w:rPr>
          <w:rFonts w:ascii="Calibri" w:cs="Calibri" w:eastAsia="Calibri" w:hAnsi="Calibri"/>
          <w:color w:val="555555"/>
          <w:sz w:val="24"/>
          <w:szCs w:val="24"/>
        </w:rPr>
        <w:t xml:space="preserve">Consultation N° INF01/2026 — 2ᵉ publication</w:t>
      </w:r>
    </w:p>
    <w:p>
      <w:pPr>
        <w:pBdr>
          <w:top w:val="single" w:color="2E74B5" w:sz="12" w:space="12"/>
          <w:bottom w:val="single" w:color="2E74B5" w:sz="12" w:space="12"/>
        </w:pBdr>
        <w:spacing w:after="120"/>
        <w:jc w:val="center"/>
      </w:pPr>
      <w:r>
        <w:rPr>
          <w:rFonts w:ascii="Calibri" w:cs="Calibri" w:eastAsia="Calibri" w:hAnsi="Calibri"/>
          <w:b/>
          <w:bCs/>
          <w:color w:val="1F3864"/>
          <w:sz w:val="48"/>
          <w:szCs w:val="48"/>
        </w:rPr>
        <w:t xml:space="preserve">PLAN DE RECOLLEMENT</w:t>
      </w:r>
    </w:p>
    <w:p>
      <w:pPr>
        <w:spacing w:after="70" w:before="240"/>
        <w:jc w:val="center"/>
      </w:pPr>
      <w:r>
        <w:rPr>
          <w:rFonts w:ascii="Calibri" w:cs="Calibri" w:eastAsia="Calibri" w:hAnsi="Calibri"/>
          <w:b/>
          <w:bCs/>
          <w:color w:val="2E74B5"/>
          <w:sz w:val="34"/>
          <w:szCs w:val="34"/>
        </w:rPr>
        <w:t xml:space="preserve">AVEC REPÉRAGE</w:t>
      </w:r>
    </w:p>
    <w:p>
      <w:pPr>
        <w:spacing w:after="60"/>
        <w:jc w:val="center"/>
      </w:pPr>
      <w:r>
        <w:rPr>
          <w:rFonts w:ascii="Calibri" w:cs="Calibri" w:eastAsia="Calibri" w:hAnsi="Calibri"/>
          <w:sz w:val="24"/>
          <w:szCs w:val="24"/>
        </w:rPr>
        <w:t xml:space="preserve">Système de pointage biométrique — 25 pointeuses sur 25 blocs</w:t>
      </w:r>
    </w:p>
    <w:p>
      <w:pPr>
        <w:spacing w:after="700"/>
        <w:jc w:val="center"/>
      </w:pPr>
      <w:r>
        <w:rPr>
          <w:rFonts w:ascii="Calibri" w:cs="Calibri" w:eastAsia="Calibri" w:hAnsi="Calibri"/>
          <w:i/>
          <w:iCs/>
          <w:color w:val="777777"/>
          <w:sz w:val="21"/>
          <w:szCs w:val="21"/>
        </w:rPr>
        <w:t xml:space="preserve">Document établi conformément à la rubrique 14 du CCTP</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400"/>
        <w:gridCol w:w="6500"/>
      </w:tblGrid>
      <w:tr>
        <w:tc>
          <w:tcPr>
            <w:tcW w:type="dxa" w:w="2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Maître d'ouvrage</w:t>
            </w:r>
          </w:p>
        </w:tc>
        <w:tc>
          <w:tcPr>
            <w:tcW w:type="dxa" w:w="65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CHU LA RABTA — Unité informatique</w:t>
            </w:r>
          </w:p>
        </w:tc>
      </w:tr>
      <w:tr>
        <w:tc>
          <w:tcPr>
            <w:tcW w:type="dxa" w:w="2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Titulaire</w:t>
            </w:r>
          </w:p>
        </w:tc>
        <w:tc>
          <w:tcPr>
            <w:tcW w:type="dxa" w:w="65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HIKVIEW ENGINEERING — Rue Marroc, 1250 Sbeitla — MF 1667878 K</w:t>
            </w:r>
          </w:p>
        </w:tc>
      </w:tr>
      <w:tr>
        <w:tc>
          <w:tcPr>
            <w:tcW w:type="dxa" w:w="2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Objet</w:t>
            </w:r>
          </w:p>
        </w:tc>
        <w:tc>
          <w:tcPr>
            <w:tcW w:type="dxa" w:w="65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Fourniture, installation et mise en service d'un système de pointage biométrique</w:t>
            </w:r>
          </w:p>
        </w:tc>
      </w:tr>
      <w:tr>
        <w:tc>
          <w:tcPr>
            <w:tcW w:type="dxa" w:w="2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Indice / révision</w:t>
            </w:r>
          </w:p>
        </w:tc>
        <w:tc>
          <w:tcPr>
            <w:tcW w:type="dxa" w:w="65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Indice A — établi le ……………………</w:t>
            </w:r>
          </w:p>
        </w:tc>
      </w:tr>
      <w:tr>
        <w:tc>
          <w:tcPr>
            <w:tcW w:type="dxa" w:w="2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Établi par</w:t>
            </w:r>
          </w:p>
        </w:tc>
        <w:tc>
          <w:tcPr>
            <w:tcW w:type="dxa" w:w="65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(nom, qualité)</w:t>
            </w:r>
          </w:p>
        </w:tc>
      </w:tr>
      <w:tr>
        <w:tc>
          <w:tcPr>
            <w:tcW w:type="dxa" w:w="2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Vérifié par</w:t>
            </w:r>
          </w:p>
        </w:tc>
        <w:tc>
          <w:tcPr>
            <w:tcW w:type="dxa" w:w="65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(nom, qualité)</w:t>
            </w:r>
          </w:p>
        </w:tc>
      </w:tr>
      <w:tr>
        <w:tc>
          <w:tcPr>
            <w:tcW w:type="dxa" w:w="2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Nombre d'exemplaires</w:t>
            </w:r>
          </w:p>
        </w:tc>
        <w:tc>
          <w:tcPr>
            <w:tcW w:type="dxa" w:w="65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2 — un exemplaire papier relié et un exemplaire électronique</w:t>
            </w:r>
          </w:p>
        </w:tc>
      </w:tr>
    </w:tbl>
    <w:p>
      <w:pPr>
        <w:spacing w:before="900"/>
        <w:jc w:val="center"/>
      </w:pPr>
      <w:r>
        <w:rPr>
          <w:rFonts w:ascii="Calibri" w:cs="Calibri" w:eastAsia="Calibri" w:hAnsi="Calibri"/>
          <w:i/>
          <w:iCs/>
          <w:color w:val="C00000"/>
          <w:sz w:val="20"/>
          <w:szCs w:val="20"/>
        </w:rPr>
        <w:t xml:space="preserve">Document de recollement — à compléter à l'achèvement des travaux et à remettre à la réception provisoire</w:t>
      </w:r>
    </w:p>
    <w:p>
      <w:r>
        <w:br w:type="page"/>
      </w:r>
    </w:p>
    <w:p>
      <w:pPr>
        <w:pStyle w:val="Heading1"/>
        <w:spacing w:after="180" w:before="320"/>
      </w:pPr>
      <w:r>
        <w:rPr>
          <w:rFonts w:ascii="Calibri" w:cs="Calibri" w:eastAsia="Calibri" w:hAnsi="Calibri"/>
          <w:b/>
          <w:bCs/>
          <w:color w:val="1F3864"/>
          <w:sz w:val="30"/>
          <w:szCs w:val="30"/>
        </w:rPr>
        <w:t xml:space="preserve">1. Objet et références</w:t>
      </w:r>
    </w:p>
    <w:p>
      <w:pPr>
        <w:spacing w:after="120" w:before="0" w:line="276"/>
      </w:pPr>
      <w:r>
        <w:rPr>
          <w:rFonts w:ascii="Calibri" w:cs="Calibri" w:eastAsia="Calibri" w:hAnsi="Calibri"/>
          <w:sz w:val="22"/>
          <w:szCs w:val="22"/>
        </w:rPr>
        <w:t xml:space="preserve">Le présent document constitue le plan de recollement avec repérage de l'installation du système de pointage biométrique du CHU La Rabta. Il indique de façon précise toutes les données et caractéristiques des installations réellement réalisées, conformément aux exigences du cahier des clauses techniques particulières.</w:t>
      </w:r>
    </w:p>
    <w:p>
      <w:pPr>
        <w:pStyle w:val="Heading2"/>
        <w:spacing w:after="140" w:before="240"/>
      </w:pPr>
      <w:r>
        <w:rPr>
          <w:rFonts w:ascii="Calibri" w:cs="Calibri" w:eastAsia="Calibri" w:hAnsi="Calibri"/>
          <w:b/>
          <w:bCs/>
          <w:color w:val="2E74B5"/>
          <w:sz w:val="26"/>
          <w:szCs w:val="26"/>
        </w:rPr>
        <w:t xml:space="preserve">1.1 Exigences couvertes</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000"/>
        <w:gridCol w:w="4400"/>
        <w:gridCol w:w="2500"/>
      </w:tblGrid>
      <w:tr>
        <w:tc>
          <w:tcPr>
            <w:tcW w:type="dxa" w:w="20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Rubrique CCTP</w:t>
            </w:r>
          </w:p>
        </w:tc>
        <w:tc>
          <w:tcPr>
            <w:tcW w:type="dxa" w:w="4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Exigence</w:t>
            </w:r>
          </w:p>
        </w:tc>
        <w:tc>
          <w:tcPr>
            <w:tcW w:type="dxa" w:w="25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Traitement</w:t>
            </w:r>
          </w:p>
        </w:tc>
      </w:tr>
      <w:tr>
        <w:tc>
          <w:tcPr>
            <w:tcW w:type="dxa" w:w="20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Rubrique 14</w:t>
            </w:r>
          </w:p>
        </w:tc>
        <w:tc>
          <w:tcPr>
            <w:tcW w:type="dxa" w:w="4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Nombre des rapports fournis : 2 (copie en papier et l'autre électronique) »</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Le présent document est remis en un exemplaire papier relié et un exemplaire électronique (PDF + registre tableur).</w:t>
            </w:r>
          </w:p>
        </w:tc>
      </w:tr>
      <w:tr>
        <w:tc>
          <w:tcPr>
            <w:tcW w:type="dxa" w:w="20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Rubrique 14</w:t>
            </w:r>
          </w:p>
        </w:tc>
        <w:tc>
          <w:tcPr>
            <w:tcW w:type="dxa" w:w="4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Plan de recollement avec repérage : oui »</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Convention de repérage au § 2, marquage physique au § 3, registres aux § 4 à § 8, plans au § 9.</w:t>
            </w:r>
          </w:p>
        </w:tc>
      </w:tr>
      <w:tr>
        <w:tc>
          <w:tcPr>
            <w:tcW w:type="dxa" w:w="20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Rubrique 13</w:t>
            </w:r>
          </w:p>
        </w:tc>
        <w:tc>
          <w:tcPr>
            <w:tcW w:type="dxa" w:w="4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Plans de recollement : oui » et « Rapport de test Câbles cuivre : oui »</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Registre de certification des liens cuivre au § 5, avec le rapport d'appareil joint en annexe.</w:t>
            </w:r>
          </w:p>
        </w:tc>
      </w:tr>
      <w:tr>
        <w:tc>
          <w:tcPr>
            <w:tcW w:type="dxa" w:w="20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Article 4</w:t>
            </w:r>
          </w:p>
        </w:tc>
        <w:tc>
          <w:tcPr>
            <w:tcW w:type="dxa" w:w="4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La fourniture en fin des travaux des plans de recollement de l'installation en indiquant de façon précise toutes les données et caractéristiques des installations réalisées »</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Objet même du présent document.</w:t>
            </w:r>
          </w:p>
        </w:tc>
      </w:tr>
      <w:tr>
        <w:tc>
          <w:tcPr>
            <w:tcW w:type="dxa" w:w="20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Article 15</w:t>
            </w:r>
          </w:p>
        </w:tc>
        <w:tc>
          <w:tcPr>
            <w:tcW w:type="dxa" w:w="4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Le titulaire, en accord avec le service informatique, indiquera sur le plan d'implantation des pointeuses et l'endroit même où devra être récupéré l'alimentation électrique »</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Registre des alimentations au § 6 et plans d'implantation au § 9.</w:t>
            </w:r>
          </w:p>
        </w:tc>
      </w:tr>
    </w:tbl>
    <w:p>
      <w:pPr>
        <w:pStyle w:val="Heading2"/>
        <w:spacing w:after="140" w:before="240"/>
      </w:pPr>
      <w:r>
        <w:rPr>
          <w:rFonts w:ascii="Calibri" w:cs="Calibri" w:eastAsia="Calibri" w:hAnsi="Calibri"/>
          <w:b/>
          <w:bCs/>
          <w:color w:val="2E74B5"/>
          <w:sz w:val="26"/>
          <w:szCs w:val="26"/>
        </w:rPr>
        <w:t xml:space="preserve">1.2 Documents de référence</w:t>
      </w:r>
    </w:p>
    <w:p>
      <w:pPr>
        <w:pStyle w:val="ListParagraph"/>
        <w:numPr>
          <w:ilvl w:val="0"/>
          <w:numId w:val="2"/>
        </w:numPr>
        <w:spacing w:after="70" w:line="264"/>
      </w:pPr>
      <w:r>
        <w:rPr>
          <w:rFonts w:ascii="Calibri" w:cs="Calibri" w:eastAsia="Calibri" w:hAnsi="Calibri"/>
          <w:sz w:val="22"/>
          <w:szCs w:val="22"/>
        </w:rPr>
        <w:t xml:space="preserve">Cahier des clauses techniques particulières de la consultation N° INF01/2026 — CHU La Rabta.</w:t>
      </w:r>
    </w:p>
    <w:p>
      <w:pPr>
        <w:pStyle w:val="ListParagraph"/>
        <w:numPr>
          <w:ilvl w:val="0"/>
          <w:numId w:val="2"/>
        </w:numPr>
        <w:spacing w:after="70" w:line="264"/>
      </w:pPr>
      <w:r>
        <w:rPr>
          <w:rFonts w:ascii="Calibri" w:cs="Calibri" w:eastAsia="Calibri" w:hAnsi="Calibri"/>
          <w:sz w:val="22"/>
          <w:szCs w:val="22"/>
        </w:rPr>
        <w:t xml:space="preserve">Norme ISO/IEC 11801 — câblage générique des locaux d'usagers.</w:t>
      </w:r>
    </w:p>
    <w:p>
      <w:pPr>
        <w:pStyle w:val="ListParagraph"/>
        <w:numPr>
          <w:ilvl w:val="0"/>
          <w:numId w:val="2"/>
        </w:numPr>
        <w:spacing w:after="70" w:line="264"/>
      </w:pPr>
      <w:r>
        <w:rPr>
          <w:rFonts w:ascii="Calibri" w:cs="Calibri" w:eastAsia="Calibri" w:hAnsi="Calibri"/>
          <w:sz w:val="22"/>
          <w:szCs w:val="22"/>
        </w:rPr>
        <w:t xml:space="preserve">Standard ANSI/TIA/EIA-568 — recommandations de câblage structuré, catégorie 6.</w:t>
      </w:r>
    </w:p>
    <w:p>
      <w:pPr>
        <w:pStyle w:val="ListParagraph"/>
        <w:numPr>
          <w:ilvl w:val="0"/>
          <w:numId w:val="2"/>
        </w:numPr>
        <w:spacing w:after="70" w:line="264"/>
      </w:pPr>
      <w:r>
        <w:rPr>
          <w:rFonts w:ascii="Calibri" w:cs="Calibri" w:eastAsia="Calibri" w:hAnsi="Calibri"/>
          <w:sz w:val="22"/>
          <w:szCs w:val="22"/>
        </w:rPr>
        <w:t xml:space="preserve">Loi organique n° 63/2004 relative à la protection des données à caractère personnel.</w:t>
      </w:r>
    </w:p>
    <w:p>
      <w:pPr>
        <w:pStyle w:val="ListParagraph"/>
        <w:numPr>
          <w:ilvl w:val="0"/>
          <w:numId w:val="2"/>
        </w:numPr>
        <w:spacing w:after="70" w:line="264"/>
      </w:pPr>
      <w:r>
        <w:rPr>
          <w:rFonts w:ascii="Calibri" w:cs="Calibri" w:eastAsia="Calibri" w:hAnsi="Calibri"/>
          <w:sz w:val="22"/>
          <w:szCs w:val="22"/>
        </w:rPr>
        <w:t xml:space="preserve">Plan d'implantation validé par le service informatique du CHU La Rabta.</w:t>
      </w:r>
    </w:p>
    <w:p>
      <w:pPr>
        <w:pStyle w:val="Heading1"/>
        <w:spacing w:after="180" w:before="320"/>
      </w:pPr>
      <w:r>
        <w:rPr>
          <w:rFonts w:ascii="Calibri" w:cs="Calibri" w:eastAsia="Calibri" w:hAnsi="Calibri"/>
          <w:b/>
          <w:bCs/>
          <w:color w:val="1F3864"/>
          <w:sz w:val="30"/>
          <w:szCs w:val="30"/>
        </w:rPr>
        <w:t xml:space="preserve">2. Convention de repérage</w:t>
      </w:r>
    </w:p>
    <w:p>
      <w:pPr>
        <w:spacing w:after="120" w:before="0" w:line="276"/>
      </w:pPr>
      <w:r>
        <w:rPr>
          <w:rFonts w:ascii="Calibri" w:cs="Calibri" w:eastAsia="Calibri" w:hAnsi="Calibri"/>
          <w:sz w:val="22"/>
          <w:szCs w:val="22"/>
        </w:rPr>
        <w:t xml:space="preserve">Tout élément de l'installation porte un identifiant unique et stable, construit selon la règle suivante :</w:t>
      </w:r>
    </w:p>
    <w:p>
      <w:pPr>
        <w:spacing w:after="120" w:before="120"/>
        <w:jc w:val="center"/>
      </w:pPr>
      <w:r>
        <w:rPr>
          <w:rFonts w:ascii="Consolas" w:cs="Consolas" w:eastAsia="Consolas" w:hAnsi="Consolas"/>
          <w:b/>
          <w:bCs/>
          <w:color w:val="1F3864"/>
          <w:sz w:val="30"/>
          <w:szCs w:val="30"/>
        </w:rPr>
        <w:t xml:space="preserve">PRÉFIXE – Bnn – ii</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500"/>
        <w:gridCol w:w="7400"/>
      </w:tblGrid>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PRÉFIXE</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Nature de l'élément, selon le tableau ci-dessous</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Bnn</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Numéro de bloc, de B01 à B25, dans l'ordre du tableau des sites du CCTP (§ 4)</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ii</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Numéro d'ordre de l'élément à l'intérieur du bloc, de 01 à 99</w:t>
            </w:r>
          </w:p>
        </w:tc>
      </w:tr>
    </w:tbl>
    <w:p>
      <w:pPr>
        <w:spacing w:after="120" w:before="0" w:line="276"/>
      </w:pPr>
      <w:r>
        <w:rPr>
          <w:rFonts w:ascii="Calibri" w:cs="Calibri" w:eastAsia="Calibri" w:hAnsi="Calibri"/>
          <w:sz w:val="22"/>
          <w:szCs w:val="22"/>
        </w:rPr>
        <w:t xml:space="preserve"/>
      </w:r>
    </w:p>
    <w:p>
      <w:pPr>
        <w:pStyle w:val="Heading2"/>
        <w:spacing w:after="140" w:before="240"/>
      </w:pPr>
      <w:r>
        <w:rPr>
          <w:rFonts w:ascii="Calibri" w:cs="Calibri" w:eastAsia="Calibri" w:hAnsi="Calibri"/>
          <w:b/>
          <w:bCs/>
          <w:color w:val="2E74B5"/>
          <w:sz w:val="26"/>
          <w:szCs w:val="26"/>
        </w:rPr>
        <w:t xml:space="preserve">2.1 Préfixes normalisés</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300"/>
        <w:gridCol w:w="3900"/>
        <w:gridCol w:w="3700"/>
      </w:tblGrid>
      <w:tr>
        <w:tc>
          <w:tcPr>
            <w:tcW w:type="dxa" w:w="1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Préfixe</w:t>
            </w:r>
          </w:p>
        </w:tc>
        <w:tc>
          <w:tcPr>
            <w:tcW w:type="dxa" w:w="39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Élément désigné</w:t>
            </w:r>
          </w:p>
        </w:tc>
        <w:tc>
          <w:tcPr>
            <w:tcW w:type="dxa" w:w="37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Exemple</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PTG</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Pointeuse biométrique</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PTG-B06-01</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Prise RJ45 catégorie 6 desservant la pointeuse</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PR-B06-01</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L</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Lien permanent cuivre (prise ↔ panneau de brassage)</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L-B06-01</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LT</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Local technique / répartiteur du bloc</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LT-B06</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BP</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Panneau de brassage dans le local technique</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LT-B06/BP1</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Port du panneau de brassage</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LT-B06/BP1-P12</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SW</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Commutateur de raccordement</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SW-B06-01</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CD</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Cordon de brassage UTP Cat. 6 de 1 m</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CD-B06-01</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AL</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Départ d'alimentation électrique de la pointeuse</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AL-B06-01</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DJ</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Disjoncteur de protection du départ</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DJ-B06-01</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TE</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Tableau ou coffret électrique d'origine du départ</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TE-B06</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ASE</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Alimentation de secours 12 V DC (autonomie ≥ 2 h)</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ASE-B06-01</w:t>
            </w:r>
          </w:p>
        </w:tc>
      </w:tr>
      <w:tr>
        <w:tc>
          <w:tcPr>
            <w:tcW w:type="dxa" w:w="1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SRV</w:t>
            </w:r>
          </w:p>
        </w:tc>
        <w:tc>
          <w:tcPr>
            <w:tcW w:type="dxa" w:w="39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Serveur du système de pointage</w:t>
            </w:r>
          </w:p>
        </w:tc>
        <w:tc>
          <w:tcPr>
            <w:tcW w:type="dxa" w:w="3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SRV-01</w:t>
            </w:r>
          </w:p>
        </w:tc>
      </w:tr>
    </w:tbl>
    <w:p>
      <w:pPr>
        <w:spacing w:after="120" w:before="0" w:line="276"/>
      </w:pPr>
      <w:r>
        <w:rPr>
          <w:rFonts w:ascii="Calibri" w:cs="Calibri" w:eastAsia="Calibri" w:hAnsi="Calibri"/>
          <w:sz w:val="22"/>
          <w:szCs w:val="22"/>
        </w:rPr>
        <w:t xml:space="preserve"/>
      </w:r>
    </w:p>
    <w:p>
      <w:pPr>
        <w:spacing w:after="120" w:before="0" w:line="276"/>
      </w:pPr>
      <w:r>
        <w:rPr>
          <w:rFonts w:ascii="Calibri" w:cs="Calibri" w:eastAsia="Calibri" w:hAnsi="Calibri"/>
          <w:b/>
          <w:bCs/>
          <w:sz w:val="22"/>
          <w:szCs w:val="22"/>
        </w:rPr>
        <w:t xml:space="preserve">Règle de cohérence : un même identifiant désigne le même objet sur l'étiquette physique, dans les registres du présent document, dans le registre électronique et sur les plans. Aucune renumérotation n'est admise après la réception provisoire ; toute modification ultérieure donne lieu à un nouvel indice du présent document.</w:t>
      </w:r>
    </w:p>
    <w:p>
      <w:pPr>
        <w:pStyle w:val="Heading1"/>
        <w:spacing w:after="180" w:before="320"/>
      </w:pPr>
      <w:r>
        <w:rPr>
          <w:rFonts w:ascii="Calibri" w:cs="Calibri" w:eastAsia="Calibri" w:hAnsi="Calibri"/>
          <w:b/>
          <w:bCs/>
          <w:color w:val="1F3864"/>
          <w:sz w:val="30"/>
          <w:szCs w:val="30"/>
        </w:rPr>
        <w:t xml:space="preserve">3. Règles de marquage physique</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600"/>
        <w:gridCol w:w="6300"/>
      </w:tblGrid>
      <w:tr>
        <w:tc>
          <w:tcPr>
            <w:tcW w:type="dxa" w:w="26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Élément</w:t>
            </w:r>
          </w:p>
        </w:tc>
        <w:tc>
          <w:tcPr>
            <w:tcW w:type="dxa" w:w="6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Marquage</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Câble cuivre</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Étiquette autolaminée par transfert thermique posée aux DEUX extrémités, à moins de 10 cm du connecteur. Mention : identifiant du lien et destination — exemple « L-B06-01 → LT-B06/BP1-P12 ».</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Prise RJ45</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Étiquette sur le plastron portant l'identifiant de la prise et celui du lien.</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Panneau de brassage</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Chaque port porte l'identifiant du lien qui y aboutit, sur porte-étiquette du panneau.</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Pointeuse</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Étiquette discrète en face arrière ou sous l'appareil : identifiant de la pointeuse, adresse IP et bloc.</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Cordon de brassage</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Bague ou étiquette portant l'identifiant du cordon aux deux extrémités.</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Coffret et disjoncteur</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Repère du départ sur le porte-étiquette du disjoncteur, mention de l'organe alimenté.</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Alimentation de secours</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Étiquette portant l'identifiant ASE, la date de mise en service et la date de remplacement prévisionnel de la batterie.</w:t>
            </w:r>
          </w:p>
        </w:tc>
      </w:tr>
      <w:tr>
        <w:tc>
          <w:tcPr>
            <w:tcW w:type="dxa" w:w="2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Cheminement</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Repérage aux changements de direction, aux traversées de parois et à l'entrée de chaque local technique.</w:t>
            </w:r>
          </w:p>
        </w:tc>
      </w:tr>
    </w:tbl>
    <w:p>
      <w:pPr>
        <w:spacing w:after="120" w:before="0" w:line="276"/>
      </w:pPr>
      <w:r>
        <w:rPr>
          <w:rFonts w:ascii="Calibri" w:cs="Calibri" w:eastAsia="Calibri" w:hAnsi="Calibri"/>
          <w:sz w:val="22"/>
          <w:szCs w:val="22"/>
        </w:rPr>
        <w:t xml:space="preserve"/>
      </w:r>
    </w:p>
    <w:p>
      <w:pPr>
        <w:pStyle w:val="ListParagraph"/>
        <w:numPr>
          <w:ilvl w:val="0"/>
          <w:numId w:val="2"/>
        </w:numPr>
        <w:spacing w:after="70" w:line="264"/>
      </w:pPr>
      <w:r>
        <w:rPr>
          <w:rFonts w:ascii="Calibri" w:cs="Calibri" w:eastAsia="Calibri" w:hAnsi="Calibri"/>
          <w:sz w:val="22"/>
          <w:szCs w:val="22"/>
        </w:rPr>
        <w:t xml:space="preserve">Étiquettes imprimées par transfert thermique — l'écriture manuscrite n'est pas admise.</w:t>
      </w:r>
    </w:p>
    <w:p>
      <w:pPr>
        <w:pStyle w:val="ListParagraph"/>
        <w:numPr>
          <w:ilvl w:val="0"/>
          <w:numId w:val="2"/>
        </w:numPr>
        <w:spacing w:after="70" w:line="264"/>
      </w:pPr>
      <w:r>
        <w:rPr>
          <w:rFonts w:ascii="Calibri" w:cs="Calibri" w:eastAsia="Calibri" w:hAnsi="Calibri"/>
          <w:sz w:val="22"/>
          <w:szCs w:val="22"/>
        </w:rPr>
        <w:t xml:space="preserve">Caractères noirs sur fond blanc, hauteur minimale 2,5 mm, résistants à l'abrasion et aux produits de nettoyage hospitaliers.</w:t>
      </w:r>
    </w:p>
    <w:p>
      <w:pPr>
        <w:pStyle w:val="ListParagraph"/>
        <w:numPr>
          <w:ilvl w:val="0"/>
          <w:numId w:val="2"/>
        </w:numPr>
        <w:spacing w:after="70" w:line="264"/>
      </w:pPr>
      <w:r>
        <w:rPr>
          <w:rFonts w:ascii="Calibri" w:cs="Calibri" w:eastAsia="Calibri" w:hAnsi="Calibri"/>
          <w:sz w:val="22"/>
          <w:szCs w:val="22"/>
        </w:rPr>
        <w:t xml:space="preserve">Le marquage est vérifié contradictoirement avec le service informatique avant la réception provisoire.</w:t>
      </w:r>
    </w:p>
    <w:p>
      <w:r>
        <w:br w:type="page"/>
      </w:r>
    </w:p>
    <w:p>
      <w:pPr>
        <w:pStyle w:val="Heading1"/>
        <w:spacing w:after="180" w:before="320"/>
      </w:pPr>
      <w:r>
        <w:rPr>
          <w:rFonts w:ascii="Calibri" w:cs="Calibri" w:eastAsia="Calibri" w:hAnsi="Calibri"/>
          <w:b/>
          <w:bCs/>
          <w:color w:val="1F3864"/>
          <w:sz w:val="30"/>
          <w:szCs w:val="30"/>
        </w:rPr>
        <w:t xml:space="preserve">4. Registre des blocs et des pointeuses</w:t>
      </w:r>
    </w:p>
    <w:p>
      <w:pPr>
        <w:spacing w:after="120" w:before="0" w:line="276"/>
      </w:pPr>
      <w:r>
        <w:rPr>
          <w:rFonts w:ascii="Calibri" w:cs="Calibri" w:eastAsia="Calibri" w:hAnsi="Calibri"/>
          <w:sz w:val="22"/>
          <w:szCs w:val="22"/>
        </w:rPr>
        <w:t xml:space="preserve">Tableau établi dans l'ordre du tableau des sites du CCTP. Les colonnes grisées sont renseignées à l'achèvement des travaux.</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700"/>
        <w:gridCol w:w="2000"/>
        <w:gridCol w:w="2500"/>
        <w:gridCol w:w="1200"/>
        <w:gridCol w:w="1250"/>
        <w:gridCol w:w="1250"/>
      </w:tblGrid>
      <w:tr>
        <w:tc>
          <w:tcPr>
            <w:tcW w:type="dxa" w:w="7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Bloc</w:t>
            </w:r>
          </w:p>
        </w:tc>
        <w:tc>
          <w:tcPr>
            <w:tcW w:type="dxa" w:w="20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Site</w:t>
            </w:r>
          </w:p>
        </w:tc>
        <w:tc>
          <w:tcPr>
            <w:tcW w:type="dxa" w:w="25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Services desservis</w:t>
            </w:r>
          </w:p>
        </w:tc>
        <w:tc>
          <w:tcPr>
            <w:tcW w:type="dxa" w:w="12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Pointeuse</w:t>
            </w:r>
          </w:p>
        </w:tc>
        <w:tc>
          <w:tcPr>
            <w:tcW w:type="dxa" w:w="12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Local / étage</w:t>
            </w:r>
          </w:p>
        </w:tc>
        <w:tc>
          <w:tcPr>
            <w:tcW w:type="dxa" w:w="12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Date mise en service</w:t>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B01</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Direction générale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Direction générale · Administration · Bureau des entrées</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PTG-B01-01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B02</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Urgences</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Urgences</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PTG-B02-01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B03</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Chirurgie B</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Chirurgie B</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PTG-B03-01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B04</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Maladies infectieuses</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Maladies infectieuses · Anesthésie Réa</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PTG-B04-01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B05</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Microbiologie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Microbiologie · Immunologie · Hématologie · Biochimie · Parasitologie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PTG-B05-01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B06</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Consultations externes</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Consultations externes · Salle des prélèvements · Pharmacie externe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PTG-B06-01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B07</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Gastro A</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Gastro A</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PTG-B07-01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B08</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Gastro B</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Gastro B</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PTG-B08-01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B09</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Endocrinologie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Endocrinologie · Stomato Adulte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PTG-B09-01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B10</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Pneumologie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Pneumologie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PTG-B10-01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B11</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Radiologie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Radiologie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PTG-B11-01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B12</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Réanimation médicale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Réanimation médicale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PTG-B12-01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B13</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Maintenance biomédicale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Maintenance biomédicale · Gestion de stock · Salle de conférence · Parc Auto · Buanderie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PTG-B13-01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B14</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Cardio Adulte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Cardio Adulte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PTG-B14-01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B15</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Chirurgie cardio-vasculaire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Chirurgie cardio-vasculaire · Cardio Pédiatrie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PTG-B15-01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B16</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Pharmacie interne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Pharmacie interne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PTG-B16-01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B17</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Ophtalmologie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Ophtalmologie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PTG-B17-01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B18</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Chirurgie A</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Chirurgie A</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PTG-B18-01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B19</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ORL</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ORL · Orthopédie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PTG-B19-01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B20</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Néphrologie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Néphrologie · Urologie · Consultation Orthopédie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PTG-B20-01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B21</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Dermatologie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Dermatologie · Pédiatrie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PTG-B21-01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B22</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Médecine interne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Médecine interne · Anatomie pathologique · Consultation Rhumatologie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PTG-B22-01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B23</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Centre de traitement des douleurs</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Centre de traitement des douleurs · Médecine de travail</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PTG-B23-01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B24</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Rhumatologie</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Rhumatologie · Stomato pedo</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PTG-B24-01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7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B25</w:t>
            </w:r>
          </w:p>
        </w:tc>
        <w:tc>
          <w:tcPr>
            <w:tcW w:type="dxa" w:w="2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Surveillant général</w:t>
            </w:r>
          </w:p>
        </w:tc>
        <w:tc>
          <w:tcPr>
            <w:tcW w:type="dxa" w:w="25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Surveillant général · Maintenance générale</w:t>
            </w:r>
          </w:p>
        </w:tc>
        <w:tc>
          <w:tcPr>
            <w:tcW w:type="dxa" w:w="1200"/>
            <w:tcMar>
              <w:top w:type="dxa" w:w="70"/>
              <w:left w:type="dxa" w:w="110"/>
              <w:bottom w:type="dxa" w:w="70"/>
              <w:right w:type="dxa" w:w="110"/>
            </w:tcMar>
            <w:vAlign w:val="center"/>
          </w:tcPr>
          <w:p>
            <w:pPr>
              <w:spacing w:after="0" w:line="252"/>
            </w:pPr>
            <w:r>
              <w:rPr>
                <w:rFonts w:ascii="Calibri" w:cs="Calibri" w:eastAsia="Calibri" w:hAnsi="Calibri"/>
                <w:b w:val="false"/>
                <w:bCs w:val="false"/>
                <w:sz w:val="18"/>
                <w:szCs w:val="18"/>
              </w:rPr>
              <w:t xml:space="preserve">PTG-B25-01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bl>
    <w:p>
      <w:pPr>
        <w:spacing w:after="120" w:before="0" w:line="276"/>
      </w:pPr>
      <w:r>
        <w:rPr>
          <w:rFonts w:ascii="Calibri" w:cs="Calibri" w:eastAsia="Calibri" w:hAnsi="Calibri"/>
          <w:sz w:val="22"/>
          <w:szCs w:val="22"/>
        </w:rPr>
        <w:t xml:space="preserve"/>
      </w:r>
    </w:p>
    <w:p>
      <w:pPr>
        <w:spacing w:after="120" w:before="0" w:line="276"/>
      </w:pPr>
      <w:r>
        <w:rPr>
          <w:rFonts w:ascii="Calibri" w:cs="Calibri" w:eastAsia="Calibri" w:hAnsi="Calibri"/>
          <w:b/>
          <w:bCs/>
          <w:sz w:val="22"/>
          <w:szCs w:val="22"/>
        </w:rPr>
        <w:t xml:space="preserve">Total : 25 pointeuses réparties sur 25 blocs.</w:t>
      </w:r>
    </w:p>
    <w:p>
      <w:pPr>
        <w:pStyle w:val="Heading2"/>
        <w:spacing w:after="140" w:before="240"/>
      </w:pPr>
      <w:r>
        <w:rPr>
          <w:rFonts w:ascii="Calibri" w:cs="Calibri" w:eastAsia="Calibri" w:hAnsi="Calibri"/>
          <w:b/>
          <w:bCs/>
          <w:color w:val="2E74B5"/>
          <w:sz w:val="26"/>
          <w:szCs w:val="26"/>
        </w:rPr>
        <w:t xml:space="preserve">4.1 Réserve — écart relevé dans le CCTP</w:t>
      </w:r>
    </w:p>
    <w:p>
      <w:pPr>
        <w:spacing w:after="120" w:before="0" w:line="276"/>
      </w:pPr>
      <w:r>
        <w:rPr>
          <w:rFonts w:ascii="Calibri" w:cs="Calibri" w:eastAsia="Calibri" w:hAnsi="Calibri"/>
          <w:sz w:val="22"/>
          <w:szCs w:val="22"/>
        </w:rPr>
        <w:t xml:space="preserve">Le tableau des sites du CCTP comporte 25 lignes dont une porte la quantité « 02 » pour le bloc Radiologie, soit une somme de 26 appareils, alors que la ligne de total du même tableau, le tableau des articles, le bordereau des prix et l'ensemble des fiches techniques indiquent 25 pointeuses.</w:t>
      </w:r>
    </w:p>
    <w:p>
      <w:pPr>
        <w:spacing w:after="120" w:before="0" w:line="276"/>
      </w:pPr>
      <w:r>
        <w:rPr>
          <w:rFonts w:ascii="Calibri" w:cs="Calibri" w:eastAsia="Calibri" w:hAnsi="Calibri"/>
          <w:b/>
          <w:bCs/>
          <w:sz w:val="22"/>
          <w:szCs w:val="22"/>
        </w:rPr>
        <w:t xml:space="preserve">Le présent plan de recollement retient la quantité contractuelle de 25 pointeuses, à raison d'une par bloc. Si l'administration confirme la nécessité d'une seconde pointeuse au bloc Radiologie, celle-ci sera repérée PTG-B11-02 et installée au titre de la variation des quantités prévue à l'article 4 du CCTP, sans modification des prix unitaires.</w:t>
      </w:r>
    </w:p>
    <w:p>
      <w:r>
        <w:br w:type="page"/>
      </w:r>
    </w:p>
    <w:p>
      <w:pPr>
        <w:pStyle w:val="Heading1"/>
        <w:spacing w:after="180" w:before="320"/>
      </w:pPr>
      <w:r>
        <w:rPr>
          <w:rFonts w:ascii="Calibri" w:cs="Calibri" w:eastAsia="Calibri" w:hAnsi="Calibri"/>
          <w:b/>
          <w:bCs/>
          <w:color w:val="1F3864"/>
          <w:sz w:val="30"/>
          <w:szCs w:val="30"/>
        </w:rPr>
        <w:t xml:space="preserve">5. Registre des liens cuivre et certification</w:t>
      </w:r>
    </w:p>
    <w:p>
      <w:pPr>
        <w:spacing w:after="120" w:before="0" w:line="276"/>
      </w:pPr>
      <w:r>
        <w:rPr>
          <w:rFonts w:ascii="Calibri" w:cs="Calibri" w:eastAsia="Calibri" w:hAnsi="Calibri"/>
          <w:sz w:val="22"/>
          <w:szCs w:val="22"/>
        </w:rPr>
        <w:t xml:space="preserve">Chaque lien permanent fait l'objet d'un test de certification catégorie 6 en configuration Permanent Link, au moyen d'un certificateur de chantier étalonné. Le rapport natif de l'appareil est joint en annexe du présent document et repris intégralement dans le registre électronique.</w:t>
      </w:r>
    </w:p>
    <w:p>
      <w:pPr>
        <w:pStyle w:val="Heading2"/>
        <w:spacing w:after="140" w:before="240"/>
      </w:pPr>
      <w:r>
        <w:rPr>
          <w:rFonts w:ascii="Calibri" w:cs="Calibri" w:eastAsia="Calibri" w:hAnsi="Calibri"/>
          <w:b/>
          <w:bCs/>
          <w:color w:val="2E74B5"/>
          <w:sz w:val="26"/>
          <w:szCs w:val="26"/>
        </w:rPr>
        <w:t xml:space="preserve">5.1 Renseignements de l'appareil de mesure</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600"/>
        <w:gridCol w:w="6300"/>
      </w:tblGrid>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Marque et modèle du certificateur</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w:t>
            </w:r>
          </w:p>
        </w:tc>
      </w:tr>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Numéro de série</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w:t>
            </w:r>
          </w:p>
        </w:tc>
      </w:tr>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Date du dernier étalonnage</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w:t>
            </w:r>
          </w:p>
        </w:tc>
      </w:tr>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Norme et configuration de test</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ISO/IEC 11801 Classe E — ANSI/TIA/EIA-568 Cat. 6 — Permanent Link</w:t>
            </w:r>
          </w:p>
        </w:tc>
      </w:tr>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Opérateur</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w:t>
            </w:r>
          </w:p>
        </w:tc>
      </w:tr>
    </w:tbl>
    <w:p>
      <w:pPr>
        <w:pStyle w:val="Heading2"/>
        <w:spacing w:after="140" w:before="240"/>
      </w:pPr>
      <w:r>
        <w:rPr>
          <w:rFonts w:ascii="Calibri" w:cs="Calibri" w:eastAsia="Calibri" w:hAnsi="Calibri"/>
          <w:b/>
          <w:bCs/>
          <w:color w:val="2E74B5"/>
          <w:sz w:val="26"/>
          <w:szCs w:val="26"/>
        </w:rPr>
        <w:t xml:space="preserve">5.2 Registre des liens</w:t>
      </w:r>
    </w:p>
    <w:p>
      <w:pPr>
        <w:spacing w:after="120" w:before="0" w:line="276"/>
      </w:pPr>
      <w:r>
        <w:rPr>
          <w:rFonts w:ascii="Calibri" w:cs="Calibri" w:eastAsia="Calibri" w:hAnsi="Calibri"/>
          <w:sz w:val="22"/>
          <w:szCs w:val="22"/>
        </w:rPr>
        <w:t xml:space="preserve">Un lien par pointeuse. La colonne « Résultat » ne peut porter que la mention PASS ; tout lien en FAIL est repris et retesté avant la réception.</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900"/>
        <w:gridCol w:w="900"/>
        <w:gridCol w:w="1100"/>
        <w:gridCol w:w="1300"/>
        <w:gridCol w:w="1000"/>
        <w:gridCol w:w="900"/>
        <w:gridCol w:w="900"/>
        <w:gridCol w:w="950"/>
        <w:gridCol w:w="950"/>
      </w:tblGrid>
      <w:tr>
        <w:tc>
          <w:tcPr>
            <w:tcW w:type="dxa" w:w="9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Lien</w:t>
            </w:r>
          </w:p>
        </w:tc>
        <w:tc>
          <w:tcPr>
            <w:tcW w:type="dxa" w:w="9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Prise</w:t>
            </w:r>
          </w:p>
        </w:tc>
        <w:tc>
          <w:tcPr>
            <w:tcW w:type="dxa" w:w="11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Panneau / port</w:t>
            </w:r>
          </w:p>
        </w:tc>
        <w:tc>
          <w:tcPr>
            <w:tcW w:type="dxa" w:w="1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Commutateur / port</w:t>
            </w:r>
          </w:p>
        </w:tc>
        <w:tc>
          <w:tcPr>
            <w:tcW w:type="dxa" w:w="10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Long. (m)</w:t>
            </w:r>
          </w:p>
        </w:tc>
        <w:tc>
          <w:tcPr>
            <w:tcW w:type="dxa" w:w="9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NEXT (dB)</w:t>
            </w:r>
          </w:p>
        </w:tc>
        <w:tc>
          <w:tcPr>
            <w:tcW w:type="dxa" w:w="9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RL (dB)</w:t>
            </w:r>
          </w:p>
        </w:tc>
        <w:tc>
          <w:tcPr>
            <w:tcW w:type="dxa" w:w="9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Résultat</w:t>
            </w:r>
          </w:p>
        </w:tc>
        <w:tc>
          <w:tcPr>
            <w:tcW w:type="dxa" w:w="9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Date</w:t>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L-B01-01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PR-B01-01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LT-B01/BP1-P__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L-B02-01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PR-B02-01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LT-B02/BP1-P__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L-B03-01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PR-B03-01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LT-B03/BP1-P__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L-B04-01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PR-B04-01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LT-B04/BP1-P__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L-B05-01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PR-B05-01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LT-B05/BP1-P__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L-B06-01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PR-B06-01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LT-B06/BP1-P__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L-B07-01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PR-B07-01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LT-B07/BP1-P__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L-B08-01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PR-B08-01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LT-B08/BP1-P__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L-B09-01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PR-B09-01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LT-B09/BP1-P__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L-B10-01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PR-B10-01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LT-B10/BP1-P__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L-B11-01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PR-B11-01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LT-B11/BP1-P__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L-B12-01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PR-B12-01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LT-B12/BP1-P__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L-B13-01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PR-B13-01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LT-B13/BP1-P__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L-B14-01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PR-B14-01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LT-B14/BP1-P__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L-B15-01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PR-B15-01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LT-B15/BP1-P__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L-B16-01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PR-B16-01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LT-B16/BP1-P__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L-B17-01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PR-B17-01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LT-B17/BP1-P__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L-B18-01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PR-B18-01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LT-B18/BP1-P__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L-B19-01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PR-B19-01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LT-B19/BP1-P__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L-B20-01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PR-B20-01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LT-B20/BP1-P__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L-B21-01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PR-B21-01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LT-B21/BP1-P__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L-B22-01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PR-B22-01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LT-B22/BP1-P__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L-B23-01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PR-B23-01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LT-B23/BP1-P__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L-B24-01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PR-B24-01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LT-B24/BP1-P__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900"/>
            <w:tcMar>
              <w:top w:type="dxa" w:w="70"/>
              <w:left w:type="dxa" w:w="110"/>
              <w:bottom w:type="dxa" w:w="70"/>
              <w:right w:type="dxa" w:w="110"/>
            </w:tcMar>
            <w:vAlign w:val="center"/>
          </w:tcPr>
          <w:p>
            <w:pPr>
              <w:spacing w:after="0" w:line="252"/>
            </w:pPr>
            <w:r>
              <w:rPr>
                <w:rFonts w:ascii="Calibri" w:cs="Calibri" w:eastAsia="Calibri" w:hAnsi="Calibri"/>
                <w:b/>
                <w:bCs/>
                <w:sz w:val="17"/>
                <w:szCs w:val="17"/>
              </w:rPr>
              <w:t xml:space="preserve">L-B25-01</w:t>
            </w:r>
          </w:p>
        </w:tc>
        <w:tc>
          <w:tcPr>
            <w:tcW w:type="dxa" w:w="9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PR-B25-01</w:t>
            </w:r>
          </w:p>
        </w:tc>
        <w:tc>
          <w:tcPr>
            <w:tcW w:type="dxa" w:w="11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LT-B25/BP1-P__</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9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bl>
    <w:p>
      <w:pPr>
        <w:spacing w:after="120" w:before="0" w:line="276"/>
      </w:pPr>
      <w:r>
        <w:rPr>
          <w:rFonts w:ascii="Calibri" w:cs="Calibri" w:eastAsia="Calibri" w:hAnsi="Calibri"/>
          <w:sz w:val="22"/>
          <w:szCs w:val="22"/>
        </w:rPr>
        <w:t xml:space="preserve"/>
      </w:r>
    </w:p>
    <w:p>
      <w:pPr>
        <w:spacing w:after="120" w:before="0" w:line="276"/>
      </w:pPr>
      <w:r>
        <w:rPr>
          <w:rFonts w:ascii="Calibri" w:cs="Calibri" w:eastAsia="Calibri" w:hAnsi="Calibri"/>
          <w:b/>
          <w:bCs/>
          <w:sz w:val="22"/>
          <w:szCs w:val="22"/>
        </w:rPr>
        <w:t xml:space="preserve">Contrainte de longueur : aucun lien permanent n'excède 90 mètres, conformément à l'article 15 du CCTP. La longueur mesurée par le certificateur fait foi.</w:t>
      </w:r>
    </w:p>
    <w:p>
      <w:r>
        <w:br w:type="page"/>
      </w:r>
    </w:p>
    <w:p>
      <w:pPr>
        <w:pStyle w:val="Heading1"/>
        <w:spacing w:after="180" w:before="320"/>
      </w:pPr>
      <w:r>
        <w:rPr>
          <w:rFonts w:ascii="Calibri" w:cs="Calibri" w:eastAsia="Calibri" w:hAnsi="Calibri"/>
          <w:b/>
          <w:bCs/>
          <w:color w:val="1F3864"/>
          <w:sz w:val="30"/>
          <w:szCs w:val="30"/>
        </w:rPr>
        <w:t xml:space="preserve">6. Registre des alimentations électriques et de secours</w:t>
      </w:r>
    </w:p>
    <w:p>
      <w:pPr>
        <w:spacing w:after="120" w:before="0" w:line="276"/>
      </w:pPr>
      <w:r>
        <w:rPr>
          <w:rFonts w:ascii="Calibri" w:cs="Calibri" w:eastAsia="Calibri" w:hAnsi="Calibri"/>
          <w:sz w:val="22"/>
          <w:szCs w:val="22"/>
        </w:rPr>
        <w:t xml:space="preserve">Conformément à l'article 15 du CCTP, le titulaire indique pour chaque pointeuse l'endroit où l'alimentation électrique est récupérée, le coffret et la protection associés, ainsi que l'alimentation de secours assurant l'autonomie exigée.</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800"/>
        <w:gridCol w:w="1150"/>
        <w:gridCol w:w="1250"/>
        <w:gridCol w:w="1250"/>
        <w:gridCol w:w="1300"/>
        <w:gridCol w:w="1300"/>
        <w:gridCol w:w="1850"/>
      </w:tblGrid>
      <w:tr>
        <w:tc>
          <w:tcPr>
            <w:tcW w:type="dxa" w:w="8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Bloc</w:t>
            </w:r>
          </w:p>
        </w:tc>
        <w:tc>
          <w:tcPr>
            <w:tcW w:type="dxa" w:w="11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Départ</w:t>
            </w:r>
          </w:p>
        </w:tc>
        <w:tc>
          <w:tcPr>
            <w:tcW w:type="dxa" w:w="12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Tableau d'origine</w:t>
            </w:r>
          </w:p>
        </w:tc>
        <w:tc>
          <w:tcPr>
            <w:tcW w:type="dxa" w:w="12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Disjoncteur</w:t>
            </w:r>
          </w:p>
        </w:tc>
        <w:tc>
          <w:tcPr>
            <w:tcW w:type="dxa" w:w="1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Alim. secours</w:t>
            </w:r>
          </w:p>
        </w:tc>
        <w:tc>
          <w:tcPr>
            <w:tcW w:type="dxa" w:w="1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Autonomie relevée</w:t>
            </w:r>
          </w:p>
        </w:tc>
        <w:tc>
          <w:tcPr>
            <w:tcW w:type="dxa" w:w="18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Emplacement de reprise</w:t>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B01</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AL-B01-01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TE-B01</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DJ-B01-01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ASE-B01-01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B02</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AL-B02-01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TE-B02</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DJ-B02-01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ASE-B02-01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B03</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AL-B03-01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TE-B03</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DJ-B03-01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ASE-B03-01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B04</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AL-B04-01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TE-B04</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DJ-B04-01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ASE-B04-01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B05</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AL-B05-01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TE-B05</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DJ-B05-01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ASE-B05-01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B06</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AL-B06-01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TE-B06</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DJ-B06-01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ASE-B06-01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B07</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AL-B07-01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TE-B07</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DJ-B07-01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ASE-B07-01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B08</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AL-B08-01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TE-B08</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DJ-B08-01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ASE-B08-01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B09</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AL-B09-01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TE-B09</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DJ-B09-01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ASE-B09-01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B10</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AL-B10-01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TE-B10</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DJ-B10-01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ASE-B10-01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B11</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AL-B11-01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TE-B11</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DJ-B11-01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ASE-B11-01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B12</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AL-B12-01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TE-B12</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DJ-B12-01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ASE-B12-01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B13</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AL-B13-01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TE-B13</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DJ-B13-01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ASE-B13-01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B14</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AL-B14-01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TE-B14</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DJ-B14-01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ASE-B14-01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B15</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AL-B15-01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TE-B15</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DJ-B15-01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ASE-B15-01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B16</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AL-B16-01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TE-B16</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DJ-B16-01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ASE-B16-01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B17</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AL-B17-01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TE-B17</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DJ-B17-01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ASE-B17-01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B18</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AL-B18-01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TE-B18</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DJ-B18-01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ASE-B18-01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B19</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AL-B19-01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TE-B19</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DJ-B19-01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ASE-B19-01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B20</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AL-B20-01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TE-B20</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DJ-B20-01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ASE-B20-01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B21</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AL-B21-01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TE-B21</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DJ-B21-01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ASE-B21-01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B22</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AL-B22-01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TE-B22</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DJ-B22-01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ASE-B22-01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B23</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AL-B23-01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TE-B23</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DJ-B23-01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ASE-B23-01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B24</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AL-B24-01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TE-B24</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DJ-B24-01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ASE-B24-01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B25</w:t>
            </w:r>
          </w:p>
        </w:tc>
        <w:tc>
          <w:tcPr>
            <w:tcW w:type="dxa" w:w="11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AL-B25-01</w:t>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TE-B25</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DJ-B25-01</w:t>
            </w:r>
          </w:p>
        </w:tc>
        <w:tc>
          <w:tcPr>
            <w:tcW w:type="dxa" w:w="130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ASE-B25-01</w:t>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8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bl>
    <w:p>
      <w:pPr>
        <w:spacing w:after="120" w:before="0" w:line="276"/>
      </w:pPr>
      <w:r>
        <w:rPr>
          <w:rFonts w:ascii="Calibri" w:cs="Calibri" w:eastAsia="Calibri" w:hAnsi="Calibri"/>
          <w:sz w:val="22"/>
          <w:szCs w:val="22"/>
        </w:rPr>
        <w:t xml:space="preserve"/>
      </w:r>
    </w:p>
    <w:p>
      <w:pPr>
        <w:pStyle w:val="ListParagraph"/>
        <w:numPr>
          <w:ilvl w:val="0"/>
          <w:numId w:val="2"/>
        </w:numPr>
        <w:spacing w:after="70" w:line="264"/>
      </w:pPr>
      <w:r>
        <w:rPr>
          <w:rFonts w:ascii="Calibri" w:cs="Calibri" w:eastAsia="Calibri" w:hAnsi="Calibri"/>
          <w:sz w:val="22"/>
          <w:szCs w:val="22"/>
        </w:rPr>
        <w:t xml:space="preserve">Séparation physique entre courant fort et courant faible assurée sur l'ensemble du cheminement.</w:t>
      </w:r>
    </w:p>
    <w:p>
      <w:pPr>
        <w:pStyle w:val="ListParagraph"/>
        <w:numPr>
          <w:ilvl w:val="0"/>
          <w:numId w:val="2"/>
        </w:numPr>
        <w:spacing w:after="70" w:line="264"/>
      </w:pPr>
      <w:r>
        <w:rPr>
          <w:rFonts w:ascii="Calibri" w:cs="Calibri" w:eastAsia="Calibri" w:hAnsi="Calibri"/>
          <w:sz w:val="22"/>
          <w:szCs w:val="22"/>
        </w:rPr>
        <w:t xml:space="preserve">Chaque alimentation de secours est essayée par coupure volontaire du secteur ; l'autonomie relevée est portée au registre et ne peut être inférieure à deux heures.</w:t>
      </w:r>
    </w:p>
    <w:p>
      <w:pPr>
        <w:pStyle w:val="Heading1"/>
        <w:spacing w:after="180" w:before="320"/>
      </w:pPr>
      <w:r>
        <w:rPr>
          <w:rFonts w:ascii="Calibri" w:cs="Calibri" w:eastAsia="Calibri" w:hAnsi="Calibri"/>
          <w:b/>
          <w:bCs/>
          <w:color w:val="1F3864"/>
          <w:sz w:val="30"/>
          <w:szCs w:val="30"/>
        </w:rPr>
        <w:t xml:space="preserve">7. Registre d'adressage et de raccordement réseau</w:t>
      </w:r>
    </w:p>
    <w:p>
      <w:pPr>
        <w:spacing w:after="120" w:before="0" w:line="276"/>
      </w:pPr>
      <w:r>
        <w:rPr>
          <w:rFonts w:ascii="Calibri" w:cs="Calibri" w:eastAsia="Calibri" w:hAnsi="Calibri"/>
          <w:sz w:val="22"/>
          <w:szCs w:val="22"/>
        </w:rPr>
        <w:t xml:space="preserve">Adressage fixe attribué par le service informatique du CHU La Rabta sur le VLAN dédié au système de pointage.</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800"/>
        <w:gridCol w:w="1250"/>
        <w:gridCol w:w="1500"/>
        <w:gridCol w:w="1500"/>
        <w:gridCol w:w="1300"/>
        <w:gridCol w:w="1300"/>
        <w:gridCol w:w="1250"/>
      </w:tblGrid>
      <w:tr>
        <w:tc>
          <w:tcPr>
            <w:tcW w:type="dxa" w:w="8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Bloc</w:t>
            </w:r>
          </w:p>
        </w:tc>
        <w:tc>
          <w:tcPr>
            <w:tcW w:type="dxa" w:w="12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Pointeuse</w:t>
            </w:r>
          </w:p>
        </w:tc>
        <w:tc>
          <w:tcPr>
            <w:tcW w:type="dxa" w:w="15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Marque / modèle</w:t>
            </w:r>
          </w:p>
        </w:tc>
        <w:tc>
          <w:tcPr>
            <w:tcW w:type="dxa" w:w="15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N° de série</w:t>
            </w:r>
          </w:p>
        </w:tc>
        <w:tc>
          <w:tcPr>
            <w:tcW w:type="dxa" w:w="1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Adresse MAC</w:t>
            </w:r>
          </w:p>
        </w:tc>
        <w:tc>
          <w:tcPr>
            <w:tcW w:type="dxa" w:w="1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Adresse IP</w:t>
            </w:r>
          </w:p>
        </w:tc>
        <w:tc>
          <w:tcPr>
            <w:tcW w:type="dxa" w:w="12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VLAN</w:t>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B01</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PTG-B01-01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B02</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PTG-B02-01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B03</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PTG-B03-01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B04</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PTG-B04-01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B05</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PTG-B05-01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B06</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PTG-B06-01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B07</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PTG-B07-01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B08</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PTG-B08-01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B09</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PTG-B09-01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B10</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PTG-B10-01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B11</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PTG-B11-01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B12</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PTG-B12-01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B13</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PTG-B13-01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B14</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PTG-B14-01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B15</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PTG-B15-01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B16</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PTG-B16-01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B17</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PTG-B17-01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B18</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PTG-B18-01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B19</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PTG-B19-01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B20</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PTG-B20-01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B21</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PTG-B21-01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B22</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PTG-B22-01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B23</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PTG-B23-01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B24</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PTG-B24-01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800"/>
            <w:tcMar>
              <w:top w:type="dxa" w:w="70"/>
              <w:left w:type="dxa" w:w="110"/>
              <w:bottom w:type="dxa" w:w="70"/>
              <w:right w:type="dxa" w:w="110"/>
            </w:tcMar>
            <w:vAlign w:val="center"/>
          </w:tcPr>
          <w:p>
            <w:pPr>
              <w:spacing w:after="0" w:line="252"/>
              <w:jc w:val="center"/>
            </w:pPr>
            <w:r>
              <w:rPr>
                <w:rFonts w:ascii="Calibri" w:cs="Calibri" w:eastAsia="Calibri" w:hAnsi="Calibri"/>
                <w:b/>
                <w:bCs/>
                <w:sz w:val="20"/>
                <w:szCs w:val="20"/>
              </w:rPr>
              <w:t xml:space="preserve">B25</w:t>
            </w:r>
          </w:p>
        </w:tc>
        <w:tc>
          <w:tcPr>
            <w:tcW w:type="dxa" w:w="1250"/>
            <w:tcMar>
              <w:top w:type="dxa" w:w="70"/>
              <w:left w:type="dxa" w:w="110"/>
              <w:bottom w:type="dxa" w:w="70"/>
              <w:right w:type="dxa" w:w="110"/>
            </w:tcMar>
            <w:vAlign w:val="center"/>
          </w:tcPr>
          <w:p>
            <w:pPr>
              <w:spacing w:after="0" w:line="252"/>
            </w:pPr>
            <w:r>
              <w:rPr>
                <w:rFonts w:ascii="Calibri" w:cs="Calibri" w:eastAsia="Calibri" w:hAnsi="Calibri"/>
                <w:b w:val="false"/>
                <w:bCs w:val="false"/>
                <w:sz w:val="17"/>
                <w:szCs w:val="17"/>
              </w:rPr>
              <w:t xml:space="preserve">PTG-B25-01</w:t>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125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bl>
    <w:p>
      <w:pPr>
        <w:pStyle w:val="Heading1"/>
        <w:spacing w:after="180" w:before="320"/>
      </w:pPr>
      <w:r>
        <w:rPr>
          <w:rFonts w:ascii="Calibri" w:cs="Calibri" w:eastAsia="Calibri" w:hAnsi="Calibri"/>
          <w:b/>
          <w:bCs/>
          <w:color w:val="1F3864"/>
          <w:sz w:val="30"/>
          <w:szCs w:val="30"/>
        </w:rPr>
        <w:t xml:space="preserve">8. Serveur</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600"/>
        <w:gridCol w:w="6300"/>
      </w:tblGrid>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Repère</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SRV-01</w:t>
            </w:r>
          </w:p>
        </w:tc>
      </w:tr>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Emplacement</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Salle serveur du CHU La Rabta — ……………………</w:t>
            </w:r>
          </w:p>
        </w:tc>
      </w:tr>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Marque, modèle, n° de série</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w:t>
            </w:r>
          </w:p>
        </w:tc>
      </w:tr>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Adresse IP / VLAN</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w:t>
            </w:r>
          </w:p>
        </w:tc>
      </w:tr>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Système et base de données</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Windows Server …………………… — base de données ……………………</w:t>
            </w:r>
          </w:p>
        </w:tc>
      </w:tr>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Configuration RAID</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w:t>
            </w:r>
          </w:p>
        </w:tc>
      </w:tr>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Alimentations redondantes</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Essai de basculement réalisé le ……………………</w:t>
            </w:r>
          </w:p>
        </w:tc>
      </w:tr>
      <w:tr>
        <w:tc>
          <w:tcPr>
            <w:tcW w:type="dxa" w:w="26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Sauvegarde</w:t>
            </w:r>
          </w:p>
        </w:tc>
        <w:tc>
          <w:tcPr>
            <w:tcW w:type="dxa" w:w="6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Planification …………………… — essai de restauration réalisé le ……………………</w:t>
            </w:r>
          </w:p>
        </w:tc>
      </w:tr>
    </w:tbl>
    <w:p>
      <w:r>
        <w:br w:type="page"/>
      </w:r>
    </w:p>
    <w:p>
      <w:pPr>
        <w:pStyle w:val="Heading1"/>
        <w:spacing w:after="180" w:before="320"/>
      </w:pPr>
      <w:r>
        <w:rPr>
          <w:rFonts w:ascii="Calibri" w:cs="Calibri" w:eastAsia="Calibri" w:hAnsi="Calibri"/>
          <w:b/>
          <w:bCs/>
          <w:color w:val="1F3864"/>
          <w:sz w:val="30"/>
          <w:szCs w:val="30"/>
        </w:rPr>
        <w:t xml:space="preserve">9. Plans remis</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500"/>
        <w:gridCol w:w="3400"/>
        <w:gridCol w:w="4000"/>
      </w:tblGrid>
      <w:tr>
        <w:tc>
          <w:tcPr>
            <w:tcW w:type="dxa" w:w="15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Repère</w:t>
            </w:r>
          </w:p>
        </w:tc>
        <w:tc>
          <w:tcPr>
            <w:tcW w:type="dxa" w:w="3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Plan</w:t>
            </w:r>
          </w:p>
        </w:tc>
        <w:tc>
          <w:tcPr>
            <w:tcW w:type="dxa" w:w="40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Contenu</w:t>
            </w:r>
          </w:p>
        </w:tc>
      </w:tr>
      <w:tr>
        <w:tc>
          <w:tcPr>
            <w:tcW w:type="dxa" w:w="1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PR-000</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Plan de masse du site</w:t>
            </w:r>
          </w:p>
        </w:tc>
        <w:tc>
          <w:tcPr>
            <w:tcW w:type="dxa" w:w="4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Implantation des 25 blocs, position de chaque pointeuse et du local serveur, cheminements principaux.</w:t>
            </w:r>
          </w:p>
        </w:tc>
      </w:tr>
      <w:tr>
        <w:tc>
          <w:tcPr>
            <w:tcW w:type="dxa" w:w="1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PR-B01 à PR-B25</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Plan d'implantation par bloc</w:t>
            </w:r>
          </w:p>
        </w:tc>
        <w:tc>
          <w:tcPr>
            <w:tcW w:type="dxa" w:w="4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Position cotée de la pointeuse, de la prise, du local technique et du point de reprise de l'alimentation ; tracé du cheminement.</w:t>
            </w:r>
          </w:p>
        </w:tc>
      </w:tr>
      <w:tr>
        <w:tc>
          <w:tcPr>
            <w:tcW w:type="dxa" w:w="1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PR-SYN</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Synoptique général</w:t>
            </w:r>
          </w:p>
        </w:tc>
        <w:tc>
          <w:tcPr>
            <w:tcW w:type="dxa" w:w="4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Architecture du système : pointeuses, commutateurs, serveur, liaisons et adressage.</w:t>
            </w:r>
          </w:p>
        </w:tc>
      </w:tr>
      <w:tr>
        <w:tc>
          <w:tcPr>
            <w:tcW w:type="dxa" w:w="1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PR-ELE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Schéma des alimentations</w:t>
            </w:r>
          </w:p>
        </w:tc>
        <w:tc>
          <w:tcPr>
            <w:tcW w:type="dxa" w:w="4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Départs, protections, coffrets et alimentations de secours.</w:t>
            </w:r>
          </w:p>
        </w:tc>
      </w:tr>
    </w:tbl>
    <w:p>
      <w:pPr>
        <w:pStyle w:val="Heading2"/>
        <w:spacing w:after="140" w:before="240"/>
      </w:pPr>
      <w:r>
        <w:rPr>
          <w:rFonts w:ascii="Calibri" w:cs="Calibri" w:eastAsia="Calibri" w:hAnsi="Calibri"/>
          <w:b/>
          <w:bCs/>
          <w:color w:val="2E74B5"/>
          <w:sz w:val="26"/>
          <w:szCs w:val="26"/>
        </w:rPr>
        <w:t xml:space="preserve">9.1 Légende commune aux plans</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600"/>
        <w:gridCol w:w="3300"/>
        <w:gridCol w:w="4000"/>
      </w:tblGrid>
      <w:tr>
        <w:tc>
          <w:tcPr>
            <w:tcW w:type="dxa" w:w="16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Symbole</w:t>
            </w:r>
          </w:p>
        </w:tc>
        <w:tc>
          <w:tcPr>
            <w:tcW w:type="dxa" w:w="3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Désignation</w:t>
            </w:r>
          </w:p>
        </w:tc>
        <w:tc>
          <w:tcPr>
            <w:tcW w:type="dxa" w:w="40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Repère porté</w:t>
            </w:r>
          </w:p>
        </w:tc>
      </w:tr>
      <w:tr>
        <w:tc>
          <w:tcPr>
            <w:tcW w:type="dxa" w:w="1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plein</w:t>
            </w:r>
          </w:p>
        </w:tc>
        <w:tc>
          <w:tcPr>
            <w:tcW w:type="dxa" w:w="3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Pointeuse biométrique</w:t>
            </w:r>
          </w:p>
        </w:tc>
        <w:tc>
          <w:tcPr>
            <w:tcW w:type="dxa" w:w="4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PTG-Bnn-ii</w:t>
            </w:r>
          </w:p>
        </w:tc>
      </w:tr>
      <w:tr>
        <w:tc>
          <w:tcPr>
            <w:tcW w:type="dxa" w:w="1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w:t>
            </w:r>
          </w:p>
        </w:tc>
        <w:tc>
          <w:tcPr>
            <w:tcW w:type="dxa" w:w="3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Prise RJ45 Cat. 6</w:t>
            </w:r>
          </w:p>
        </w:tc>
        <w:tc>
          <w:tcPr>
            <w:tcW w:type="dxa" w:w="4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PR-Bnn-ii</w:t>
            </w:r>
          </w:p>
        </w:tc>
      </w:tr>
      <w:tr>
        <w:tc>
          <w:tcPr>
            <w:tcW w:type="dxa" w:w="1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w:t>
            </w:r>
          </w:p>
        </w:tc>
        <w:tc>
          <w:tcPr>
            <w:tcW w:type="dxa" w:w="3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Local technique / répartiteur</w:t>
            </w:r>
          </w:p>
        </w:tc>
        <w:tc>
          <w:tcPr>
            <w:tcW w:type="dxa" w:w="4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LT-Bnn</w:t>
            </w:r>
          </w:p>
        </w:tc>
      </w:tr>
      <w:tr>
        <w:tc>
          <w:tcPr>
            <w:tcW w:type="dxa" w:w="1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trait plein</w:t>
            </w:r>
          </w:p>
        </w:tc>
        <w:tc>
          <w:tcPr>
            <w:tcW w:type="dxa" w:w="3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Lien cuivre Cat. 6 courant faible</w:t>
            </w:r>
          </w:p>
        </w:tc>
        <w:tc>
          <w:tcPr>
            <w:tcW w:type="dxa" w:w="4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L-Bnn-ii</w:t>
            </w:r>
          </w:p>
        </w:tc>
      </w:tr>
      <w:tr>
        <w:tc>
          <w:tcPr>
            <w:tcW w:type="dxa" w:w="1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 tirets</w:t>
            </w:r>
          </w:p>
        </w:tc>
        <w:tc>
          <w:tcPr>
            <w:tcW w:type="dxa" w:w="3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Alimentation électrique courant fort</w:t>
            </w:r>
          </w:p>
        </w:tc>
        <w:tc>
          <w:tcPr>
            <w:tcW w:type="dxa" w:w="4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AL-Bnn-ii</w:t>
            </w:r>
          </w:p>
        </w:tc>
      </w:tr>
      <w:tr>
        <w:tc>
          <w:tcPr>
            <w:tcW w:type="dxa" w:w="1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w:t>
            </w:r>
          </w:p>
        </w:tc>
        <w:tc>
          <w:tcPr>
            <w:tcW w:type="dxa" w:w="3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Coffret et protection</w:t>
            </w:r>
          </w:p>
        </w:tc>
        <w:tc>
          <w:tcPr>
            <w:tcW w:type="dxa" w:w="4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TE-Bnn / DJ-Bnn-ii</w:t>
            </w:r>
          </w:p>
        </w:tc>
      </w:tr>
      <w:tr>
        <w:tc>
          <w:tcPr>
            <w:tcW w:type="dxa" w:w="16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w:t>
            </w:r>
          </w:p>
        </w:tc>
        <w:tc>
          <w:tcPr>
            <w:tcW w:type="dxa" w:w="33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Alimentation de secours 12 V DC</w:t>
            </w:r>
          </w:p>
        </w:tc>
        <w:tc>
          <w:tcPr>
            <w:tcW w:type="dxa" w:w="4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ASE-Bnn-ii</w:t>
            </w:r>
          </w:p>
        </w:tc>
      </w:tr>
    </w:tbl>
    <w:p>
      <w:pPr>
        <w:spacing w:after="120" w:before="0" w:line="276"/>
      </w:pPr>
      <w:r>
        <w:rPr>
          <w:rFonts w:ascii="Calibri" w:cs="Calibri" w:eastAsia="Calibri" w:hAnsi="Calibri"/>
          <w:sz w:val="22"/>
          <w:szCs w:val="22"/>
        </w:rPr>
        <w:t xml:space="preserve"/>
      </w:r>
    </w:p>
    <w:p>
      <w:pPr>
        <w:spacing w:after="120" w:before="0" w:line="276"/>
      </w:pPr>
      <w:r>
        <w:rPr>
          <w:rFonts w:ascii="Calibri" w:cs="Calibri" w:eastAsia="Calibri" w:hAnsi="Calibri"/>
          <w:i/>
          <w:iCs/>
          <w:sz w:val="22"/>
          <w:szCs w:val="22"/>
        </w:rPr>
        <w:t xml:space="preserve">Les plans sont établis à l'échelle sur le fond de plan architectural fourni par le CHU La Rabta, et remis au format PDF et au format source modifiable.</w:t>
      </w:r>
    </w:p>
    <w:p>
      <w:pPr>
        <w:pStyle w:val="Heading1"/>
        <w:spacing w:after="180" w:before="320"/>
      </w:pPr>
      <w:r>
        <w:rPr>
          <w:rFonts w:ascii="Calibri" w:cs="Calibri" w:eastAsia="Calibri" w:hAnsi="Calibri"/>
          <w:b/>
          <w:bCs/>
          <w:color w:val="1F3864"/>
          <w:sz w:val="30"/>
          <w:szCs w:val="30"/>
        </w:rPr>
        <w:t xml:space="preserve">10. Modalités de remise</w:t>
      </w:r>
    </w:p>
    <w:p>
      <w:pPr>
        <w:spacing w:after="120" w:before="0" w:line="276"/>
      </w:pPr>
      <w:r>
        <w:rPr>
          <w:rFonts w:ascii="Calibri" w:cs="Calibri" w:eastAsia="Calibri" w:hAnsi="Calibri"/>
          <w:sz w:val="22"/>
          <w:szCs w:val="22"/>
        </w:rPr>
        <w:t xml:space="preserve">Conformément à la rubrique 14 du CCTP, la documentation est remise en deux exemplaires :</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200"/>
        <w:gridCol w:w="6700"/>
      </w:tblGrid>
      <w:tr>
        <w:tc>
          <w:tcPr>
            <w:tcW w:type="dxa" w:w="22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Exemplaire</w:t>
            </w:r>
          </w:p>
        </w:tc>
        <w:tc>
          <w:tcPr>
            <w:tcW w:type="dxa" w:w="67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Composition</w:t>
            </w:r>
          </w:p>
        </w:tc>
      </w:tr>
      <w:tr>
        <w:tc>
          <w:tcPr>
            <w:tcW w:type="dxa" w:w="2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Papier</w:t>
            </w:r>
          </w:p>
        </w:tc>
        <w:tc>
          <w:tcPr>
            <w:tcW w:type="dxa" w:w="6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Le présent document relié, complété, daté, signé et cacheté, accompagné des plans imprimés et des rapports de certification édités par le certificateur.</w:t>
            </w:r>
          </w:p>
        </w:tc>
      </w:tr>
      <w:tr>
        <w:tc>
          <w:tcPr>
            <w:tcW w:type="dxa" w:w="2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Électronique</w:t>
            </w:r>
          </w:p>
        </w:tc>
        <w:tc>
          <w:tcPr>
            <w:tcW w:type="dxa" w:w="6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Support numérique remis au service informatique contenant : le présent document au format PDF et au format modifiable ; le registre de repérage et de certification au format tableur ; les plans aux formats PDF et source ; les rapports natifs du certificateur ; les notices et fiches techniques des équipements installés.</w:t>
            </w:r>
          </w:p>
        </w:tc>
      </w:tr>
    </w:tbl>
    <w:p>
      <w:pPr>
        <w:spacing w:after="120" w:before="0" w:line="276"/>
      </w:pPr>
      <w:r>
        <w:rPr>
          <w:rFonts w:ascii="Calibri" w:cs="Calibri" w:eastAsia="Calibri" w:hAnsi="Calibri"/>
          <w:sz w:val="22"/>
          <w:szCs w:val="22"/>
        </w:rPr>
        <w:t xml:space="preserve"/>
      </w:r>
    </w:p>
    <w:p>
      <w:pPr>
        <w:spacing w:after="120" w:before="0" w:line="276"/>
      </w:pPr>
      <w:r>
        <w:rPr>
          <w:rFonts w:ascii="Calibri" w:cs="Calibri" w:eastAsia="Calibri" w:hAnsi="Calibri"/>
          <w:b/>
          <w:bCs/>
          <w:sz w:val="22"/>
          <w:szCs w:val="22"/>
        </w:rPr>
        <w:t xml:space="preserve">Le support électronique est organisé en dossiers portant les mêmes repères que le présent document, de sorte que tout élément soit retrouvable à partir de son identifiant seul.</w:t>
      </w:r>
    </w:p>
    <w:p>
      <w:pPr>
        <w:pStyle w:val="Heading1"/>
        <w:spacing w:after="180" w:before="320"/>
      </w:pPr>
      <w:r>
        <w:rPr>
          <w:rFonts w:ascii="Calibri" w:cs="Calibri" w:eastAsia="Calibri" w:hAnsi="Calibri"/>
          <w:b/>
          <w:bCs/>
          <w:color w:val="1F3864"/>
          <w:sz w:val="30"/>
          <w:szCs w:val="30"/>
        </w:rPr>
        <w:t xml:space="preserve">11. Réserves et écarts constatés</w:t>
      </w:r>
    </w:p>
    <w:p>
      <w:pPr>
        <w:spacing w:after="120" w:before="0" w:line="276"/>
      </w:pPr>
      <w:r>
        <w:rPr>
          <w:rFonts w:ascii="Calibri" w:cs="Calibri" w:eastAsia="Calibri" w:hAnsi="Calibri"/>
          <w:sz w:val="22"/>
          <w:szCs w:val="22"/>
        </w:rPr>
        <w:t xml:space="preserve">Toute différence entre l'installation prévue et l'installation réalisée est consignée ci-après, avec sa justification et l'accord du service informatique.</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100"/>
        <w:gridCol w:w="2400"/>
        <w:gridCol w:w="3000"/>
        <w:gridCol w:w="2400"/>
      </w:tblGrid>
      <w:tr>
        <w:tc>
          <w:tcPr>
            <w:tcW w:type="dxa" w:w="11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Repère</w:t>
            </w:r>
          </w:p>
        </w:tc>
        <w:tc>
          <w:tcPr>
            <w:tcW w:type="dxa" w:w="2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Écart constaté</w:t>
            </w:r>
          </w:p>
        </w:tc>
        <w:tc>
          <w:tcPr>
            <w:tcW w:type="dxa" w:w="30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Justification</w:t>
            </w:r>
          </w:p>
        </w:tc>
        <w:tc>
          <w:tcPr>
            <w:tcW w:type="dxa" w:w="2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Accord du service informatique</w:t>
            </w:r>
          </w:p>
        </w:tc>
      </w:tr>
      <w:tr>
        <w:tc>
          <w:tcPr>
            <w:tcW w:type="dxa" w:w="11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11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11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11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11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11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bl>
    <w:p>
      <w:pPr>
        <w:spacing w:after="120" w:before="0" w:line="276"/>
      </w:pPr>
      <w:r>
        <w:rPr>
          <w:rFonts w:ascii="Calibri" w:cs="Calibri" w:eastAsia="Calibri" w:hAnsi="Calibri"/>
          <w:sz w:val="22"/>
          <w:szCs w:val="22"/>
        </w:rPr>
        <w:t xml:space="preserve"/>
      </w:r>
    </w:p>
    <w:p>
      <w:pPr>
        <w:spacing w:after="120" w:before="0" w:line="276"/>
      </w:pPr>
      <w:r>
        <w:rPr>
          <w:rFonts w:ascii="Calibri" w:cs="Calibri" w:eastAsia="Calibri" w:hAnsi="Calibri"/>
          <w:i/>
          <w:iCs/>
          <w:sz w:val="22"/>
          <w:szCs w:val="22"/>
        </w:rPr>
        <w:t xml:space="preserve">Rappel : l'administration peut modifier l'emplacement des pointeuses dans un rayon de 70 mètres en coordination préalable avec le service informatique. Tout déplacement effectué à ce titre est reporté au présent registre et sur les plans concernés.</w:t>
      </w:r>
    </w:p>
    <w:p>
      <w:pPr>
        <w:pStyle w:val="Heading1"/>
        <w:spacing w:after="180" w:before="320"/>
      </w:pPr>
      <w:r>
        <w:rPr>
          <w:rFonts w:ascii="Calibri" w:cs="Calibri" w:eastAsia="Calibri" w:hAnsi="Calibri"/>
          <w:b/>
          <w:bCs/>
          <w:color w:val="1F3864"/>
          <w:sz w:val="30"/>
          <w:szCs w:val="30"/>
        </w:rPr>
        <w:t xml:space="preserve">12. Visa</w:t>
      </w:r>
    </w:p>
    <w:p>
      <w:pPr>
        <w:spacing w:after="120" w:before="0" w:line="276"/>
      </w:pPr>
      <w:r>
        <w:rPr>
          <w:rFonts w:ascii="Calibri" w:cs="Calibri" w:eastAsia="Calibri" w:hAnsi="Calibri"/>
          <w:sz w:val="22"/>
          <w:szCs w:val="22"/>
        </w:rPr>
        <w:t xml:space="preserve">Le présent plan de recollement est établi à l'achèvement des travaux et remis à la réception provisoire.</w:t>
      </w:r>
    </w:p>
    <w:p>
      <w:pPr>
        <w:spacing w:before="200"/>
      </w:pP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4450"/>
        <w:gridCol w:w="4450"/>
      </w:tblGrid>
      <w:tr>
        <w:tc>
          <w:tcPr>
            <w:tcW w:type="dxa" w:w="44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Pour le titulaire</w:t>
            </w:r>
          </w:p>
        </w:tc>
        <w:tc>
          <w:tcPr>
            <w:tcW w:type="dxa" w:w="44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Pour le CHU La Rabta — Unité informatique</w:t>
            </w:r>
          </w:p>
        </w:tc>
      </w:tr>
      <w:tr>
        <w:tc>
          <w:tcPr>
            <w:tcW w:type="dxa" w:w="44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HIKVIEW ENGINEERING</w:t>
            </w:r>
          </w:p>
          <w:p>
            <w:pPr>
              <w:spacing w:after="0" w:line="252"/>
            </w:pPr>
            <w:r>
              <w:rPr>
                <w:rFonts w:ascii="Calibri" w:cs="Calibri" w:eastAsia="Calibri" w:hAnsi="Calibri"/>
                <w:b w:val="false"/>
                <w:bCs w:val="false"/>
                <w:sz w:val="20"/>
                <w:szCs w:val="20"/>
              </w:rPr>
              <w:t xml:space="preserve"/>
            </w:r>
          </w:p>
          <w:p>
            <w:pPr>
              <w:spacing w:after="0" w:line="252"/>
            </w:pPr>
            <w:r>
              <w:rPr>
                <w:rFonts w:ascii="Calibri" w:cs="Calibri" w:eastAsia="Calibri" w:hAnsi="Calibri"/>
                <w:b w:val="false"/>
                <w:bCs w:val="false"/>
                <w:sz w:val="20"/>
                <w:szCs w:val="20"/>
              </w:rPr>
              <w:t xml:space="preserve">Fait à ……………………, le ……………………</w:t>
            </w:r>
          </w:p>
          <w:p>
            <w:pPr>
              <w:spacing w:after="0" w:line="252"/>
            </w:pPr>
            <w:r>
              <w:rPr>
                <w:rFonts w:ascii="Calibri" w:cs="Calibri" w:eastAsia="Calibri" w:hAnsi="Calibri"/>
                <w:b w:val="false"/>
                <w:bCs w:val="false"/>
                <w:sz w:val="20"/>
                <w:szCs w:val="20"/>
              </w:rPr>
              <w:t xml:space="preserve"/>
            </w:r>
          </w:p>
          <w:p>
            <w:pPr>
              <w:spacing w:after="0" w:line="252"/>
            </w:pPr>
            <w:r>
              <w:rPr>
                <w:rFonts w:ascii="Calibri" w:cs="Calibri" w:eastAsia="Calibri" w:hAnsi="Calibri"/>
                <w:b w:val="false"/>
                <w:bCs w:val="false"/>
                <w:sz w:val="20"/>
                <w:szCs w:val="20"/>
              </w:rPr>
              <w:t xml:space="preserve">Nom, prénom et qualité du signataire :</w:t>
            </w:r>
          </w:p>
          <w:p>
            <w:pPr>
              <w:spacing w:after="0" w:line="252"/>
            </w:pPr>
            <w:r>
              <w:rPr>
                <w:rFonts w:ascii="Calibri" w:cs="Calibri" w:eastAsia="Calibri" w:hAnsi="Calibri"/>
                <w:b w:val="false"/>
                <w:bCs w:val="false"/>
                <w:sz w:val="20"/>
                <w:szCs w:val="20"/>
              </w:rPr>
              <w:t xml:space="preserve">……………………………………………………</w:t>
            </w:r>
          </w:p>
          <w:p>
            <w:pPr>
              <w:spacing w:after="0" w:line="252"/>
            </w:pPr>
            <w:r>
              <w:rPr>
                <w:rFonts w:ascii="Calibri" w:cs="Calibri" w:eastAsia="Calibri" w:hAnsi="Calibri"/>
                <w:b w:val="false"/>
                <w:bCs w:val="false"/>
                <w:sz w:val="20"/>
                <w:szCs w:val="20"/>
              </w:rPr>
              <w:t xml:space="preserve"/>
            </w:r>
          </w:p>
          <w:p>
            <w:pPr>
              <w:spacing w:after="0" w:line="252"/>
            </w:pPr>
            <w:r>
              <w:rPr>
                <w:rFonts w:ascii="Calibri" w:cs="Calibri" w:eastAsia="Calibri" w:hAnsi="Calibri"/>
                <w:b w:val="false"/>
                <w:bCs w:val="false"/>
                <w:sz w:val="20"/>
                <w:szCs w:val="20"/>
              </w:rPr>
              <w:t xml:space="preserve"/>
            </w:r>
          </w:p>
          <w:p>
            <w:pPr>
              <w:spacing w:after="0" w:line="252"/>
            </w:pPr>
            <w:r>
              <w:rPr>
                <w:rFonts w:ascii="Calibri" w:cs="Calibri" w:eastAsia="Calibri" w:hAnsi="Calibri"/>
                <w:b w:val="false"/>
                <w:bCs w:val="false"/>
                <w:sz w:val="20"/>
                <w:szCs w:val="20"/>
              </w:rPr>
              <w:t xml:space="preserve">Signature et cachet humide</w:t>
            </w:r>
          </w:p>
        </w:tc>
        <w:tc>
          <w:tcPr>
            <w:tcW w:type="dxa" w:w="44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p>
            <w:pPr>
              <w:spacing w:after="0" w:line="252"/>
            </w:pPr>
            <w:r>
              <w:rPr>
                <w:rFonts w:ascii="Calibri" w:cs="Calibri" w:eastAsia="Calibri" w:hAnsi="Calibri"/>
                <w:b w:val="false"/>
                <w:bCs w:val="false"/>
                <w:sz w:val="20"/>
                <w:szCs w:val="20"/>
              </w:rPr>
              <w:t xml:space="preserve"/>
            </w:r>
          </w:p>
          <w:p>
            <w:pPr>
              <w:spacing w:after="0" w:line="252"/>
            </w:pPr>
            <w:r>
              <w:rPr>
                <w:rFonts w:ascii="Calibri" w:cs="Calibri" w:eastAsia="Calibri" w:hAnsi="Calibri"/>
                <w:b w:val="false"/>
                <w:bCs w:val="false"/>
                <w:sz w:val="20"/>
                <w:szCs w:val="20"/>
              </w:rPr>
              <w:t xml:space="preserve">Fait à ……………………, le ……………………</w:t>
            </w:r>
          </w:p>
          <w:p>
            <w:pPr>
              <w:spacing w:after="0" w:line="252"/>
            </w:pPr>
            <w:r>
              <w:rPr>
                <w:rFonts w:ascii="Calibri" w:cs="Calibri" w:eastAsia="Calibri" w:hAnsi="Calibri"/>
                <w:b w:val="false"/>
                <w:bCs w:val="false"/>
                <w:sz w:val="20"/>
                <w:szCs w:val="20"/>
              </w:rPr>
              <w:t xml:space="preserve"/>
            </w:r>
          </w:p>
          <w:p>
            <w:pPr>
              <w:spacing w:after="0" w:line="252"/>
            </w:pPr>
            <w:r>
              <w:rPr>
                <w:rFonts w:ascii="Calibri" w:cs="Calibri" w:eastAsia="Calibri" w:hAnsi="Calibri"/>
                <w:b w:val="false"/>
                <w:bCs w:val="false"/>
                <w:sz w:val="20"/>
                <w:szCs w:val="20"/>
              </w:rPr>
              <w:t xml:space="preserve">Nom, prénom et qualité du signataire :</w:t>
            </w:r>
          </w:p>
          <w:p>
            <w:pPr>
              <w:spacing w:after="0" w:line="252"/>
            </w:pPr>
            <w:r>
              <w:rPr>
                <w:rFonts w:ascii="Calibri" w:cs="Calibri" w:eastAsia="Calibri" w:hAnsi="Calibri"/>
                <w:b w:val="false"/>
                <w:bCs w:val="false"/>
                <w:sz w:val="20"/>
                <w:szCs w:val="20"/>
              </w:rPr>
              <w:t xml:space="preserve">……………………………………………………</w:t>
            </w:r>
          </w:p>
          <w:p>
            <w:pPr>
              <w:spacing w:after="0" w:line="252"/>
            </w:pPr>
            <w:r>
              <w:rPr>
                <w:rFonts w:ascii="Calibri" w:cs="Calibri" w:eastAsia="Calibri" w:hAnsi="Calibri"/>
                <w:b w:val="false"/>
                <w:bCs w:val="false"/>
                <w:sz w:val="20"/>
                <w:szCs w:val="20"/>
              </w:rPr>
              <w:t xml:space="preserve"/>
            </w:r>
          </w:p>
          <w:p>
            <w:pPr>
              <w:spacing w:after="0" w:line="252"/>
            </w:pPr>
            <w:r>
              <w:rPr>
                <w:rFonts w:ascii="Calibri" w:cs="Calibri" w:eastAsia="Calibri" w:hAnsi="Calibri"/>
                <w:b w:val="false"/>
                <w:bCs w:val="false"/>
                <w:sz w:val="20"/>
                <w:szCs w:val="20"/>
              </w:rPr>
              <w:t xml:space="preserve"/>
            </w:r>
          </w:p>
          <w:p>
            <w:pPr>
              <w:spacing w:after="0" w:line="252"/>
            </w:pPr>
            <w:r>
              <w:rPr>
                <w:rFonts w:ascii="Calibri" w:cs="Calibri" w:eastAsia="Calibri" w:hAnsi="Calibri"/>
                <w:b w:val="false"/>
                <w:bCs w:val="false"/>
                <w:sz w:val="20"/>
                <w:szCs w:val="20"/>
              </w:rPr>
              <w:t xml:space="preserve">Signature et cachet humide</w:t>
            </w:r>
          </w:p>
        </w:tc>
      </w:tr>
    </w:tbl>
    <w:sectPr>
      <w:headerReference w:type="default" r:id="rId7"/>
      <w:footerReference w:type="default" r:id="rId8"/>
      <w:pgSz w:w="11906" w:h="16838" w:orient="portrait"/>
      <w:pgMar w:top="1224"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888888"/>
        <w:sz w:val="16"/>
        <w:szCs w:val="16"/>
      </w:rPr>
      <w:t xml:space="preserve">Indice A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spacing w:after="60"/>
      <w:jc w:val="right"/>
    </w:pPr>
    <w:r>
      <w:rPr>
        <w:rFonts w:ascii="Calibri" w:cs="Calibri" w:eastAsia="Calibri" w:hAnsi="Calibri"/>
        <w:b/>
        <w:bCs/>
        <w:color w:val="1F3864"/>
        <w:sz w:val="17"/>
        <w:szCs w:val="17"/>
      </w:rPr>
      <w:t xml:space="preserve">HIKVIEW ENGINEERING</w:t>
    </w:r>
    <w:r>
      <w:rPr>
        <w:rFonts w:ascii="Calibri" w:cs="Calibri" w:eastAsia="Calibri" w:hAnsi="Calibri"/>
        <w:color w:val="777777"/>
        <w:sz w:val="17"/>
        <w:szCs w:val="17"/>
      </w:rPr>
      <w:t xml:space="preserve">   |   Plan de recollement avec repérage — Consultation N° INF01/2026 — CHU La Rabta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835" w:hanging="259"/>
      </w:pPr>
    </w:lvl>
    <w:lvl w:ilvl="2" w15:tentative="1">
      <w:start w:val="1"/>
      <w:numFmt w:val="bullet"/>
      <w:lvlText w:val="·"/>
      <w:lvlJc w:val="left"/>
      <w:pPr>
        <w:ind w:left="1267"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recollement avec repérage — CHU La Rabta</dc:title>
  <dc:creator>HIKVIEW ENGINEERING</dc:creator>
  <cp:lastModifiedBy>Un-named</cp:lastModifiedBy>
  <cp:revision>1</cp:revision>
  <dcterms:created xsi:type="dcterms:W3CDTF">2026-08-29T09:07:20.140Z</dcterms:created>
  <dcterms:modified xsi:type="dcterms:W3CDTF">2026-08-29T09:07:20.157Z</dcterms:modified>
</cp:coreProperties>
</file>

<file path=docProps/custom.xml><?xml version="1.0" encoding="utf-8"?>
<Properties xmlns="http://schemas.openxmlformats.org/officeDocument/2006/custom-properties" xmlns:vt="http://schemas.openxmlformats.org/officeDocument/2006/docPropsVTypes"/>
</file>