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 Distribution of genetic paternity in primate groups</w:t>
      </w:r>
    </w:p>
    <w:p>
      <w:pPr>
        <w:pStyle w:val="Author"/>
      </w:pPr>
      <w:r>
        <w:t xml:space="preserve">Stacy Rosenbaum, Nicholas Grebe, and Joan B. Silk</w:t>
      </w:r>
    </w:p>
    <w:bookmarkStart w:id="37" w:name="bayesian-model-diagnostics"/>
    <w:p>
      <w:pPr>
        <w:pStyle w:val="Heading1"/>
      </w:pPr>
      <w:r>
        <w:t xml:space="preserve">1. Bayesian model diagnostics</w:t>
      </w:r>
    </w:p>
    <w:p>
      <w:pPr>
        <w:pStyle w:val="FirstParagraph"/>
      </w:pPr>
      <w:r>
        <w:t xml:space="preserve">Table S1 summarizes convergence diagnostics for the Bayesian models reported in the main text. Q1 refers to the models used to answer Question 1 in the results in the main text; Q2/A1 and Q2/A2 refer to Question 2, Analysis 1 and 2 respectively, and Q3 refers to Question 3. Figures S1–S5 show the posterior predictive checks for each of these models. In each plot, the dark blue line represents the observed data distribution, and the lighter blue lines represent distributions simulated from the fitted model’s posterior. Significant overlap between the observed and simulated distributions indicates that the model captured the important features of the data.</w:t>
      </w:r>
    </w:p>
    <w:bookmarkStart w:id="20" w:name="ouhtangjri"/>
    <w:p>
      <w:pPr>
        <w:pStyle w:val="BodyText"/>
      </w:pPr>
      <w:r>
        <w:t xml:space="preserve">Table S1. Bayesian model convergence diagnostics</w:t>
      </w:r>
    </w:p>
    <w:p>
      <w:pPr>
        <w:pStyle w:val="BodyText"/>
      </w:pPr>
      <w:r>
        <w:t xml:space="preserve">Model</w:t>
      </w:r>
    </w:p>
    <w:p>
      <w:pPr>
        <w:pStyle w:val="BodyText"/>
      </w:pPr>
      <w:r>
        <w:t xml:space="preserve">Max</w:t>
      </w:r>
      <w:r>
        <w:t xml:space="preserve">Rhat</w:t>
      </w:r>
    </w:p>
    <w:p>
      <w:pPr>
        <w:pStyle w:val="BodyText"/>
      </w:pPr>
      <w:r>
        <w:t xml:space="preserve">Min</w:t>
      </w:r>
      <w:r>
        <w:t xml:space="preserve">Bulk ESS</w:t>
      </w:r>
    </w:p>
    <w:p>
      <w:pPr>
        <w:pStyle w:val="BodyText"/>
      </w:pPr>
      <w:r>
        <w:t xml:space="preserve">Min</w:t>
      </w:r>
      <w:r>
        <w:t xml:space="preserve">Tail ESS</w:t>
      </w:r>
    </w:p>
    <w:p>
      <w:pPr>
        <w:pStyle w:val="BodyText"/>
      </w:pPr>
      <w:r>
        <w:t xml:space="preserve">Divergent</w:t>
      </w:r>
      <w:r>
        <w:t xml:space="preserve">transitions</w:t>
      </w:r>
    </w:p>
    <w:p>
      <w:pPr>
        <w:pStyle w:val="BodyText"/>
      </w:pPr>
      <w:r>
        <w:t xml:space="preserve">Q1: Phylogeny (Intercept-only, max)</w:t>
      </w:r>
    </w:p>
    <w:p>
      <w:pPr>
        <w:pStyle w:val="BodyText"/>
      </w:pPr>
      <w:r>
        <w:t xml:space="preserve">1.0011</w:t>
      </w:r>
    </w:p>
    <w:p>
      <w:pPr>
        <w:pStyle w:val="BodyText"/>
      </w:pPr>
      <w:r>
        <w:t xml:space="preserve">3414</w:t>
      </w:r>
    </w:p>
    <w:p>
      <w:pPr>
        <w:pStyle w:val="BodyText"/>
      </w:pPr>
      <w:r>
        <w:t xml:space="preserve">5076</w:t>
      </w:r>
    </w:p>
    <w:p>
      <w:pPr>
        <w:pStyle w:val="BodyText"/>
      </w:pPr>
      <w:r>
        <w:t xml:space="preserve">0</w:t>
      </w:r>
    </w:p>
    <w:p>
      <w:pPr>
        <w:pStyle w:val="BodyText"/>
      </w:pPr>
      <w:r>
        <w:t xml:space="preserve">Q1: Phylogeny (Intercept-only, min)</w:t>
      </w:r>
    </w:p>
    <w:p>
      <w:pPr>
        <w:pStyle w:val="BodyText"/>
      </w:pPr>
      <w:r>
        <w:t xml:space="preserve">1.0029</w:t>
      </w:r>
    </w:p>
    <w:p>
      <w:pPr>
        <w:pStyle w:val="BodyText"/>
      </w:pPr>
      <w:r>
        <w:t xml:space="preserve">2341</w:t>
      </w:r>
    </w:p>
    <w:p>
      <w:pPr>
        <w:pStyle w:val="BodyText"/>
      </w:pPr>
      <w:r>
        <w:t xml:space="preserve">3157</w:t>
      </w:r>
    </w:p>
    <w:p>
      <w:pPr>
        <w:pStyle w:val="BodyText"/>
      </w:pPr>
      <w:r>
        <w:t xml:space="preserve">0</w:t>
      </w:r>
    </w:p>
    <w:p>
      <w:pPr>
        <w:pStyle w:val="BodyText"/>
      </w:pPr>
      <w:r>
        <w:t xml:space="preserve">Q2/A1: Group composition</w:t>
      </w:r>
    </w:p>
    <w:p>
      <w:pPr>
        <w:pStyle w:val="BodyText"/>
      </w:pPr>
      <w:r>
        <w:t xml:space="preserve">1.0003</w:t>
      </w:r>
    </w:p>
    <w:p>
      <w:pPr>
        <w:pStyle w:val="BodyText"/>
      </w:pPr>
      <w:r>
        <w:t xml:space="preserve">3915</w:t>
      </w:r>
    </w:p>
    <w:p>
      <w:pPr>
        <w:pStyle w:val="BodyText"/>
      </w:pPr>
      <w:r>
        <w:t xml:space="preserve">4164</w:t>
      </w:r>
    </w:p>
    <w:p>
      <w:pPr>
        <w:pStyle w:val="BodyText"/>
      </w:pPr>
      <w:r>
        <w:t xml:space="preserve">0</w:t>
      </w:r>
    </w:p>
    <w:p>
      <w:pPr>
        <w:pStyle w:val="BodyText"/>
      </w:pPr>
      <w:r>
        <w:t xml:space="preserve">Q2/A2: Competition/seasonality</w:t>
      </w:r>
    </w:p>
    <w:p>
      <w:pPr>
        <w:pStyle w:val="BodyText"/>
      </w:pPr>
      <w:r>
        <w:t xml:space="preserve">1.0004</w:t>
      </w:r>
    </w:p>
    <w:p>
      <w:pPr>
        <w:pStyle w:val="BodyText"/>
      </w:pPr>
      <w:r>
        <w:t xml:space="preserve">4176</w:t>
      </w:r>
    </w:p>
    <w:p>
      <w:pPr>
        <w:pStyle w:val="BodyText"/>
      </w:pPr>
      <w:r>
        <w:t xml:space="preserve">4588</w:t>
      </w:r>
    </w:p>
    <w:p>
      <w:pPr>
        <w:pStyle w:val="BodyText"/>
      </w:pPr>
      <w:r>
        <w:t xml:space="preserve">0</w:t>
      </w:r>
    </w:p>
    <w:p>
      <w:pPr>
        <w:pStyle w:val="BodyText"/>
      </w:pPr>
      <w:r>
        <w:t xml:space="preserve">Q3: Paternity loss source</w:t>
      </w:r>
    </w:p>
    <w:p>
      <w:pPr>
        <w:pStyle w:val="BodyText"/>
      </w:pPr>
      <w:r>
        <w:t xml:space="preserve">1.0002</w:t>
      </w:r>
    </w:p>
    <w:p>
      <w:pPr>
        <w:pStyle w:val="BodyText"/>
      </w:pPr>
      <w:r>
        <w:t xml:space="preserve">4187</w:t>
      </w:r>
    </w:p>
    <w:p>
      <w:pPr>
        <w:pStyle w:val="BodyText"/>
      </w:pPr>
      <w:r>
        <w:t xml:space="preserve">4666</w:t>
      </w:r>
    </w:p>
    <w:p>
      <w:pPr>
        <w:pStyle w:val="BodyText"/>
      </w:pPr>
      <w:r>
        <w:t xml:space="preserve">0</w:t>
      </w:r>
    </w:p>
    <w:bookmarkEnd w:id="20"/>
    <w:bookmarkStart w:id="36" w:name="posterior-predictive-checks"/>
    <w:p>
      <w:pPr>
        <w:pStyle w:val="Heading2"/>
      </w:pPr>
      <w:r>
        <w:t xml:space="preserve">Posterior Predictive Checks</w:t>
      </w:r>
    </w:p>
    <w:p>
      <w:pPr>
        <w:pStyle w:val="FirstParagraph"/>
      </w:pPr>
      <w:r>
        <w:drawing>
          <wp:inline>
            <wp:extent cx="5334000" cy="3048000"/>
            <wp:effectExtent b="0" l="0" r="0" t="0"/>
            <wp:docPr descr="" title="" id="22" name="Picture"/>
            <a:graphic>
              <a:graphicData uri="http://schemas.openxmlformats.org/drawingml/2006/picture">
                <pic:pic>
                  <pic:nvPicPr>
                    <pic:cNvPr descr="/Users/rosenbas/Documents/GitHub/primate-paternity-metanalysis/output/supplementary_materials_files/figure-docx/pp-check-s1-1.png" id="23" name="Picture"/>
                    <pic:cNvPicPr>
                      <a:picLocks noChangeArrowheads="1" noChangeAspect="1"/>
                    </pic:cNvPicPr>
                  </pic:nvPicPr>
                  <pic:blipFill>
                    <a:blip r:embed="rId21"/>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drawing>
          <wp:inline>
            <wp:extent cx="5334000" cy="3048000"/>
            <wp:effectExtent b="0" l="0" r="0" t="0"/>
            <wp:docPr descr="" title="" id="25" name="Picture"/>
            <a:graphic>
              <a:graphicData uri="http://schemas.openxmlformats.org/drawingml/2006/picture">
                <pic:pic>
                  <pic:nvPicPr>
                    <pic:cNvPr descr="/Users/rosenbas/Documents/GitHub/primate-paternity-metanalysis/output/supplementary_materials_files/figure-docx/pp-check-s2-1.png" id="26" name="Picture"/>
                    <pic:cNvPicPr>
                      <a:picLocks noChangeArrowheads="1" noChangeAspect="1"/>
                    </pic:cNvPicPr>
                  </pic:nvPicPr>
                  <pic:blipFill>
                    <a:blip r:embed="rId2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drawing>
          <wp:inline>
            <wp:extent cx="5334000" cy="3048000"/>
            <wp:effectExtent b="0" l="0" r="0" t="0"/>
            <wp:docPr descr="" title="" id="28" name="Picture"/>
            <a:graphic>
              <a:graphicData uri="http://schemas.openxmlformats.org/drawingml/2006/picture">
                <pic:pic>
                  <pic:nvPicPr>
                    <pic:cNvPr descr="/Users/rosenbas/Documents/GitHub/primate-paternity-metanalysis/output/supplementary_materials_files/figure-docx/pp-check-s3-1.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drawing>
          <wp:inline>
            <wp:extent cx="5334000" cy="3048000"/>
            <wp:effectExtent b="0" l="0" r="0" t="0"/>
            <wp:docPr descr="" title="" id="31" name="Picture"/>
            <a:graphic>
              <a:graphicData uri="http://schemas.openxmlformats.org/drawingml/2006/picture">
                <pic:pic>
                  <pic:nvPicPr>
                    <pic:cNvPr descr="/Users/rosenbas/Documents/GitHub/primate-paternity-metanalysis/output/supplementary_materials_files/figure-docx/pp-check-s4-1.png" id="32" name="Picture"/>
                    <pic:cNvPicPr>
                      <a:picLocks noChangeArrowheads="1" noChangeAspect="1"/>
                    </pic:cNvPicPr>
                  </pic:nvPicPr>
                  <pic:blipFill>
                    <a:blip r:embed="rId30"/>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drawing>
          <wp:inline>
            <wp:extent cx="5334000" cy="3048000"/>
            <wp:effectExtent b="0" l="0" r="0" t="0"/>
            <wp:docPr descr="" title="" id="34" name="Picture"/>
            <a:graphic>
              <a:graphicData uri="http://schemas.openxmlformats.org/drawingml/2006/picture">
                <pic:pic>
                  <pic:nvPicPr>
                    <pic:cNvPr descr="/Users/rosenbas/Documents/GitHub/primate-paternity-metanalysis/output/supplementary_materials_files/figure-docx/pp-check-s5-1.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p>
    <w:p>
      <w:r>
        <w:br w:type="page"/>
      </w:r>
    </w:p>
    <w:bookmarkEnd w:id="36"/>
    <w:bookmarkEnd w:id="37"/>
    <w:bookmarkStart w:id="53" w:name="Xa8e84033a155588dc24bdc34a0e2c05ae0e005b"/>
    <w:p>
      <w:pPr>
        <w:pStyle w:val="Heading1"/>
      </w:pPr>
      <w:r>
        <w:t xml:space="preserve">2. Sensitivity analysis: assignment of uncertain paternities</w:t>
      </w:r>
    </w:p>
    <w:bookmarkStart w:id="42" w:name="X792862b4a3e19eaf6c1daa6236143d064864919"/>
    <w:p>
      <w:pPr>
        <w:pStyle w:val="Heading3"/>
      </w:pPr>
      <w:r>
        <w:t xml:space="preserve">A. The effects of group composition (Question 2, Analysis 1 in main text)</w:t>
      </w:r>
    </w:p>
    <w:p>
      <w:pPr>
        <w:pStyle w:val="FirstParagraph"/>
      </w:pPr>
      <w:r>
        <w:t xml:space="preserve">In the main text the models for Question 2 use the maximum possible estimate of primary male paternity share. I.e., all uncertain paternities are assigned to primary males. For comparison purposes, here we present results from those models alongside results from models using minimum estimates, in which none of the uncertain paternities are assigned to primary males.</w:t>
      </w:r>
    </w:p>
    <w:bookmarkStart w:id="38" w:name="lkeshocxts"/>
    <w:p>
      <w:pPr>
        <w:pStyle w:val="BodyText"/>
      </w:pPr>
      <w:r>
        <w:t xml:space="preserve">Table S2. Model results: Maximum primary male paternity share (in main text)</w:t>
      </w:r>
    </w:p>
    <w:p>
      <w:pPr>
        <w:pStyle w:val="BodyText"/>
      </w:pPr>
      <w:r>
        <w:t xml:space="preserve">Parameter</w:t>
      </w:r>
    </w:p>
    <w:p>
      <w:pPr>
        <w:pStyle w:val="BodyText"/>
      </w:pPr>
      <w:r>
        <w:t xml:space="preserve">Estimate</w:t>
      </w:r>
    </w:p>
    <w:p>
      <w:pPr>
        <w:pStyle w:val="BodyText"/>
      </w:pPr>
      <w:r>
        <w:t xml:space="preserve">Est.Error</w:t>
      </w:r>
    </w:p>
    <w:p>
      <w:pPr>
        <w:pStyle w:val="BodyText"/>
      </w:pPr>
      <w:r>
        <w:t xml:space="preserve">l-95% CI</w:t>
      </w:r>
    </w:p>
    <w:p>
      <w:pPr>
        <w:pStyle w:val="BodyText"/>
      </w:pPr>
      <w:r>
        <w:t xml:space="preserve">u-95% CI</w:t>
      </w:r>
    </w:p>
    <w:p>
      <w:pPr>
        <w:pStyle w:val="BodyText"/>
      </w:pPr>
      <w:r>
        <w:t xml:space="preserve">Rhat</w:t>
      </w:r>
    </w:p>
    <w:p>
      <w:pPr>
        <w:pStyle w:val="BodyText"/>
      </w:pPr>
      <w:r>
        <w:t xml:space="preserve">Bulk_ESS</w:t>
      </w:r>
    </w:p>
    <w:p>
      <w:pPr>
        <w:pStyle w:val="BodyText"/>
      </w:pPr>
      <w:r>
        <w:t xml:space="preserve">Tail_ESS</w:t>
      </w:r>
    </w:p>
    <w:p>
      <w:pPr>
        <w:pStyle w:val="BodyText"/>
      </w:pPr>
      <w:r>
        <w:t xml:space="preserve">Intercept (Multi-male)</w:t>
      </w:r>
    </w:p>
    <w:p>
      <w:pPr>
        <w:pStyle w:val="BodyText"/>
      </w:pPr>
      <w:r>
        <w:t xml:space="preserve">0.405</w:t>
      </w:r>
    </w:p>
    <w:p>
      <w:pPr>
        <w:pStyle w:val="BodyText"/>
      </w:pPr>
      <w:r>
        <w:t xml:space="preserve">0.476</w:t>
      </w:r>
    </w:p>
    <w:p>
      <w:pPr>
        <w:pStyle w:val="BodyText"/>
      </w:pPr>
      <w:r>
        <w:t xml:space="preserve">−0.622</w:t>
      </w:r>
    </w:p>
    <w:p>
      <w:pPr>
        <w:pStyle w:val="BodyText"/>
      </w:pPr>
      <w:r>
        <w:t xml:space="preserve">1.286</w:t>
      </w:r>
    </w:p>
    <w:p>
      <w:pPr>
        <w:pStyle w:val="BodyText"/>
      </w:pPr>
      <w:r>
        <w:t xml:space="preserve">1.000</w:t>
      </w:r>
    </w:p>
    <w:p>
      <w:pPr>
        <w:pStyle w:val="BodyText"/>
      </w:pPr>
      <w:r>
        <w:t xml:space="preserve">17,269</w:t>
      </w:r>
    </w:p>
    <w:p>
      <w:pPr>
        <w:pStyle w:val="BodyText"/>
      </w:pPr>
      <w:r>
        <w:t xml:space="preserve">13,670</w:t>
      </w:r>
    </w:p>
    <w:p>
      <w:pPr>
        <w:pStyle w:val="BodyText"/>
      </w:pPr>
      <w:r>
        <w:t xml:space="preserve">Pair-living</w:t>
      </w:r>
    </w:p>
    <w:p>
      <w:pPr>
        <w:pStyle w:val="BodyText"/>
      </w:pPr>
      <w:r>
        <w:t xml:space="preserve">0.482</w:t>
      </w:r>
    </w:p>
    <w:p>
      <w:pPr>
        <w:pStyle w:val="BodyText"/>
      </w:pPr>
      <w:r>
        <w:t xml:space="preserve">0.300</w:t>
      </w:r>
    </w:p>
    <w:p>
      <w:pPr>
        <w:pStyle w:val="BodyText"/>
      </w:pPr>
      <w:r>
        <w:t xml:space="preserve">−0.096</w:t>
      </w:r>
    </w:p>
    <w:p>
      <w:pPr>
        <w:pStyle w:val="BodyText"/>
      </w:pPr>
      <w:r>
        <w:t xml:space="preserve">1.074</w:t>
      </w:r>
    </w:p>
    <w:p>
      <w:pPr>
        <w:pStyle w:val="BodyText"/>
      </w:pPr>
      <w:r>
        <w:t xml:space="preserve">1.000</w:t>
      </w:r>
    </w:p>
    <w:p>
      <w:pPr>
        <w:pStyle w:val="BodyText"/>
      </w:pPr>
      <w:r>
        <w:t xml:space="preserve">26,371</w:t>
      </w:r>
    </w:p>
    <w:p>
      <w:pPr>
        <w:pStyle w:val="BodyText"/>
      </w:pPr>
      <w:r>
        <w:t xml:space="preserve">15,790</w:t>
      </w:r>
    </w:p>
    <w:p>
      <w:pPr>
        <w:pStyle w:val="BodyText"/>
      </w:pPr>
      <w:r>
        <w:t xml:space="preserve">Single-male/multi-female</w:t>
      </w:r>
    </w:p>
    <w:p>
      <w:pPr>
        <w:pStyle w:val="BodyText"/>
      </w:pPr>
      <w:r>
        <w:t xml:space="preserve">0.964</w:t>
      </w:r>
    </w:p>
    <w:p>
      <w:pPr>
        <w:pStyle w:val="BodyText"/>
      </w:pPr>
      <w:r>
        <w:t xml:space="preserve">0.172</w:t>
      </w:r>
    </w:p>
    <w:p>
      <w:pPr>
        <w:pStyle w:val="BodyText"/>
      </w:pPr>
      <w:r>
        <w:t xml:space="preserve">0.628</w:t>
      </w:r>
    </w:p>
    <w:p>
      <w:pPr>
        <w:pStyle w:val="BodyText"/>
      </w:pPr>
      <w:r>
        <w:t xml:space="preserve">1.307</w:t>
      </w:r>
    </w:p>
    <w:p>
      <w:pPr>
        <w:pStyle w:val="BodyText"/>
      </w:pPr>
      <w:r>
        <w:t xml:space="preserve">1.000</w:t>
      </w:r>
    </w:p>
    <w:p>
      <w:pPr>
        <w:pStyle w:val="BodyText"/>
      </w:pPr>
      <w:r>
        <w:t xml:space="preserve">29,322</w:t>
      </w:r>
    </w:p>
    <w:p>
      <w:pPr>
        <w:pStyle w:val="BodyText"/>
      </w:pPr>
      <w:r>
        <w:t xml:space="preserve">14,819</w:t>
      </w:r>
    </w:p>
    <w:bookmarkEnd w:id="38"/>
    <w:bookmarkStart w:id="39" w:name="ofpxvaodbh"/>
    <w:p>
      <w:pPr>
        <w:pStyle w:val="BodyText"/>
      </w:pPr>
      <w:r>
        <w:t xml:space="preserve">Table S3. Model results: Minimum primary male paternity share</w:t>
      </w:r>
    </w:p>
    <w:p>
      <w:pPr>
        <w:pStyle w:val="BodyText"/>
      </w:pPr>
      <w:r>
        <w:t xml:space="preserve">Parameter</w:t>
      </w:r>
    </w:p>
    <w:p>
      <w:pPr>
        <w:pStyle w:val="BodyText"/>
      </w:pPr>
      <w:r>
        <w:t xml:space="preserve">Estimate</w:t>
      </w:r>
    </w:p>
    <w:p>
      <w:pPr>
        <w:pStyle w:val="BodyText"/>
      </w:pPr>
      <w:r>
        <w:t xml:space="preserve">Est.Error</w:t>
      </w:r>
    </w:p>
    <w:p>
      <w:pPr>
        <w:pStyle w:val="BodyText"/>
      </w:pPr>
      <w:r>
        <w:t xml:space="preserve">l-95% CI</w:t>
      </w:r>
    </w:p>
    <w:p>
      <w:pPr>
        <w:pStyle w:val="BodyText"/>
      </w:pPr>
      <w:r>
        <w:t xml:space="preserve">u-95% CI</w:t>
      </w:r>
    </w:p>
    <w:p>
      <w:pPr>
        <w:pStyle w:val="BodyText"/>
      </w:pPr>
      <w:r>
        <w:t xml:space="preserve">Rhat</w:t>
      </w:r>
    </w:p>
    <w:p>
      <w:pPr>
        <w:pStyle w:val="BodyText"/>
      </w:pPr>
      <w:r>
        <w:t xml:space="preserve">Bulk_ESS</w:t>
      </w:r>
    </w:p>
    <w:p>
      <w:pPr>
        <w:pStyle w:val="BodyText"/>
      </w:pPr>
      <w:r>
        <w:t xml:space="preserve">Tail_ESS</w:t>
      </w:r>
    </w:p>
    <w:p>
      <w:pPr>
        <w:pStyle w:val="BodyText"/>
      </w:pPr>
      <w:r>
        <w:t xml:space="preserve">Intercept (Multi-male)</w:t>
      </w:r>
    </w:p>
    <w:p>
      <w:pPr>
        <w:pStyle w:val="BodyText"/>
      </w:pPr>
      <w:r>
        <w:t xml:space="preserve">0.244</w:t>
      </w:r>
    </w:p>
    <w:p>
      <w:pPr>
        <w:pStyle w:val="BodyText"/>
      </w:pPr>
      <w:r>
        <w:t xml:space="preserve">0.434</w:t>
      </w:r>
    </w:p>
    <w:p>
      <w:pPr>
        <w:pStyle w:val="BodyText"/>
      </w:pPr>
      <w:r>
        <w:t xml:space="preserve">−0.723</w:t>
      </w:r>
    </w:p>
    <w:p>
      <w:pPr>
        <w:pStyle w:val="BodyText"/>
      </w:pPr>
      <w:r>
        <w:t xml:space="preserve">1.032</w:t>
      </w:r>
    </w:p>
    <w:p>
      <w:pPr>
        <w:pStyle w:val="BodyText"/>
      </w:pPr>
      <w:r>
        <w:t xml:space="preserve">1.001</w:t>
      </w:r>
    </w:p>
    <w:p>
      <w:pPr>
        <w:pStyle w:val="BodyText"/>
      </w:pPr>
      <w:r>
        <w:t xml:space="preserve">12,258</w:t>
      </w:r>
    </w:p>
    <w:p>
      <w:pPr>
        <w:pStyle w:val="BodyText"/>
      </w:pPr>
      <w:r>
        <w:t xml:space="preserve">10,985</w:t>
      </w:r>
    </w:p>
    <w:p>
      <w:pPr>
        <w:pStyle w:val="BodyText"/>
      </w:pPr>
      <w:r>
        <w:t xml:space="preserve">Pair-living</w:t>
      </w:r>
    </w:p>
    <w:p>
      <w:pPr>
        <w:pStyle w:val="BodyText"/>
      </w:pPr>
      <w:r>
        <w:t xml:space="preserve">0.705</w:t>
      </w:r>
    </w:p>
    <w:p>
      <w:pPr>
        <w:pStyle w:val="BodyText"/>
      </w:pPr>
      <w:r>
        <w:t xml:space="preserve">0.291</w:t>
      </w:r>
    </w:p>
    <w:p>
      <w:pPr>
        <w:pStyle w:val="BodyText"/>
      </w:pPr>
      <w:r>
        <w:t xml:space="preserve">0.136</w:t>
      </w:r>
    </w:p>
    <w:p>
      <w:pPr>
        <w:pStyle w:val="BodyText"/>
      </w:pPr>
      <w:r>
        <w:t xml:space="preserve">1.277</w:t>
      </w:r>
    </w:p>
    <w:p>
      <w:pPr>
        <w:pStyle w:val="BodyText"/>
      </w:pPr>
      <w:r>
        <w:t xml:space="preserve">1.000</w:t>
      </w:r>
    </w:p>
    <w:p>
      <w:pPr>
        <w:pStyle w:val="BodyText"/>
      </w:pPr>
      <w:r>
        <w:t xml:space="preserve">19,555</w:t>
      </w:r>
    </w:p>
    <w:p>
      <w:pPr>
        <w:pStyle w:val="BodyText"/>
      </w:pPr>
      <w:r>
        <w:t xml:space="preserve">15,331</w:t>
      </w:r>
    </w:p>
    <w:p>
      <w:pPr>
        <w:pStyle w:val="BodyText"/>
      </w:pPr>
      <w:r>
        <w:t xml:space="preserve">Single-male/multi-female</w:t>
      </w:r>
    </w:p>
    <w:p>
      <w:pPr>
        <w:pStyle w:val="BodyText"/>
      </w:pPr>
      <w:r>
        <w:t xml:space="preserve">1.333</w:t>
      </w:r>
    </w:p>
    <w:p>
      <w:pPr>
        <w:pStyle w:val="BodyText"/>
      </w:pPr>
      <w:r>
        <w:t xml:space="preserve">0.165</w:t>
      </w:r>
    </w:p>
    <w:p>
      <w:pPr>
        <w:pStyle w:val="BodyText"/>
      </w:pPr>
      <w:r>
        <w:t xml:space="preserve">1.010</w:t>
      </w:r>
    </w:p>
    <w:p>
      <w:pPr>
        <w:pStyle w:val="BodyText"/>
      </w:pPr>
      <w:r>
        <w:t xml:space="preserve">1.660</w:t>
      </w:r>
    </w:p>
    <w:p>
      <w:pPr>
        <w:pStyle w:val="BodyText"/>
      </w:pPr>
      <w:r>
        <w:t xml:space="preserve">1.000</w:t>
      </w:r>
    </w:p>
    <w:p>
      <w:pPr>
        <w:pStyle w:val="BodyText"/>
      </w:pPr>
      <w:r>
        <w:t xml:space="preserve">23,841</w:t>
      </w:r>
    </w:p>
    <w:p>
      <w:pPr>
        <w:pStyle w:val="BodyText"/>
      </w:pPr>
      <w:r>
        <w:t xml:space="preserve">15,093</w:t>
      </w:r>
    </w:p>
    <w:bookmarkEnd w:id="39"/>
    <w:bookmarkStart w:id="40" w:name="gdrvmwfyrc"/>
    <w:p>
      <w:pPr>
        <w:pStyle w:val="BodyText"/>
      </w:pPr>
      <w:r>
        <w:t xml:space="preserve">Table S4. Predicted paternity share using maximum estimate (in main text)</w:t>
      </w:r>
    </w:p>
    <w:p>
      <w:pPr>
        <w:pStyle w:val="BodyText"/>
      </w:pPr>
      <w:r>
        <w:t xml:space="preserve">Group type</w:t>
      </w:r>
    </w:p>
    <w:p>
      <w:pPr>
        <w:pStyle w:val="BodyText"/>
      </w:pPr>
      <w:r>
        <w:t xml:space="preserve">Mean</w:t>
      </w:r>
    </w:p>
    <w:p>
      <w:pPr>
        <w:pStyle w:val="BodyText"/>
      </w:pPr>
      <w:r>
        <w:t xml:space="preserve">95% CI</w:t>
      </w:r>
    </w:p>
    <w:p>
      <w:pPr>
        <w:pStyle w:val="BodyText"/>
      </w:pPr>
      <w:r>
        <w:t xml:space="preserve">Multi-male</w:t>
      </w:r>
    </w:p>
    <w:p>
      <w:pPr>
        <w:pStyle w:val="BodyText"/>
      </w:pPr>
      <w:r>
        <w:t xml:space="preserve">59.6%</w:t>
      </w:r>
    </w:p>
    <w:p>
      <w:pPr>
        <w:pStyle w:val="BodyText"/>
      </w:pPr>
      <w:r>
        <w:t xml:space="preserve">34.9% - 78.3%</w:t>
      </w:r>
    </w:p>
    <w:p>
      <w:pPr>
        <w:pStyle w:val="BodyText"/>
      </w:pPr>
      <w:r>
        <w:t xml:space="preserve">Pair-living</w:t>
      </w:r>
    </w:p>
    <w:p>
      <w:pPr>
        <w:pStyle w:val="BodyText"/>
      </w:pPr>
      <w:r>
        <w:t xml:space="preserve">69.9%</w:t>
      </w:r>
    </w:p>
    <w:p>
      <w:pPr>
        <w:pStyle w:val="BodyText"/>
      </w:pPr>
      <w:r>
        <w:t xml:space="preserve">46.2% - 85.6%</w:t>
      </w:r>
    </w:p>
    <w:p>
      <w:pPr>
        <w:pStyle w:val="BodyText"/>
      </w:pPr>
      <w:r>
        <w:t xml:space="preserve">Single-male/multi-female</w:t>
      </w:r>
    </w:p>
    <w:p>
      <w:pPr>
        <w:pStyle w:val="BodyText"/>
      </w:pPr>
      <w:r>
        <w:t xml:space="preserve">78.6%</w:t>
      </w:r>
    </w:p>
    <w:p>
      <w:pPr>
        <w:pStyle w:val="BodyText"/>
      </w:pPr>
      <w:r>
        <w:t xml:space="preserve">57.9% - 90.8%</w:t>
      </w:r>
    </w:p>
    <w:bookmarkEnd w:id="40"/>
    <w:bookmarkStart w:id="41" w:name="qvvxvuzeul"/>
    <w:p>
      <w:pPr>
        <w:pStyle w:val="BodyText"/>
      </w:pPr>
      <w:r>
        <w:t xml:space="preserve">Table S5. Predicted paternity share using minimum estimate</w:t>
      </w:r>
    </w:p>
    <w:p>
      <w:pPr>
        <w:pStyle w:val="BodyText"/>
      </w:pPr>
      <w:r>
        <w:t xml:space="preserve">Group type</w:t>
      </w:r>
    </w:p>
    <w:p>
      <w:pPr>
        <w:pStyle w:val="BodyText"/>
      </w:pPr>
      <w:r>
        <w:t xml:space="preserve">Mean</w:t>
      </w:r>
    </w:p>
    <w:p>
      <w:pPr>
        <w:pStyle w:val="BodyText"/>
      </w:pPr>
      <w:r>
        <w:t xml:space="preserve">95% CI</w:t>
      </w:r>
    </w:p>
    <w:p>
      <w:pPr>
        <w:pStyle w:val="BodyText"/>
      </w:pPr>
      <w:r>
        <w:t xml:space="preserve">Multi-male</w:t>
      </w:r>
    </w:p>
    <w:p>
      <w:pPr>
        <w:pStyle w:val="BodyText"/>
      </w:pPr>
      <w:r>
        <w:t xml:space="preserve">55.9%</w:t>
      </w:r>
    </w:p>
    <w:p>
      <w:pPr>
        <w:pStyle w:val="BodyText"/>
      </w:pPr>
      <w:r>
        <w:t xml:space="preserve">32.7% - 73.7%</w:t>
      </w:r>
    </w:p>
    <w:p>
      <w:pPr>
        <w:pStyle w:val="BodyText"/>
      </w:pPr>
      <w:r>
        <w:t xml:space="preserve">Pair-living</w:t>
      </w:r>
    </w:p>
    <w:p>
      <w:pPr>
        <w:pStyle w:val="BodyText"/>
      </w:pPr>
      <w:r>
        <w:t xml:space="preserve">71.3%</w:t>
      </w:r>
    </w:p>
    <w:p>
      <w:pPr>
        <w:pStyle w:val="BodyText"/>
      </w:pPr>
      <w:r>
        <w:t xml:space="preserve">49.2% - 85.4%</w:t>
      </w:r>
    </w:p>
    <w:p>
      <w:pPr>
        <w:pStyle w:val="BodyText"/>
      </w:pPr>
      <w:r>
        <w:t xml:space="preserve">Single-male/multi-female</w:t>
      </w:r>
    </w:p>
    <w:p>
      <w:pPr>
        <w:pStyle w:val="BodyText"/>
      </w:pPr>
      <w:r>
        <w:t xml:space="preserve">82.0%</w:t>
      </w:r>
    </w:p>
    <w:p>
      <w:pPr>
        <w:pStyle w:val="BodyText"/>
      </w:pPr>
      <w:r>
        <w:t xml:space="preserve">63.9% - 91.6%</w:t>
      </w:r>
    </w:p>
    <w:bookmarkEnd w:id="41"/>
    <w:bookmarkEnd w:id="42"/>
    <w:bookmarkStart w:id="47" w:name="X461d9937007cdb509705157fac93a0537efca7b"/>
    <w:p>
      <w:pPr>
        <w:pStyle w:val="Heading3"/>
      </w:pPr>
      <w:r>
        <w:t xml:space="preserve">B. The effects of in-group competition and seasonality (Question 2, Analysis 2 in main text)</w:t>
      </w:r>
    </w:p>
    <w:bookmarkStart w:id="43" w:name="lidxudrwtx"/>
    <w:p>
      <w:pPr>
        <w:pStyle w:val="FirstParagraph"/>
      </w:pPr>
      <w:r>
        <w:t xml:space="preserve">Table S6. Model results: Maximum primary male paternity share (in main text)</w:t>
      </w:r>
    </w:p>
    <w:p>
      <w:pPr>
        <w:pStyle w:val="BodyText"/>
      </w:pPr>
      <w:r>
        <w:t xml:space="preserve">Parameter</w:t>
      </w:r>
    </w:p>
    <w:p>
      <w:pPr>
        <w:pStyle w:val="BodyText"/>
      </w:pPr>
      <w:r>
        <w:t xml:space="preserve">Estimate</w:t>
      </w:r>
    </w:p>
    <w:p>
      <w:pPr>
        <w:pStyle w:val="BodyText"/>
      </w:pPr>
      <w:r>
        <w:t xml:space="preserve">Est.Error</w:t>
      </w:r>
    </w:p>
    <w:p>
      <w:pPr>
        <w:pStyle w:val="BodyText"/>
      </w:pPr>
      <w:r>
        <w:t xml:space="preserve">l-95% CI</w:t>
      </w:r>
    </w:p>
    <w:p>
      <w:pPr>
        <w:pStyle w:val="BodyText"/>
      </w:pPr>
      <w:r>
        <w:t xml:space="preserve">u-95% CI</w:t>
      </w:r>
    </w:p>
    <w:p>
      <w:pPr>
        <w:pStyle w:val="BodyText"/>
      </w:pPr>
      <w:r>
        <w:t xml:space="preserve">Rhat</w:t>
      </w:r>
    </w:p>
    <w:p>
      <w:pPr>
        <w:pStyle w:val="BodyText"/>
      </w:pPr>
      <w:r>
        <w:t xml:space="preserve">Bulk_ESS</w:t>
      </w:r>
    </w:p>
    <w:p>
      <w:pPr>
        <w:pStyle w:val="BodyText"/>
      </w:pPr>
      <w:r>
        <w:t xml:space="preserve">Tail_ESS</w:t>
      </w:r>
    </w:p>
    <w:p>
      <w:pPr>
        <w:pStyle w:val="BodyText"/>
      </w:pPr>
      <w:r>
        <w:t xml:space="preserve">Intercept</w:t>
      </w:r>
    </w:p>
    <w:p>
      <w:pPr>
        <w:pStyle w:val="BodyText"/>
      </w:pPr>
      <w:r>
        <w:t xml:space="preserve">−0.332</w:t>
      </w:r>
    </w:p>
    <w:p>
      <w:pPr>
        <w:pStyle w:val="BodyText"/>
      </w:pPr>
      <w:r>
        <w:t xml:space="preserve">0.958</w:t>
      </w:r>
    </w:p>
    <w:p>
      <w:pPr>
        <w:pStyle w:val="BodyText"/>
      </w:pPr>
      <w:r>
        <w:t xml:space="preserve">−2.214</w:t>
      </w:r>
    </w:p>
    <w:p>
      <w:pPr>
        <w:pStyle w:val="BodyText"/>
      </w:pPr>
      <w:r>
        <w:t xml:space="preserve">1.542</w:t>
      </w:r>
    </w:p>
    <w:p>
      <w:pPr>
        <w:pStyle w:val="BodyText"/>
      </w:pPr>
      <w:r>
        <w:t xml:space="preserve">1.000</w:t>
      </w:r>
    </w:p>
    <w:p>
      <w:pPr>
        <w:pStyle w:val="BodyText"/>
      </w:pPr>
      <w:r>
        <w:t xml:space="preserve">23,627</w:t>
      </w:r>
    </w:p>
    <w:p>
      <w:pPr>
        <w:pStyle w:val="BodyText"/>
      </w:pPr>
      <w:r>
        <w:t xml:space="preserve">15,987</w:t>
      </w:r>
    </w:p>
    <w:p>
      <w:pPr>
        <w:pStyle w:val="BodyText"/>
      </w:pPr>
      <w:r>
        <w:t xml:space="preserve">Competition</w:t>
      </w:r>
      <w:r>
        <w:t xml:space="preserve">1</w:t>
      </w:r>
    </w:p>
    <w:p>
      <w:pPr>
        <w:pStyle w:val="BodyText"/>
      </w:pPr>
      <w:r>
        <w:t xml:space="preserve">0.780</w:t>
      </w:r>
    </w:p>
    <w:p>
      <w:pPr>
        <w:pStyle w:val="BodyText"/>
      </w:pPr>
      <w:r>
        <w:t xml:space="preserve">0.479</w:t>
      </w:r>
    </w:p>
    <w:p>
      <w:pPr>
        <w:pStyle w:val="BodyText"/>
      </w:pPr>
      <w:r>
        <w:t xml:space="preserve">−0.152</w:t>
      </w:r>
    </w:p>
    <w:p>
      <w:pPr>
        <w:pStyle w:val="BodyText"/>
      </w:pPr>
      <w:r>
        <w:t xml:space="preserve">1.702</w:t>
      </w:r>
    </w:p>
    <w:p>
      <w:pPr>
        <w:pStyle w:val="BodyText"/>
      </w:pPr>
      <w:r>
        <w:t xml:space="preserve">1.000</w:t>
      </w:r>
    </w:p>
    <w:p>
      <w:pPr>
        <w:pStyle w:val="BodyText"/>
      </w:pPr>
      <w:r>
        <w:t xml:space="preserve">21,751</w:t>
      </w:r>
    </w:p>
    <w:p>
      <w:pPr>
        <w:pStyle w:val="BodyText"/>
      </w:pPr>
      <w:r>
        <w:t xml:space="preserve">14,993</w:t>
      </w:r>
    </w:p>
    <w:p>
      <w:pPr>
        <w:pStyle w:val="BodyText"/>
      </w:pPr>
      <w:r>
        <w:t xml:space="preserve">Seasonality</w:t>
      </w:r>
    </w:p>
    <w:p>
      <w:pPr>
        <w:pStyle w:val="BodyText"/>
      </w:pPr>
      <w:r>
        <w:t xml:space="preserve">0.649</w:t>
      </w:r>
    </w:p>
    <w:p>
      <w:pPr>
        <w:pStyle w:val="BodyText"/>
      </w:pPr>
      <w:r>
        <w:t xml:space="preserve">0.824</w:t>
      </w:r>
    </w:p>
    <w:p>
      <w:pPr>
        <w:pStyle w:val="BodyText"/>
      </w:pPr>
      <w:r>
        <w:t xml:space="preserve">−0.968</w:t>
      </w:r>
    </w:p>
    <w:p>
      <w:pPr>
        <w:pStyle w:val="BodyText"/>
      </w:pPr>
      <w:r>
        <w:t xml:space="preserve">2.249</w:t>
      </w:r>
    </w:p>
    <w:p>
      <w:pPr>
        <w:pStyle w:val="BodyText"/>
      </w:pPr>
      <w:r>
        <w:t xml:space="preserve">1.000</w:t>
      </w:r>
    </w:p>
    <w:p>
      <w:pPr>
        <w:pStyle w:val="BodyText"/>
      </w:pPr>
      <w:r>
        <w:t xml:space="preserve">20,675</w:t>
      </w:r>
    </w:p>
    <w:p>
      <w:pPr>
        <w:pStyle w:val="BodyText"/>
      </w:pPr>
      <w:r>
        <w:t xml:space="preserve">15,702</w:t>
      </w:r>
    </w:p>
    <w:p>
      <w:pPr>
        <w:pStyle w:val="BodyText"/>
      </w:pPr>
      <w:r>
        <w:t xml:space="preserve">Seasonality^2</w:t>
      </w:r>
    </w:p>
    <w:p>
      <w:pPr>
        <w:pStyle w:val="BodyText"/>
      </w:pPr>
      <w:r>
        <w:t xml:space="preserve">−0.162</w:t>
      </w:r>
    </w:p>
    <w:p>
      <w:pPr>
        <w:pStyle w:val="BodyText"/>
      </w:pPr>
      <w:r>
        <w:t xml:space="preserve">0.214</w:t>
      </w:r>
    </w:p>
    <w:p>
      <w:pPr>
        <w:pStyle w:val="BodyText"/>
      </w:pPr>
      <w:r>
        <w:t xml:space="preserve">−0.578</w:t>
      </w:r>
    </w:p>
    <w:p>
      <w:pPr>
        <w:pStyle w:val="BodyText"/>
      </w:pPr>
      <w:r>
        <w:t xml:space="preserve">0.263</w:t>
      </w:r>
    </w:p>
    <w:p>
      <w:pPr>
        <w:pStyle w:val="BodyText"/>
      </w:pPr>
      <w:r>
        <w:t xml:space="preserve">1.000</w:t>
      </w:r>
    </w:p>
    <w:p>
      <w:pPr>
        <w:pStyle w:val="BodyText"/>
      </w:pPr>
      <w:r>
        <w:t xml:space="preserve">18,262</w:t>
      </w:r>
    </w:p>
    <w:p>
      <w:pPr>
        <w:pStyle w:val="BodyText"/>
      </w:pPr>
      <w:r>
        <w:t xml:space="preserve">15,203</w:t>
      </w:r>
    </w:p>
    <w:p>
      <w:pPr>
        <w:pStyle w:val="BodyText"/>
      </w:pPr>
      <w:r>
        <w:t xml:space="preserve">Competition*Seasonality</w:t>
      </w:r>
    </w:p>
    <w:p>
      <w:pPr>
        <w:pStyle w:val="BodyText"/>
      </w:pPr>
      <w:r>
        <w:t xml:space="preserve">0.051</w:t>
      </w:r>
    </w:p>
    <w:p>
      <w:pPr>
        <w:pStyle w:val="BodyText"/>
      </w:pPr>
      <w:r>
        <w:t xml:space="preserve">0.239</w:t>
      </w:r>
    </w:p>
    <w:p>
      <w:pPr>
        <w:pStyle w:val="BodyText"/>
      </w:pPr>
      <w:r>
        <w:t xml:space="preserve">−0.415</w:t>
      </w:r>
    </w:p>
    <w:p>
      <w:pPr>
        <w:pStyle w:val="BodyText"/>
      </w:pPr>
      <w:r>
        <w:t xml:space="preserve">0.524</w:t>
      </w:r>
    </w:p>
    <w:p>
      <w:pPr>
        <w:pStyle w:val="BodyText"/>
      </w:pPr>
      <w:r>
        <w:t xml:space="preserve">1.000</w:t>
      </w:r>
    </w:p>
    <w:p>
      <w:pPr>
        <w:pStyle w:val="BodyText"/>
      </w:pPr>
      <w:r>
        <w:t xml:space="preserve">21,846</w:t>
      </w:r>
    </w:p>
    <w:p>
      <w:pPr>
        <w:pStyle w:val="BodyText"/>
      </w:pPr>
      <w:r>
        <w:t xml:space="preserve">14,552</w:t>
      </w:r>
    </w:p>
    <w:p>
      <w:pPr>
        <w:pStyle w:val="BodyText"/>
      </w:pPr>
      <w:r>
        <w:t xml:space="preserve">1</w:t>
      </w:r>
      <w:r>
        <w:t xml:space="preserve"> </w:t>
      </w:r>
      <w:r>
        <w:t xml:space="preserve">Single-male versus multi-male group</w:t>
      </w:r>
    </w:p>
    <w:bookmarkEnd w:id="43"/>
    <w:bookmarkStart w:id="44" w:name="tkwwkrpvah"/>
    <w:p>
      <w:pPr>
        <w:pStyle w:val="BodyText"/>
      </w:pPr>
      <w:r>
        <w:t xml:space="preserve">Table S7. Model results: Minimum primary male paternity share</w:t>
      </w:r>
    </w:p>
    <w:p>
      <w:pPr>
        <w:pStyle w:val="BodyText"/>
      </w:pPr>
      <w:r>
        <w:t xml:space="preserve">Parameter</w:t>
      </w:r>
    </w:p>
    <w:p>
      <w:pPr>
        <w:pStyle w:val="BodyText"/>
      </w:pPr>
      <w:r>
        <w:t xml:space="preserve">Estimate</w:t>
      </w:r>
    </w:p>
    <w:p>
      <w:pPr>
        <w:pStyle w:val="BodyText"/>
      </w:pPr>
      <w:r>
        <w:t xml:space="preserve">Est.Error</w:t>
      </w:r>
    </w:p>
    <w:p>
      <w:pPr>
        <w:pStyle w:val="BodyText"/>
      </w:pPr>
      <w:r>
        <w:t xml:space="preserve">l-95% CI</w:t>
      </w:r>
    </w:p>
    <w:p>
      <w:pPr>
        <w:pStyle w:val="BodyText"/>
      </w:pPr>
      <w:r>
        <w:t xml:space="preserve">u-95% CI</w:t>
      </w:r>
    </w:p>
    <w:p>
      <w:pPr>
        <w:pStyle w:val="BodyText"/>
      </w:pPr>
      <w:r>
        <w:t xml:space="preserve">Rhat</w:t>
      </w:r>
    </w:p>
    <w:p>
      <w:pPr>
        <w:pStyle w:val="BodyText"/>
      </w:pPr>
      <w:r>
        <w:t xml:space="preserve">Bulk_ESS</w:t>
      </w:r>
    </w:p>
    <w:p>
      <w:pPr>
        <w:pStyle w:val="BodyText"/>
      </w:pPr>
      <w:r>
        <w:t xml:space="preserve">Tail_ESS</w:t>
      </w:r>
    </w:p>
    <w:p>
      <w:pPr>
        <w:pStyle w:val="BodyText"/>
      </w:pPr>
      <w:r>
        <w:t xml:space="preserve">Intercept</w:t>
      </w:r>
    </w:p>
    <w:p>
      <w:pPr>
        <w:pStyle w:val="BodyText"/>
      </w:pPr>
      <w:r>
        <w:t xml:space="preserve">−0.208</w:t>
      </w:r>
    </w:p>
    <w:p>
      <w:pPr>
        <w:pStyle w:val="BodyText"/>
      </w:pPr>
      <w:r>
        <w:t xml:space="preserve">0.953</w:t>
      </w:r>
    </w:p>
    <w:p>
      <w:pPr>
        <w:pStyle w:val="BodyText"/>
      </w:pPr>
      <w:r>
        <w:t xml:space="preserve">−2.075</w:t>
      </w:r>
    </w:p>
    <w:p>
      <w:pPr>
        <w:pStyle w:val="BodyText"/>
      </w:pPr>
      <w:r>
        <w:t xml:space="preserve">1.687</w:t>
      </w:r>
    </w:p>
    <w:p>
      <w:pPr>
        <w:pStyle w:val="BodyText"/>
      </w:pPr>
      <w:r>
        <w:t xml:space="preserve">1.000</w:t>
      </w:r>
    </w:p>
    <w:p>
      <w:pPr>
        <w:pStyle w:val="BodyText"/>
      </w:pPr>
      <w:r>
        <w:t xml:space="preserve">16,474</w:t>
      </w:r>
    </w:p>
    <w:p>
      <w:pPr>
        <w:pStyle w:val="BodyText"/>
      </w:pPr>
      <w:r>
        <w:t xml:space="preserve">14,827</w:t>
      </w:r>
    </w:p>
    <w:p>
      <w:pPr>
        <w:pStyle w:val="BodyText"/>
      </w:pPr>
      <w:r>
        <w:t xml:space="preserve">Competition</w:t>
      </w:r>
      <w:r>
        <w:t xml:space="preserve">1</w:t>
      </w:r>
    </w:p>
    <w:p>
      <w:pPr>
        <w:pStyle w:val="BodyText"/>
      </w:pPr>
      <w:r>
        <w:t xml:space="preserve">0.908</w:t>
      </w:r>
    </w:p>
    <w:p>
      <w:pPr>
        <w:pStyle w:val="BodyText"/>
      </w:pPr>
      <w:r>
        <w:t xml:space="preserve">0.458</w:t>
      </w:r>
    </w:p>
    <w:p>
      <w:pPr>
        <w:pStyle w:val="BodyText"/>
      </w:pPr>
      <w:r>
        <w:t xml:space="preserve">0.014</w:t>
      </w:r>
    </w:p>
    <w:p>
      <w:pPr>
        <w:pStyle w:val="BodyText"/>
      </w:pPr>
      <w:r>
        <w:t xml:space="preserve">1.809</w:t>
      </w:r>
    </w:p>
    <w:p>
      <w:pPr>
        <w:pStyle w:val="BodyText"/>
      </w:pPr>
      <w:r>
        <w:t xml:space="preserve">1.000</w:t>
      </w:r>
    </w:p>
    <w:p>
      <w:pPr>
        <w:pStyle w:val="BodyText"/>
      </w:pPr>
      <w:r>
        <w:t xml:space="preserve">15,966</w:t>
      </w:r>
    </w:p>
    <w:p>
      <w:pPr>
        <w:pStyle w:val="BodyText"/>
      </w:pPr>
      <w:r>
        <w:t xml:space="preserve">14,648</w:t>
      </w:r>
    </w:p>
    <w:p>
      <w:pPr>
        <w:pStyle w:val="BodyText"/>
      </w:pPr>
      <w:r>
        <w:t xml:space="preserve">Seasonality</w:t>
      </w:r>
    </w:p>
    <w:p>
      <w:pPr>
        <w:pStyle w:val="BodyText"/>
      </w:pPr>
      <w:r>
        <w:t xml:space="preserve">0.493</w:t>
      </w:r>
    </w:p>
    <w:p>
      <w:pPr>
        <w:pStyle w:val="BodyText"/>
      </w:pPr>
      <w:r>
        <w:t xml:space="preserve">0.809</w:t>
      </w:r>
    </w:p>
    <w:p>
      <w:pPr>
        <w:pStyle w:val="BodyText"/>
      </w:pPr>
      <w:r>
        <w:t xml:space="preserve">−1.118</w:t>
      </w:r>
    </w:p>
    <w:p>
      <w:pPr>
        <w:pStyle w:val="BodyText"/>
      </w:pPr>
      <w:r>
        <w:t xml:space="preserve">2.068</w:t>
      </w:r>
    </w:p>
    <w:p>
      <w:pPr>
        <w:pStyle w:val="BodyText"/>
      </w:pPr>
      <w:r>
        <w:t xml:space="preserve">1.000</w:t>
      </w:r>
    </w:p>
    <w:p>
      <w:pPr>
        <w:pStyle w:val="BodyText"/>
      </w:pPr>
      <w:r>
        <w:t xml:space="preserve">14,675</w:t>
      </w:r>
    </w:p>
    <w:p>
      <w:pPr>
        <w:pStyle w:val="BodyText"/>
      </w:pPr>
      <w:r>
        <w:t xml:space="preserve">14,878</w:t>
      </w:r>
    </w:p>
    <w:p>
      <w:pPr>
        <w:pStyle w:val="BodyText"/>
      </w:pPr>
      <w:r>
        <w:t xml:space="preserve">Seasonality^2</w:t>
      </w:r>
    </w:p>
    <w:p>
      <w:pPr>
        <w:pStyle w:val="BodyText"/>
      </w:pPr>
      <w:r>
        <w:t xml:space="preserve">−0.177</w:t>
      </w:r>
    </w:p>
    <w:p>
      <w:pPr>
        <w:pStyle w:val="BodyText"/>
      </w:pPr>
      <w:r>
        <w:t xml:space="preserve">0.204</w:t>
      </w:r>
    </w:p>
    <w:p>
      <w:pPr>
        <w:pStyle w:val="BodyText"/>
      </w:pPr>
      <w:r>
        <w:t xml:space="preserve">−0.576</w:t>
      </w:r>
    </w:p>
    <w:p>
      <w:pPr>
        <w:pStyle w:val="BodyText"/>
      </w:pPr>
      <w:r>
        <w:t xml:space="preserve">0.229</w:t>
      </w:r>
    </w:p>
    <w:p>
      <w:pPr>
        <w:pStyle w:val="BodyText"/>
      </w:pPr>
      <w:r>
        <w:t xml:space="preserve">1.000</w:t>
      </w:r>
    </w:p>
    <w:p>
      <w:pPr>
        <w:pStyle w:val="BodyText"/>
      </w:pPr>
      <w:r>
        <w:t xml:space="preserve">13,414</w:t>
      </w:r>
    </w:p>
    <w:p>
      <w:pPr>
        <w:pStyle w:val="BodyText"/>
      </w:pPr>
      <w:r>
        <w:t xml:space="preserve">13,925</w:t>
      </w:r>
    </w:p>
    <w:p>
      <w:pPr>
        <w:pStyle w:val="BodyText"/>
      </w:pPr>
      <w:r>
        <w:t xml:space="preserve">Competition*Seasonality</w:t>
      </w:r>
    </w:p>
    <w:p>
      <w:pPr>
        <w:pStyle w:val="BodyText"/>
      </w:pPr>
      <w:r>
        <w:t xml:space="preserve">0.169</w:t>
      </w:r>
    </w:p>
    <w:p>
      <w:pPr>
        <w:pStyle w:val="BodyText"/>
      </w:pPr>
      <w:r>
        <w:t xml:space="preserve">0.230</w:t>
      </w:r>
    </w:p>
    <w:p>
      <w:pPr>
        <w:pStyle w:val="BodyText"/>
      </w:pPr>
      <w:r>
        <w:t xml:space="preserve">−0.281</w:t>
      </w:r>
    </w:p>
    <w:p>
      <w:pPr>
        <w:pStyle w:val="BodyText"/>
      </w:pPr>
      <w:r>
        <w:t xml:space="preserve">0.617</w:t>
      </w:r>
    </w:p>
    <w:p>
      <w:pPr>
        <w:pStyle w:val="BodyText"/>
      </w:pPr>
      <w:r>
        <w:t xml:space="preserve">1.000</w:t>
      </w:r>
    </w:p>
    <w:p>
      <w:pPr>
        <w:pStyle w:val="BodyText"/>
      </w:pPr>
      <w:r>
        <w:t xml:space="preserve">15,660</w:t>
      </w:r>
    </w:p>
    <w:p>
      <w:pPr>
        <w:pStyle w:val="BodyText"/>
      </w:pPr>
      <w:r>
        <w:t xml:space="preserve">14,594</w:t>
      </w:r>
    </w:p>
    <w:p>
      <w:pPr>
        <w:pStyle w:val="BodyText"/>
      </w:pPr>
      <w:r>
        <w:t xml:space="preserve">1</w:t>
      </w:r>
      <w:r>
        <w:t xml:space="preserve"> </w:t>
      </w:r>
      <w:r>
        <w:t xml:space="preserve">Single-male versus multi-male group</w:t>
      </w:r>
    </w:p>
    <w:bookmarkEnd w:id="44"/>
    <w:p>
      <w:pPr>
        <w:pStyle w:val="BodyText"/>
      </w:pPr>
      <w:r>
        <w:rPr>
          <w:b/>
          <w:bCs/>
        </w:rPr>
        <w:t xml:space="preserve">Comparing the conditional effect of in-group competition between models</w:t>
      </w:r>
      <w:r>
        <w:t xml:space="preserve"> </w:t>
      </w:r>
      <w:r>
        <w:t xml:space="preserve">Because the competition/seasonality models presented above contain interaction terms, the main effect of competition cannot be interpreted in isolation. In the below tables we compute the conditional effect of competition (i.e., the difference in predicted paternity share between single-male and multi-male groups) at different levels of seasonality for both the maximum and minimum paternity share models. The purpose of this is to determine whether the difference in the main effect coefficient on the competition parameter leads to a substantively different conclusion.</w:t>
      </w:r>
    </w:p>
    <w:bookmarkStart w:id="45" w:name="fbnfmamkvq"/>
    <w:p>
      <w:pPr>
        <w:pStyle w:val="BodyText"/>
      </w:pPr>
      <w:r>
        <w:t xml:space="preserve">Table S8. Conditional effect of competition (maximum estimate)</w:t>
      </w:r>
    </w:p>
    <w:p>
      <w:pPr>
        <w:pStyle w:val="BodyText"/>
      </w:pPr>
      <w:r>
        <w:t xml:space="preserve">Seasonality</w:t>
      </w:r>
    </w:p>
    <w:p>
      <w:pPr>
        <w:pStyle w:val="BodyText"/>
      </w:pPr>
      <w:r>
        <w:t xml:space="preserve">Multi-male predicted</w:t>
      </w:r>
    </w:p>
    <w:p>
      <w:pPr>
        <w:pStyle w:val="BodyText"/>
      </w:pPr>
      <w:r>
        <w:t xml:space="preserve">Single-male predicted</w:t>
      </w:r>
    </w:p>
    <w:p>
      <w:pPr>
        <w:pStyle w:val="BodyText"/>
      </w:pPr>
      <w:r>
        <w:t xml:space="preserve">Difference</w:t>
      </w:r>
    </w:p>
    <w:p>
      <w:pPr>
        <w:pStyle w:val="BodyText"/>
      </w:pPr>
      <w:r>
        <w:t xml:space="preserve">95% CI</w:t>
      </w:r>
    </w:p>
    <w:p>
      <w:pPr>
        <w:pStyle w:val="BodyText"/>
      </w:pPr>
      <w:r>
        <w:t xml:space="preserve">Most seasonal</w:t>
      </w:r>
    </w:p>
    <w:p>
      <w:pPr>
        <w:pStyle w:val="BodyText"/>
      </w:pPr>
      <w:r>
        <w:t xml:space="preserve">53.7%</w:t>
      </w:r>
    </w:p>
    <w:p>
      <w:pPr>
        <w:pStyle w:val="BodyText"/>
      </w:pPr>
      <w:r>
        <w:t xml:space="preserve">71.6%</w:t>
      </w:r>
    </w:p>
    <w:p>
      <w:pPr>
        <w:pStyle w:val="BodyText"/>
      </w:pPr>
      <w:r>
        <w:t xml:space="preserve">17.9%</w:t>
      </w:r>
    </w:p>
    <w:p>
      <w:pPr>
        <w:pStyle w:val="BodyText"/>
      </w:pPr>
      <w:r>
        <w:t xml:space="preserve">6.2% to 30.3%</w:t>
      </w:r>
    </w:p>
    <w:p>
      <w:pPr>
        <w:pStyle w:val="BodyText"/>
      </w:pPr>
      <w:r>
        <w:t xml:space="preserve">Moderately seasonal</w:t>
      </w:r>
    </w:p>
    <w:p>
      <w:pPr>
        <w:pStyle w:val="BodyText"/>
      </w:pPr>
      <w:r>
        <w:t xml:space="preserve">57.6%</w:t>
      </w:r>
    </w:p>
    <w:p>
      <w:pPr>
        <w:pStyle w:val="BodyText"/>
      </w:pPr>
      <w:r>
        <w:t xml:space="preserve">75.8%</w:t>
      </w:r>
    </w:p>
    <w:p>
      <w:pPr>
        <w:pStyle w:val="BodyText"/>
      </w:pPr>
      <w:r>
        <w:t xml:space="preserve">18.2%</w:t>
      </w:r>
    </w:p>
    <w:p>
      <w:pPr>
        <w:pStyle w:val="BodyText"/>
      </w:pPr>
      <w:r>
        <w:t xml:space="preserve">9.8% to 27.0%</w:t>
      </w:r>
    </w:p>
    <w:p>
      <w:pPr>
        <w:pStyle w:val="BodyText"/>
      </w:pPr>
      <w:r>
        <w:t xml:space="preserve">Least seasonal</w:t>
      </w:r>
    </w:p>
    <w:p>
      <w:pPr>
        <w:pStyle w:val="BodyText"/>
      </w:pPr>
      <w:r>
        <w:t xml:space="preserve">53.7%</w:t>
      </w:r>
    </w:p>
    <w:p>
      <w:pPr>
        <w:pStyle w:val="BodyText"/>
      </w:pPr>
      <w:r>
        <w:t xml:space="preserve">73.0%</w:t>
      </w:r>
    </w:p>
    <w:p>
      <w:pPr>
        <w:pStyle w:val="BodyText"/>
      </w:pPr>
      <w:r>
        <w:t xml:space="preserve">19.3%</w:t>
      </w:r>
    </w:p>
    <w:p>
      <w:pPr>
        <w:pStyle w:val="BodyText"/>
      </w:pPr>
      <w:r>
        <w:t xml:space="preserve">6.1% to 33.9%</w:t>
      </w:r>
    </w:p>
    <w:bookmarkEnd w:id="45"/>
    <w:bookmarkStart w:id="46" w:name="vkpaktlmuz"/>
    <w:p>
      <w:pPr>
        <w:pStyle w:val="BodyText"/>
      </w:pPr>
      <w:r>
        <w:t xml:space="preserve">Table S9. Conditional effect of competition (minimum estimate)</w:t>
      </w:r>
    </w:p>
    <w:p>
      <w:pPr>
        <w:pStyle w:val="BodyText"/>
      </w:pPr>
      <w:r>
        <w:t xml:space="preserve">Seasonality</w:t>
      </w:r>
    </w:p>
    <w:p>
      <w:pPr>
        <w:pStyle w:val="BodyText"/>
      </w:pPr>
      <w:r>
        <w:t xml:space="preserve">Multi-male predicted</w:t>
      </w:r>
    </w:p>
    <w:p>
      <w:pPr>
        <w:pStyle w:val="BodyText"/>
      </w:pPr>
      <w:r>
        <w:t xml:space="preserve">Single-male predicted</w:t>
      </w:r>
    </w:p>
    <w:p>
      <w:pPr>
        <w:pStyle w:val="BodyText"/>
      </w:pPr>
      <w:r>
        <w:t xml:space="preserve">Difference</w:t>
      </w:r>
    </w:p>
    <w:p>
      <w:pPr>
        <w:pStyle w:val="BodyText"/>
      </w:pPr>
      <w:r>
        <w:t xml:space="preserve">95% CI</w:t>
      </w:r>
    </w:p>
    <w:p>
      <w:pPr>
        <w:pStyle w:val="BodyText"/>
      </w:pPr>
      <w:r>
        <w:t xml:space="preserve">Most seasonal</w:t>
      </w:r>
    </w:p>
    <w:p>
      <w:pPr>
        <w:pStyle w:val="BodyText"/>
      </w:pPr>
      <w:r>
        <w:t xml:space="preserve">52.5%</w:t>
      </w:r>
    </w:p>
    <w:p>
      <w:pPr>
        <w:pStyle w:val="BodyText"/>
      </w:pPr>
      <w:r>
        <w:t xml:space="preserve">75.3%</w:t>
      </w:r>
    </w:p>
    <w:p>
      <w:pPr>
        <w:pStyle w:val="BodyText"/>
      </w:pPr>
      <w:r>
        <w:t xml:space="preserve">22.8%</w:t>
      </w:r>
    </w:p>
    <w:p>
      <w:pPr>
        <w:pStyle w:val="BodyText"/>
      </w:pPr>
      <w:r>
        <w:t xml:space="preserve">10.9% to 34.8%</w:t>
      </w:r>
    </w:p>
    <w:p>
      <w:pPr>
        <w:pStyle w:val="BodyText"/>
      </w:pPr>
      <w:r>
        <w:t xml:space="preserve">Moderately seasonal</w:t>
      </w:r>
    </w:p>
    <w:p>
      <w:pPr>
        <w:pStyle w:val="BodyText"/>
      </w:pPr>
      <w:r>
        <w:t xml:space="preserve">51.7%</w:t>
      </w:r>
    </w:p>
    <w:p>
      <w:pPr>
        <w:pStyle w:val="BodyText"/>
      </w:pPr>
      <w:r>
        <w:t xml:space="preserve">77.8%</w:t>
      </w:r>
    </w:p>
    <w:p>
      <w:pPr>
        <w:pStyle w:val="BodyText"/>
      </w:pPr>
      <w:r>
        <w:t xml:space="preserve">26.1%</w:t>
      </w:r>
    </w:p>
    <w:p>
      <w:pPr>
        <w:pStyle w:val="BodyText"/>
      </w:pPr>
      <w:r>
        <w:t xml:space="preserve">16.7% to 35.0%</w:t>
      </w:r>
    </w:p>
    <w:p>
      <w:pPr>
        <w:pStyle w:val="BodyText"/>
      </w:pPr>
      <w:r>
        <w:t xml:space="preserve">Least seasonal</w:t>
      </w:r>
    </w:p>
    <w:p>
      <w:pPr>
        <w:pStyle w:val="BodyText"/>
      </w:pPr>
      <w:r>
        <w:t xml:space="preserve">42.7%</w:t>
      </w:r>
    </w:p>
    <w:p>
      <w:pPr>
        <w:pStyle w:val="BodyText"/>
      </w:pPr>
      <w:r>
        <w:t xml:space="preserve">73.1%</w:t>
      </w:r>
    </w:p>
    <w:p>
      <w:pPr>
        <w:pStyle w:val="BodyText"/>
      </w:pPr>
      <w:r>
        <w:t xml:space="preserve">30.4%</w:t>
      </w:r>
    </w:p>
    <w:p>
      <w:pPr>
        <w:pStyle w:val="BodyText"/>
      </w:pPr>
      <w:r>
        <w:t xml:space="preserve">16.1% to 44.0%</w:t>
      </w:r>
    </w:p>
    <w:bookmarkEnd w:id="46"/>
    <w:p>
      <w:pPr>
        <w:pStyle w:val="BodyText"/>
      </w:pPr>
      <w:r>
        <w:rPr>
          <w:b/>
          <w:bCs/>
        </w:rPr>
        <w:t xml:space="preserve">Interpretation</w:t>
      </w:r>
      <w:r>
        <w:t xml:space="preserve"> </w:t>
      </w:r>
      <w:r>
        <w:t xml:space="preserve">In both models, competition has a meaningful effect on primary male paternity share: males in single-male groups are predicted to obtain a substantially higher share of paternities than males in multi-male groups at all levels of seasonality. However, the minimum estimate model produces larger point estimates for this effect (~23-30% difference versus ~18-19% difference in the maximum estimate model). This is not surprising. Reassigning uncertain paternities away from primary males disproportionately reduces the predicted primary male paternity share in multi-male groups, where most of the ambiguity in paternity assignment occurs. However, there is considerable overlap in the 95% credible intervals between the two models at every level of seasonality. Thus, these two different methods of operationalizing primary male paternity share do not ultimately yield distinguishable estimates of the effect of competition. The qualitative conclusion (that competition is an important predictor of primary male paternity share, while seasonality is not) is robust to the decisions we made about how to handle uncertain paternities.</w:t>
      </w:r>
    </w:p>
    <w:bookmarkEnd w:id="47"/>
    <w:bookmarkStart w:id="52" w:name="X576afc05d803a509ad5e9195490370a5cfdad51"/>
    <w:p>
      <w:pPr>
        <w:pStyle w:val="Heading3"/>
      </w:pPr>
      <w:r>
        <w:t xml:space="preserve">C. Source of paternity losses in multi-male groups (Question 3 in main text)</w:t>
      </w:r>
    </w:p>
    <w:p>
      <w:pPr>
        <w:pStyle w:val="FirstParagraph"/>
      </w:pPr>
      <w:r>
        <w:t xml:space="preserve">In the main text we model the proportion of lost paternities attributable to extra-group males versus non-primary resident males using the minimum extra-group paternity (EGP) count (i.e., only confirmed extra-group paternities). Here we present that model alongside a model using the maximum possible EGP count, in which ambiguous paternities are assigned to extra-group males. Results are qualitatively similar regardless of which choice is made.</w:t>
      </w:r>
    </w:p>
    <w:bookmarkStart w:id="48" w:name="rrdwrzzjfg"/>
    <w:p>
      <w:pPr>
        <w:pStyle w:val="BodyText"/>
      </w:pPr>
      <w:r>
        <w:t xml:space="preserve">Table S10. Paternity loss source model: Minimum EGP count (in main text)</w:t>
      </w:r>
    </w:p>
    <w:p>
      <w:pPr>
        <w:pStyle w:val="BodyText"/>
      </w:pPr>
      <w:r>
        <w:t xml:space="preserve">Parameter</w:t>
      </w:r>
    </w:p>
    <w:p>
      <w:pPr>
        <w:pStyle w:val="BodyText"/>
      </w:pPr>
      <w:r>
        <w:t xml:space="preserve">Estimate</w:t>
      </w:r>
    </w:p>
    <w:p>
      <w:pPr>
        <w:pStyle w:val="BodyText"/>
      </w:pPr>
      <w:r>
        <w:t xml:space="preserve">Est.Error</w:t>
      </w:r>
    </w:p>
    <w:p>
      <w:pPr>
        <w:pStyle w:val="BodyText"/>
      </w:pPr>
      <w:r>
        <w:t xml:space="preserve">l-95% CI</w:t>
      </w:r>
    </w:p>
    <w:p>
      <w:pPr>
        <w:pStyle w:val="BodyText"/>
      </w:pPr>
      <w:r>
        <w:t xml:space="preserve">u-95% CI</w:t>
      </w:r>
    </w:p>
    <w:p>
      <w:pPr>
        <w:pStyle w:val="BodyText"/>
      </w:pPr>
      <w:r>
        <w:t xml:space="preserve">Rhat</w:t>
      </w:r>
    </w:p>
    <w:p>
      <w:pPr>
        <w:pStyle w:val="BodyText"/>
      </w:pPr>
      <w:r>
        <w:t xml:space="preserve">Bulk_ESS</w:t>
      </w:r>
    </w:p>
    <w:p>
      <w:pPr>
        <w:pStyle w:val="BodyText"/>
      </w:pPr>
      <w:r>
        <w:t xml:space="preserve">Tail_ESS</w:t>
      </w:r>
    </w:p>
    <w:p>
      <w:pPr>
        <w:pStyle w:val="BodyText"/>
      </w:pPr>
      <w:r>
        <w:t xml:space="preserve">Intercept</w:t>
      </w:r>
    </w:p>
    <w:p>
      <w:pPr>
        <w:pStyle w:val="BodyText"/>
      </w:pPr>
      <w:r>
        <w:t xml:space="preserve">−1.294</w:t>
      </w:r>
    </w:p>
    <w:p>
      <w:pPr>
        <w:pStyle w:val="BodyText"/>
      </w:pPr>
      <w:r>
        <w:t xml:space="preserve">1.060</w:t>
      </w:r>
    </w:p>
    <w:p>
      <w:pPr>
        <w:pStyle w:val="BodyText"/>
      </w:pPr>
      <w:r>
        <w:t xml:space="preserve">−3.290</w:t>
      </w:r>
    </w:p>
    <w:p>
      <w:pPr>
        <w:pStyle w:val="BodyText"/>
      </w:pPr>
      <w:r>
        <w:t xml:space="preserve">0.823</w:t>
      </w:r>
    </w:p>
    <w:p>
      <w:pPr>
        <w:pStyle w:val="BodyText"/>
      </w:pPr>
      <w:r>
        <w:t xml:space="preserve">1.000</w:t>
      </w:r>
    </w:p>
    <w:p>
      <w:pPr>
        <w:pStyle w:val="BodyText"/>
      </w:pPr>
      <w:r>
        <w:t xml:space="preserve">9,531</w:t>
      </w:r>
    </w:p>
    <w:p>
      <w:pPr>
        <w:pStyle w:val="BodyText"/>
      </w:pPr>
      <w:r>
        <w:t xml:space="preserve">10,218</w:t>
      </w:r>
    </w:p>
    <w:bookmarkEnd w:id="48"/>
    <w:bookmarkStart w:id="49" w:name="qemzgxmycv"/>
    <w:p>
      <w:pPr>
        <w:pStyle w:val="BodyText"/>
      </w:pPr>
      <w:r>
        <w:t xml:space="preserve">Table S11. Paternity loss source model: Maximum EGP count</w:t>
      </w:r>
    </w:p>
    <w:p>
      <w:pPr>
        <w:pStyle w:val="BodyText"/>
      </w:pPr>
      <w:r>
        <w:t xml:space="preserve">Parameter</w:t>
      </w:r>
    </w:p>
    <w:p>
      <w:pPr>
        <w:pStyle w:val="BodyText"/>
      </w:pPr>
      <w:r>
        <w:t xml:space="preserve">Estimate</w:t>
      </w:r>
    </w:p>
    <w:p>
      <w:pPr>
        <w:pStyle w:val="BodyText"/>
      </w:pPr>
      <w:r>
        <w:t xml:space="preserve">Est.Error</w:t>
      </w:r>
    </w:p>
    <w:p>
      <w:pPr>
        <w:pStyle w:val="BodyText"/>
      </w:pPr>
      <w:r>
        <w:t xml:space="preserve">l-95% CI</w:t>
      </w:r>
    </w:p>
    <w:p>
      <w:pPr>
        <w:pStyle w:val="BodyText"/>
      </w:pPr>
      <w:r>
        <w:t xml:space="preserve">u-95% CI</w:t>
      </w:r>
    </w:p>
    <w:p>
      <w:pPr>
        <w:pStyle w:val="BodyText"/>
      </w:pPr>
      <w:r>
        <w:t xml:space="preserve">Rhat</w:t>
      </w:r>
    </w:p>
    <w:p>
      <w:pPr>
        <w:pStyle w:val="BodyText"/>
      </w:pPr>
      <w:r>
        <w:t xml:space="preserve">Bulk_ESS</w:t>
      </w:r>
    </w:p>
    <w:p>
      <w:pPr>
        <w:pStyle w:val="BodyText"/>
      </w:pPr>
      <w:r>
        <w:t xml:space="preserve">Tail_ESS</w:t>
      </w:r>
    </w:p>
    <w:p>
      <w:pPr>
        <w:pStyle w:val="BodyText"/>
      </w:pPr>
      <w:r>
        <w:t xml:space="preserve">Intercept</w:t>
      </w:r>
    </w:p>
    <w:p>
      <w:pPr>
        <w:pStyle w:val="BodyText"/>
      </w:pPr>
      <w:r>
        <w:t xml:space="preserve">−1.055</w:t>
      </w:r>
    </w:p>
    <w:p>
      <w:pPr>
        <w:pStyle w:val="BodyText"/>
      </w:pPr>
      <w:r>
        <w:t xml:space="preserve">0.889</w:t>
      </w:r>
    </w:p>
    <w:p>
      <w:pPr>
        <w:pStyle w:val="BodyText"/>
      </w:pPr>
      <w:r>
        <w:t xml:space="preserve">−2.620</w:t>
      </w:r>
    </w:p>
    <w:p>
      <w:pPr>
        <w:pStyle w:val="BodyText"/>
      </w:pPr>
      <w:r>
        <w:t xml:space="preserve">0.818</w:t>
      </w:r>
    </w:p>
    <w:p>
      <w:pPr>
        <w:pStyle w:val="BodyText"/>
      </w:pPr>
      <w:r>
        <w:t xml:space="preserve">1.000</w:t>
      </w:r>
    </w:p>
    <w:p>
      <w:pPr>
        <w:pStyle w:val="BodyText"/>
      </w:pPr>
      <w:r>
        <w:t xml:space="preserve">6,798</w:t>
      </w:r>
    </w:p>
    <w:p>
      <w:pPr>
        <w:pStyle w:val="BodyText"/>
      </w:pPr>
      <w:r>
        <w:t xml:space="preserve">12,667</w:t>
      </w:r>
    </w:p>
    <w:bookmarkEnd w:id="49"/>
    <w:bookmarkStart w:id="50" w:name="fdapxmqjwd"/>
    <w:p>
      <w:pPr>
        <w:pStyle w:val="BodyText"/>
      </w:pPr>
      <w:r>
        <w:t xml:space="preserve">Table S12. Predicted paternity loss source: Minimum EGP count (in main text)</w:t>
      </w:r>
    </w:p>
    <w:p>
      <w:pPr>
        <w:pStyle w:val="BodyText"/>
      </w:pPr>
      <w:r>
        <w:t xml:space="preserve">Loss source</w:t>
      </w:r>
    </w:p>
    <w:p>
      <w:pPr>
        <w:pStyle w:val="BodyText"/>
      </w:pPr>
      <w:r>
        <w:t xml:space="preserve">Mean</w:t>
      </w:r>
    </w:p>
    <w:p>
      <w:pPr>
        <w:pStyle w:val="BodyText"/>
      </w:pPr>
      <w:r>
        <w:t xml:space="preserve">95% CI</w:t>
      </w:r>
    </w:p>
    <w:p>
      <w:pPr>
        <w:pStyle w:val="BodyText"/>
      </w:pPr>
      <w:r>
        <w:t xml:space="preserve">Extra-group males</w:t>
      </w:r>
    </w:p>
    <w:p>
      <w:pPr>
        <w:pStyle w:val="BodyText"/>
      </w:pPr>
      <w:r>
        <w:t xml:space="preserve">25.7%</w:t>
      </w:r>
    </w:p>
    <w:p>
      <w:pPr>
        <w:pStyle w:val="BodyText"/>
      </w:pPr>
      <w:r>
        <w:t xml:space="preserve">3.6% - 69.5%</w:t>
      </w:r>
    </w:p>
    <w:p>
      <w:pPr>
        <w:pStyle w:val="BodyText"/>
      </w:pPr>
      <w:r>
        <w:t xml:space="preserve">Non-primary resident males</w:t>
      </w:r>
    </w:p>
    <w:p>
      <w:pPr>
        <w:pStyle w:val="BodyText"/>
      </w:pPr>
      <w:r>
        <w:t xml:space="preserve">74.3%</w:t>
      </w:r>
    </w:p>
    <w:p>
      <w:pPr>
        <w:pStyle w:val="BodyText"/>
      </w:pPr>
      <w:r>
        <w:t xml:space="preserve">30.5% - 96.4%</w:t>
      </w:r>
    </w:p>
    <w:bookmarkEnd w:id="50"/>
    <w:bookmarkStart w:id="51" w:name="fgskqcmzqn"/>
    <w:p>
      <w:pPr>
        <w:pStyle w:val="BodyText"/>
      </w:pPr>
      <w:r>
        <w:t xml:space="preserve">Table S13. Predicted paternity loss source: Maximum EGP count</w:t>
      </w:r>
    </w:p>
    <w:p>
      <w:pPr>
        <w:pStyle w:val="BodyText"/>
      </w:pPr>
      <w:r>
        <w:t xml:space="preserve">Loss source</w:t>
      </w:r>
    </w:p>
    <w:p>
      <w:pPr>
        <w:pStyle w:val="BodyText"/>
      </w:pPr>
      <w:r>
        <w:t xml:space="preserve">Mean</w:t>
      </w:r>
    </w:p>
    <w:p>
      <w:pPr>
        <w:pStyle w:val="BodyText"/>
      </w:pPr>
      <w:r>
        <w:t xml:space="preserve">95% CI</w:t>
      </w:r>
    </w:p>
    <w:p>
      <w:pPr>
        <w:pStyle w:val="BodyText"/>
      </w:pPr>
      <w:r>
        <w:t xml:space="preserve">Extra-group males</w:t>
      </w:r>
    </w:p>
    <w:p>
      <w:pPr>
        <w:pStyle w:val="BodyText"/>
      </w:pPr>
      <w:r>
        <w:t xml:space="preserve">28.6%</w:t>
      </w:r>
    </w:p>
    <w:p>
      <w:pPr>
        <w:pStyle w:val="BodyText"/>
      </w:pPr>
      <w:r>
        <w:t xml:space="preserve">6.8% - 69.4%</w:t>
      </w:r>
    </w:p>
    <w:p>
      <w:pPr>
        <w:pStyle w:val="BodyText"/>
      </w:pPr>
      <w:r>
        <w:t xml:space="preserve">Non-primary resident males</w:t>
      </w:r>
    </w:p>
    <w:p>
      <w:pPr>
        <w:pStyle w:val="BodyText"/>
      </w:pPr>
      <w:r>
        <w:t xml:space="preserve">71.4%</w:t>
      </w:r>
    </w:p>
    <w:p>
      <w:pPr>
        <w:pStyle w:val="BodyText"/>
      </w:pPr>
      <w:r>
        <w:t xml:space="preserve">30.6% - 93.2%</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Distribution of genetic paternity in primate groups</dc:title>
  <dc:creator>Stacy Rosenbaum, Nicholas Grebe, and Joan B. Silk</dc:creator>
  <cp:keywords/>
  <dcterms:created xsi:type="dcterms:W3CDTF">2026-03-15T21:53:38Z</dcterms:created>
  <dcterms:modified xsi:type="dcterms:W3CDTF">2026-03-15T21:53:38Z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y fmtid="{D5CDD505-2E9C-101B-9397-08002B2CF9AE}" pid="3" name="knit">
    <vt:lpwstr>(function(input, …) { rmarkdown::render( input, output_dir = file.path(dirname(input), “..”, “output”), … ) })</vt:lpwstr>
  </property>
  <property fmtid="{D5CDD505-2E9C-101B-9397-08002B2CF9AE}" pid="4" name="output">
    <vt:lpwstr/>
  </property>
</Properties>
</file>