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2024-06-06</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5"/>
    <w:bookmarkEnd w:id="26"/>
    <w:bookmarkStart w:id="35"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ook w:firstRow="0" w:lastRow="0" w:firstColumn="0" w:lastColumn="0" w:noHBand="0" w:noVBand="0" w:val="0000"/>
        <w:jc w:val="start"/>
        <w:tblLayout w:type="fixed"/>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1">
        <w:r>
          <w:rPr>
            <w:rStyle w:val="Hyperlink"/>
          </w:rPr>
          <w:t xml:space="preserve">https://doi.org/10.1126/science.aaa6146</w:t>
        </w:r>
      </w:hyperlink>
    </w:p>
    <w:bookmarkEnd w:id="52"/>
    <w:bookmarkStart w:id="54"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3">
        <w:r>
          <w:rPr>
            <w:rStyle w:val="Hyperlink"/>
          </w:rPr>
          <w:t xml:space="preserve">https://doi.org/10.1093/ofid/ofaa494</w:t>
        </w:r>
      </w:hyperlink>
    </w:p>
    <w:bookmarkEnd w:id="54"/>
    <w:bookmarkStart w:id="56"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5">
        <w:r>
          <w:rPr>
            <w:rStyle w:val="Hyperlink"/>
          </w:rPr>
          <w:t xml:space="preserve">https://doi.org/10.1098/rspb.2020.0496</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2024-06-06T23:12:16Z</dcterms:created>
  <dcterms:modified xsi:type="dcterms:W3CDTF">2024-06-06T23:12:16Z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