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Decision Memo</w:t>
      </w:r>
    </w:p>
    <w:p>
      <w:r>
        <w:rPr>
          <w:b/>
        </w:rPr>
        <w:t xml:space="preserve">Prepared by: </w:t>
      </w:r>
      <w:r>
        <w:t xml:space="preserve">Mengru Shi | </w:t>
      </w:r>
      <w:r>
        <w:rPr>
          <w:b/>
        </w:rPr>
        <w:t xml:space="preserve">Status: </w:t>
      </w:r>
      <w:r>
        <w:t xml:space="preserve">Portfolio case study | </w:t>
      </w:r>
      <w:r>
        <w:rPr>
          <w:b/>
        </w:rPr>
        <w:t xml:space="preserve">Last updated: </w:t>
      </w:r>
      <w:r>
        <w:t>August 2026</w:t>
      </w:r>
    </w:p>
    <w:p>
      <w:r>
        <w:rPr>
          <w:i/>
        </w:rPr>
        <w:t>Independent case study using public information. Not an internal Apple document.</w:t>
      </w:r>
    </w:p>
    <w:p>
      <w:r>
        <w:t>Decision question: Should the FY27 AOP add a discrete Apple Intelligence investment scenario?</w:t>
      </w:r>
    </w:p>
    <w:p>
      <w:pPr>
        <w:pStyle w:val="Heading1"/>
      </w:pPr>
      <w:r>
        <w:t>Recommendation</w:t>
      </w:r>
    </w:p>
    <w:p>
      <w:r>
        <w:t>Add a FY27 Apple Intelligence investment case before final planning review. Fund the case within the existing planning framework while preserving gross margin visibility and capital return flexibility.</w:t>
      </w:r>
    </w:p>
    <w:p>
      <w:pPr>
        <w:pStyle w:val="Heading1"/>
      </w:pPr>
      <w:r>
        <w:t>Rationale</w:t>
      </w:r>
    </w:p>
    <w:p>
      <w:pPr>
        <w:pStyle w:val="ListBullet"/>
      </w:pPr>
      <w:r>
        <w:t>FY26 Q2 revenue exceeded forecast by $7,172M (+6.9%), which supports reviewing FY27 demand and Services assumptions.</w:t>
      </w:r>
    </w:p>
    <w:p>
      <w:pPr>
        <w:pStyle w:val="ListBullet"/>
      </w:pPr>
      <w:r>
        <w:t>Operating margin compressed 271 bps as R&amp;D and SG&amp;A ran above plan.</w:t>
      </w:r>
    </w:p>
    <w:p>
      <w:pPr>
        <w:pStyle w:val="ListBullet"/>
      </w:pPr>
      <w:r>
        <w:t>The current model can quantify P&amp;L, cash flow, EPS, and capital allocation effects, but AI investment is not yet separated as its own planning driver.</w:t>
      </w:r>
    </w:p>
    <w:p>
      <w:pPr>
        <w:pStyle w:val="Heading1"/>
      </w:pPr>
      <w:r>
        <w:t>Planning Case</w:t>
      </w:r>
    </w:p>
    <w:p>
      <w:pPr>
        <w:pStyle w:val="ListBullet"/>
      </w:pPr>
      <w:r>
        <w:t>Base case: keep current Services and opex assumptions.</w:t>
      </w:r>
    </w:p>
    <w:p>
      <w:pPr>
        <w:pStyle w:val="ListBullet"/>
      </w:pPr>
      <w:r>
        <w:t>Investment case: increase AI-related R&amp;D / infrastructure cost and test Services attachment upside.</w:t>
      </w:r>
    </w:p>
    <w:p>
      <w:pPr>
        <w:pStyle w:val="ListBullet"/>
      </w:pPr>
      <w:r>
        <w:t>Guardrail: maintain gross margin and EPS visibility before changing capital return pacing.</w:t>
      </w:r>
    </w:p>
    <w:p>
      <w:pPr>
        <w:pStyle w:val="Heading1"/>
      </w:pPr>
      <w:r>
        <w:t>Open Items</w:t>
      </w:r>
    </w:p>
    <w:p>
      <w:pPr>
        <w:pStyle w:val="ListBullet"/>
      </w:pPr>
      <w:r>
        <w:t>Public data does not disclose Apple Intelligence adoption, AI infrastructure spend, or Services attachment rate. These must be labeled as estimates.</w:t>
      </w:r>
    </w:p>
    <w:p>
      <w:pPr>
        <w:pStyle w:val="ListBullet"/>
      </w:pPr>
      <w:r>
        <w:t>Q3 results should be used to confirm whether Q2 revenue upside is demand-driven or timing-driven.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