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Reforecast Memo</w:t>
      </w:r>
    </w:p>
    <w:p>
      <w:r>
        <w:rPr>
          <w:b/>
        </w:rPr>
        <w:t xml:space="preserve">Prepared by: </w:t>
      </w:r>
      <w:r>
        <w:t xml:space="preserve">Mengru Shi | </w:t>
      </w:r>
      <w:r>
        <w:rPr>
          <w:b/>
        </w:rPr>
        <w:t xml:space="preserve">Status: </w:t>
      </w:r>
      <w:r>
        <w:t xml:space="preserve">Portfolio case study | </w:t>
      </w:r>
      <w:r>
        <w:rPr>
          <w:b/>
        </w:rPr>
        <w:t xml:space="preserve">Last updated: </w:t>
      </w:r>
      <w:r>
        <w:t>August 2026</w:t>
      </w:r>
    </w:p>
    <w:p>
      <w:r>
        <w:rPr>
          <w:i/>
        </w:rPr>
        <w:t>Independent case study using public information. Not an internal Apple document.</w:t>
      </w:r>
    </w:p>
    <w:p>
      <w:r>
        <w:t>Audience: CFO / FP&amp;A leadership</w:t>
      </w:r>
    </w:p>
    <w:p>
      <w:pPr>
        <w:pStyle w:val="Heading1"/>
      </w:pPr>
      <w:r>
        <w:t>Observation</w:t>
      </w:r>
    </w:p>
    <w:p>
      <w:pPr>
        <w:pStyle w:val="ListBullet"/>
      </w:pPr>
      <w:r>
        <w:t>FY26 Q2 revenue was $111.2B versus $104.0B in the Q1 Forecast Update, a $7,172M variance (+6.9%).</w:t>
      </w:r>
    </w:p>
    <w:p>
      <w:pPr>
        <w:pStyle w:val="ListBullet"/>
      </w:pPr>
      <w:r>
        <w:t>Gross margin was 49.3%, +150 bps versus forecast.</w:t>
      </w:r>
    </w:p>
    <w:p>
      <w:pPr>
        <w:pStyle w:val="ListBullet"/>
      </w:pPr>
      <w:r>
        <w:t>Operating margin was 32.3%, -271 bps versus forecast.</w:t>
      </w:r>
    </w:p>
    <w:p>
      <w:pPr>
        <w:pStyle w:val="Heading1"/>
      </w:pPr>
      <w:r>
        <w:t>Cause</w:t>
      </w:r>
    </w:p>
    <w:p>
      <w:pPr>
        <w:pStyle w:val="ListBullet"/>
      </w:pPr>
      <w:r>
        <w:t>Revenue upside was led by iPhone variance of $3,534M and Services variance of $2,007M.</w:t>
      </w:r>
    </w:p>
    <w:p>
      <w:pPr>
        <w:pStyle w:val="ListBullet"/>
      </w:pPr>
      <w:r>
        <w:t>R&amp;D spending was +45.0% above plan and SG&amp;A was +37.9% above plan.</w:t>
      </w:r>
    </w:p>
    <w:p>
      <w:pPr>
        <w:pStyle w:val="ListBullet"/>
      </w:pPr>
      <w:r>
        <w:t>The model uses implied segment actuals where Apple does not disclose quarterly segment actuals. These are reconstructed from forecast and stored variance rows.</w:t>
      </w:r>
    </w:p>
    <w:p>
      <w:pPr>
        <w:pStyle w:val="Heading1"/>
      </w:pPr>
      <w:r>
        <w:t>Business Story</w:t>
      </w:r>
    </w:p>
    <w:p>
      <w:pPr>
        <w:pStyle w:val="ListBullet"/>
      </w:pPr>
      <w:r>
        <w:t>Subscription upside should be tested against installed base growth, attachment, platform monetization, premium services, payments, and mix. Public data does not isolate these drivers.</w:t>
      </w:r>
    </w:p>
    <w:p>
      <w:pPr>
        <w:pStyle w:val="ListBullet"/>
      </w:pPr>
      <w:r>
        <w:t>Product upside should be split between units, ASP, region mix, and premium feature adoption timing before changing the FY27 base case.</w:t>
      </w:r>
    </w:p>
    <w:p>
      <w:pPr>
        <w:pStyle w:val="ListBullet"/>
      </w:pPr>
      <w:r>
        <w:t>AI-enabled feature rollout should be treated as both a demand driver and a cost driver, not only an R&amp;D variance.</w:t>
      </w:r>
    </w:p>
    <w:p>
      <w:pPr>
        <w:pStyle w:val="Heading1"/>
      </w:pPr>
      <w:r>
        <w:t>Financial Impact</w:t>
      </w:r>
    </w:p>
    <w:p>
      <w:pPr>
        <w:pStyle w:val="ListBullet"/>
      </w:pPr>
      <w:r>
        <w:t>Revenue strength supports a higher FY27 planning case for subscription attachment and premium feature adoption.</w:t>
      </w:r>
    </w:p>
    <w:p>
      <w:pPr>
        <w:pStyle w:val="ListBullet"/>
      </w:pPr>
      <w:r>
        <w:t>Operating margin pressure requires a gross margin guardrail before AI infrastructure spend is locked.</w:t>
      </w:r>
    </w:p>
    <w:p>
      <w:pPr>
        <w:pStyle w:val="ListBullet"/>
      </w:pPr>
      <w:r>
        <w:t>Forecast accuracy remains a planning issue: revenue MAPE is 7.5% with bias of +7.5%.</w:t>
      </w:r>
    </w:p>
    <w:p>
      <w:pPr>
        <w:pStyle w:val="Heading1"/>
      </w:pPr>
      <w:r>
        <w:t>Planning Recommendation</w:t>
      </w:r>
    </w:p>
    <w:p>
      <w:pPr>
        <w:pStyle w:val="ListBullet"/>
      </w:pPr>
      <w:r>
        <w:t>Recommend maintaining the current capital-return pace through Q3 while prioritizing AI investment within existing funding capacity.</w:t>
      </w:r>
    </w:p>
    <w:p>
      <w:pPr>
        <w:pStyle w:val="ListBullet"/>
      </w:pPr>
      <w:r>
        <w:t>Raise subscription attachment if Q3 confirms Q2 strength; do not raise ARPU without stronger support.</w:t>
      </w:r>
    </w:p>
    <w:p>
      <w:pPr>
        <w:pStyle w:val="ListBullet"/>
      </w:pPr>
      <w:r>
        <w:t>Keep capital return as an output of the scenario, not the main recommendation.</w:t>
      </w:r>
    </w:p>
    <w:p>
      <w:pPr>
        <w:pStyle w:val="Heading1"/>
      </w:pPr>
      <w:r>
        <w:t>Business Partner Questions</w:t>
      </w:r>
    </w:p>
    <w:p>
      <w:pPr>
        <w:pStyle w:val="ListBullet"/>
      </w:pPr>
      <w:r>
        <w:t>Commercial / Marketing: Is subscription attachment structurally above plan, or was Q2 helped by platform monetization, premium services, payments, timing, channel mix, or promotions?</w:t>
      </w:r>
    </w:p>
    <w:p>
      <w:pPr>
        <w:pStyle w:val="ListBullet"/>
      </w:pPr>
      <w:r>
        <w:t>Product / Sales: How much of the beat came from units, ASP, region mix, or premium feature adoption timing?</w:t>
      </w:r>
    </w:p>
    <w:p>
      <w:pPr>
        <w:pStyle w:val="ListBullet"/>
      </w:pPr>
      <w:r>
        <w:t>Operations: Which AI infrastructure costs are committed, which are buffers, and which can be phased?</w:t>
      </w:r>
    </w:p>
    <w:p>
      <w:pPr>
        <w:pStyle w:val="Heading1"/>
      </w:pPr>
      <w:r>
        <w:t>Next Steps</w:t>
      </w:r>
    </w:p>
    <w:p>
      <w:pPr>
        <w:pStyle w:val="ListBullet"/>
      </w:pPr>
      <w:r>
        <w:t>Update the FY27 AOP driver tree for subscription attachment, premium feature adoption, and AI infrastructure spend.</w:t>
      </w:r>
    </w:p>
    <w:p>
      <w:pPr>
        <w:pStyle w:val="ListBullet"/>
      </w:pPr>
      <w:r>
        <w:t>Review Q3 results before changing the Base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