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600"/>
              <w:left w:type="dxa" w:w="400"/>
              <w:bottom w:type="dxa" w:w="600"/>
              <w:right w:type="dxa" w:w="400"/>
            </w:tcMar>
          </w:tcPr>
          <w:p>
            <w:pPr>
              <w:spacing w:before="0" w:after="80"/>
              <w:jc w:val="center"/>
            </w:pPr>
            <w:r>
              <w:rPr>
                <w:rFonts w:ascii="Arial" w:cs="Arial" w:eastAsia="Arial" w:hAnsi="Arial"/>
                <w:b/>
                <w:bCs/>
                <w:color w:val="00A86B"/>
                <w:sz w:val="52"/>
                <w:szCs w:val="52"/>
              </w:rPr>
              <w:t xml:space="preserve">LIQUIDITY SIGNAL ENGINE PRO</w:t>
            </w:r>
          </w:p>
          <w:p>
            <w:pPr>
              <w:spacing w:before="0" w:after="80"/>
              <w:jc w:val="center"/>
            </w:pPr>
            <w:r>
              <w:rPr>
                <w:rFonts w:ascii="Arial" w:cs="Arial" w:eastAsia="Arial" w:hAnsi="Arial"/>
                <w:color w:val="D6E4F0"/>
                <w:sz w:val="28"/>
                <w:szCs w:val="28"/>
              </w:rPr>
              <w:t xml:space="preserve">Institutional Scorecard &amp; Complete Trading Guide</w:t>
            </w:r>
          </w:p>
          <w:p>
            <w:pPr>
              <w:spacing w:before="120" w:after="0"/>
              <w:jc w:val="center"/>
            </w:pPr>
            <w:r>
              <w:rPr>
                <w:rFonts w:ascii="Arial" w:cs="Arial" w:eastAsia="Arial" w:hAnsi="Arial"/>
                <w:i/>
                <w:iCs/>
                <w:color w:val="7FA8C0"/>
                <w:sz w:val="22"/>
                <w:szCs w:val="22"/>
              </w:rPr>
              <w:t xml:space="preserve">TradingView Pine Script v5  |  1H Timeframe  |  Pro Edition</w:t>
            </w:r>
          </w:p>
        </w:tc>
      </w:tr>
    </w:tbl>
    <w:p>
      <w:pPr>
        <w:spacing w:before="200" w:after="100"/>
      </w:pPr>
    </w:p>
    <w:p>
      <w:pPr>
        <w:pStyle w:val="Heading1"/>
        <w:spacing w:before="360" w:after="120"/>
      </w:pPr>
      <w:r>
        <w:rPr>
          <w:rFonts w:ascii="Arial" w:cs="Arial" w:eastAsia="Arial" w:hAnsi="Arial"/>
          <w:b/>
          <w:bCs/>
          <w:color w:val="0D1F30"/>
          <w:sz w:val="40"/>
          <w:szCs w:val="40"/>
        </w:rPr>
        <w:t xml:space="preserve">PART 1 — INSTITUTIONAL SCORECARD</w:t>
      </w:r>
    </w:p>
    <w:p>
      <w:pPr>
        <w:pBdr>
          <w:bottom w:val="single" w:color="00A86B" w:sz="12" w:space="1"/>
        </w:pBdr>
      </w:pPr>
    </w:p>
    <w:p>
      <w:pPr>
        <w:spacing w:before="80" w:after="80"/>
      </w:pPr>
    </w:p>
    <w:p>
      <w:pPr>
        <w:spacing w:before="60" w:after="80"/>
      </w:pPr>
      <w:r>
        <w:rPr>
          <w:rFonts w:ascii="Arial" w:cs="Arial" w:eastAsia="Arial" w:hAnsi="Arial"/>
          <w:i/>
          <w:iCs/>
          <w:color w:val="1A1A2E"/>
          <w:sz w:val="22"/>
          <w:szCs w:val="22"/>
        </w:rPr>
        <w:t xml:space="preserve">As a pro institutional trader evaluating this tool against the criteria I use for live desk systems, here is my honest structured assessment across 7 core dimensions. Each category is scored out of 10.</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c>
          <w:tcPr>
            <w:tcW w:type="dxa" w:w="4200"/>
            <w:tcBorders>
              <w:top w:val="single" w:color="AECAD6" w:sz="4"/>
              <w:left w:val="single" w:color="AECAD6" w:sz="4"/>
              <w:bottom w:val="single" w:color="AECAD6" w:sz="4"/>
              <w:right w:val="single" w:color="AECAD6" w:sz="4"/>
            </w:tcBorders>
            <w:shd w:fill="1A2F45" w:val="clear"/>
            <w:tcMar>
              <w:top w:type="dxa" w:w="100"/>
              <w:left w:type="dxa" w:w="160"/>
              <w:bottom w:type="dxa" w:w="100"/>
              <w:right w:type="dxa" w:w="100"/>
            </w:tcMar>
          </w:tcPr>
          <w:p>
            <w:r>
              <w:rPr>
                <w:rFonts w:ascii="Arial" w:cs="Arial" w:eastAsia="Arial" w:hAnsi="Arial"/>
                <w:b/>
                <w:bCs/>
                <w:color w:val="00A86B"/>
                <w:sz w:val="22"/>
                <w:szCs w:val="22"/>
              </w:rPr>
              <w:t xml:space="preserve">CATEGORY</w:t>
            </w:r>
          </w:p>
        </w:tc>
        <w:tc>
          <w:tcPr>
            <w:tcW w:type="dxa" w:w="1500"/>
            <w:tcBorders>
              <w:top w:val="single" w:color="AECAD6" w:sz="4"/>
              <w:left w:val="single" w:color="AECAD6" w:sz="4"/>
              <w:bottom w:val="single" w:color="AECAD6" w:sz="4"/>
              <w:right w:val="single" w:color="AECAD6" w:sz="4"/>
            </w:tcBorders>
            <w:shd w:fill="1A2F45" w:val="clear"/>
            <w:tcMar>
              <w:top w:type="dxa" w:w="100"/>
              <w:left w:type="dxa" w:w="120"/>
              <w:bottom w:type="dxa" w:w="100"/>
              <w:right w:type="dxa" w:w="120"/>
            </w:tcMar>
          </w:tcPr>
          <w:p>
            <w:pPr>
              <w:jc w:val="center"/>
            </w:pPr>
            <w:r>
              <w:rPr>
                <w:rFonts w:ascii="Arial" w:cs="Arial" w:eastAsia="Arial" w:hAnsi="Arial"/>
                <w:b/>
                <w:bCs/>
                <w:color w:val="00A86B"/>
                <w:sz w:val="22"/>
                <w:szCs w:val="22"/>
              </w:rPr>
              <w:t xml:space="preserve">SCORE</w:t>
            </w:r>
          </w:p>
        </w:tc>
        <w:tc>
          <w:tcPr>
            <w:tcW w:type="dxa" w:w="3660"/>
            <w:tcBorders>
              <w:top w:val="single" w:color="AECAD6" w:sz="4"/>
              <w:left w:val="single" w:color="AECAD6" w:sz="4"/>
              <w:bottom w:val="single" w:color="AECAD6" w:sz="4"/>
              <w:right w:val="single" w:color="AECAD6" w:sz="4"/>
            </w:tcBorders>
            <w:shd w:fill="1A2F45" w:val="clear"/>
            <w:tcMar>
              <w:top w:type="dxa" w:w="100"/>
              <w:left w:type="dxa" w:w="120"/>
              <w:bottom w:type="dxa" w:w="100"/>
              <w:right w:type="dxa" w:w="120"/>
            </w:tcMar>
          </w:tcPr>
          <w:p>
            <w:r>
              <w:rPr>
                <w:rFonts w:ascii="Arial" w:cs="Arial" w:eastAsia="Arial" w:hAnsi="Arial"/>
                <w:b/>
                <w:bCs/>
                <w:color w:val="00A86B"/>
                <w:sz w:val="22"/>
                <w:szCs w:val="22"/>
              </w:rPr>
              <w:t xml:space="preserve">RATING</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1. Signal Logic &amp; Edge Quality</w:t>
            </w:r>
          </w:p>
        </w:tc>
        <w:tc>
          <w:tcPr>
            <w:tcW w:type="dxa" w:w="1500"/>
            <w:tcBorders>
              <w:top w:val="single" w:color="AECAD6" w:sz="4"/>
              <w:left w:val="single" w:color="AECAD6" w:sz="4"/>
              <w:bottom w:val="single" w:color="AECAD6" w:sz="4"/>
              <w:right w:val="single" w:color="AECAD6" w:sz="4"/>
            </w:tcBorders>
            <w:shd w:fill="1A6EA8"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1A6EA8"/>
                <w:sz w:val="20"/>
                <w:szCs w:val="20"/>
              </w:rPr>
              <w:t xml:space="preserve">███████░░░  70%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2. Liquidity Analysis Depth</w:t>
            </w:r>
          </w:p>
        </w:tc>
        <w:tc>
          <w:tcPr>
            <w:tcW w:type="dxa" w:w="1500"/>
            <w:tcBorders>
              <w:top w:val="single" w:color="AECAD6" w:sz="4"/>
              <w:left w:val="single" w:color="AECAD6" w:sz="4"/>
              <w:bottom w:val="single" w:color="AECAD6" w:sz="4"/>
              <w:right w:val="single" w:color="AECAD6" w:sz="4"/>
            </w:tcBorders>
            <w:shd w:fill="00A86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00A86B"/>
                <w:sz w:val="20"/>
                <w:szCs w:val="20"/>
              </w:rPr>
              <w:t xml:space="preserve">████████░░  80%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3. Manipulation Detection</w:t>
            </w:r>
          </w:p>
        </w:tc>
        <w:tc>
          <w:tcPr>
            <w:tcW w:type="dxa" w:w="1500"/>
            <w:tcBorders>
              <w:top w:val="single" w:color="AECAD6" w:sz="4"/>
              <w:left w:val="single" w:color="AECAD6" w:sz="4"/>
              <w:bottom w:val="single" w:color="AECAD6" w:sz="4"/>
              <w:right w:val="single" w:color="AECAD6" w:sz="4"/>
            </w:tcBorders>
            <w:shd w:fill="1A6EA8"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1A6EA8"/>
                <w:sz w:val="20"/>
                <w:szCs w:val="20"/>
              </w:rPr>
              <w:t xml:space="preserve">███████░░░  70%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4. Signal Frequency (1H)</w:t>
            </w:r>
          </w:p>
        </w:tc>
        <w:tc>
          <w:tcPr>
            <w:tcW w:type="dxa" w:w="1500"/>
            <w:tcBorders>
              <w:top w:val="single" w:color="AECAD6" w:sz="4"/>
              <w:left w:val="single" w:color="AECAD6" w:sz="4"/>
              <w:bottom w:val="single" w:color="AECAD6" w:sz="4"/>
              <w:right w:val="single" w:color="AECAD6" w:sz="4"/>
            </w:tcBorders>
            <w:shd w:fill="00A86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00A86B"/>
                <w:sz w:val="20"/>
                <w:szCs w:val="20"/>
              </w:rPr>
              <w:t xml:space="preserve">███████░░░  70%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5. Risk Management Framework</w:t>
            </w:r>
          </w:p>
        </w:tc>
        <w:tc>
          <w:tcPr>
            <w:tcW w:type="dxa" w:w="1500"/>
            <w:tcBorders>
              <w:top w:val="single" w:color="AECAD6" w:sz="4"/>
              <w:left w:val="single" w:color="AECAD6" w:sz="4"/>
              <w:bottom w:val="single" w:color="AECAD6" w:sz="4"/>
              <w:right w:val="single" w:color="AECAD6" w:sz="4"/>
            </w:tcBorders>
            <w:shd w:fill="D4A01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D4A017"/>
                <w:sz w:val="20"/>
                <w:szCs w:val="20"/>
              </w:rPr>
              <w:t xml:space="preserve">██████░░░░  60%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6. Usability &amp; Dashboard</w:t>
            </w:r>
          </w:p>
        </w:tc>
        <w:tc>
          <w:tcPr>
            <w:tcW w:type="dxa" w:w="1500"/>
            <w:tcBorders>
              <w:top w:val="single" w:color="AECAD6" w:sz="4"/>
              <w:left w:val="single" w:color="AECAD6" w:sz="4"/>
              <w:bottom w:val="single" w:color="AECAD6" w:sz="4"/>
              <w:right w:val="single" w:color="AECAD6" w:sz="4"/>
            </w:tcBorders>
            <w:shd w:fill="00A86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9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00A86B"/>
                <w:sz w:val="20"/>
                <w:szCs w:val="20"/>
              </w:rPr>
              <w:t xml:space="preserve">█████████░  90%</w:t>
            </w:r>
          </w:p>
        </w:tc>
      </w:tr>
      <w:tr>
        <w:tc>
          <w:tcPr>
            <w:tcW w:type="dxa" w:w="4200"/>
            <w:tcBorders>
              <w:top w:val="single" w:color="AECAD6" w:sz="4"/>
              <w:left w:val="single" w:color="AECAD6" w:sz="4"/>
              <w:bottom w:val="single" w:color="AECAD6" w:sz="4"/>
              <w:right w:val="single" w:color="AECAD6" w:sz="4"/>
            </w:tcBorders>
            <w:shd w:fill="F0F4F8" w:val="clear"/>
            <w:tcMar>
              <w:top w:type="dxa" w:w="100"/>
              <w:left w:type="dxa" w:w="160"/>
              <w:bottom w:type="dxa" w:w="100"/>
              <w:right w:type="dxa" w:w="100"/>
            </w:tcMar>
          </w:tcPr>
          <w:p>
            <w:r>
              <w:rPr>
                <w:rFonts w:ascii="Arial" w:cs="Arial" w:eastAsia="Arial" w:hAnsi="Arial"/>
                <w:b/>
                <w:bCs/>
                <w:color w:val="1A1A2E"/>
                <w:sz w:val="22"/>
                <w:szCs w:val="22"/>
              </w:rPr>
              <w:t xml:space="preserve">7. False Signal Filtering</w:t>
            </w:r>
          </w:p>
        </w:tc>
        <w:tc>
          <w:tcPr>
            <w:tcW w:type="dxa" w:w="1500"/>
            <w:tcBorders>
              <w:top w:val="single" w:color="AECAD6" w:sz="4"/>
              <w:left w:val="single" w:color="AECAD6" w:sz="4"/>
              <w:bottom w:val="single" w:color="AECAD6" w:sz="4"/>
              <w:right w:val="single" w:color="AECAD6" w:sz="4"/>
            </w:tcBorders>
            <w:shd w:fill="D4A01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 / 10</w:t>
            </w:r>
          </w:p>
        </w:tc>
        <w:tc>
          <w:tcPr>
            <w:tcW w:type="dxa" w:w="3660"/>
            <w:tcBorders>
              <w:top w:val="single" w:color="AECAD6" w:sz="4"/>
              <w:left w:val="single" w:color="AECAD6" w:sz="4"/>
              <w:bottom w:val="single" w:color="AECAD6" w:sz="4"/>
              <w:right w:val="single" w:color="AECAD6" w:sz="4"/>
            </w:tcBorders>
            <w:shd w:fill="FFFFFF" w:val="clear"/>
            <w:tcMar>
              <w:top w:type="dxa" w:w="100"/>
              <w:left w:type="dxa" w:w="120"/>
              <w:bottom w:type="dxa" w:w="100"/>
              <w:right w:type="dxa" w:w="120"/>
            </w:tcMar>
            <w:vAlign w:val="center"/>
          </w:tcPr>
          <w:p>
            <w:r>
              <w:rPr>
                <w:rFonts w:ascii="Courier New" w:cs="Courier New" w:eastAsia="Courier New" w:hAnsi="Courier New"/>
                <w:color w:val="D4A017"/>
                <w:sz w:val="20"/>
                <w:szCs w:val="20"/>
              </w:rPr>
              <w:t xml:space="preserve">██████░░░░  60%</w:t>
            </w:r>
          </w:p>
        </w:tc>
      </w:tr>
      <w:tr>
        <w:tc>
          <w:tcPr>
            <w:tcW w:type="dxa" w:w="4200"/>
            <w:tcBorders>
              <w:top w:val="single" w:color="AECAD6" w:sz="4"/>
              <w:left w:val="single" w:color="AECAD6" w:sz="4"/>
              <w:bottom w:val="single" w:color="AECAD6" w:sz="4"/>
              <w:right w:val="single" w:color="AECAD6" w:sz="4"/>
            </w:tcBorders>
            <w:shd w:fill="0D1F30" w:val="clear"/>
            <w:tcMar>
              <w:top w:type="dxa" w:w="120"/>
              <w:left w:type="dxa" w:w="160"/>
              <w:bottom w:type="dxa" w:w="120"/>
              <w:right w:type="dxa" w:w="100"/>
            </w:tcMar>
          </w:tcPr>
          <w:p>
            <w:r>
              <w:rPr>
                <w:rFonts w:ascii="Arial" w:cs="Arial" w:eastAsia="Arial" w:hAnsi="Arial"/>
                <w:b/>
                <w:bCs/>
                <w:color w:val="FFFFFF"/>
                <w:sz w:val="26"/>
                <w:szCs w:val="26"/>
              </w:rPr>
              <w:t xml:space="preserve">OVERALL SCORE</w:t>
            </w:r>
          </w:p>
        </w:tc>
        <w:tc>
          <w:tcPr>
            <w:tcW w:type="dxa" w:w="1500"/>
            <w:tcBorders>
              <w:top w:val="single" w:color="AECAD6" w:sz="4"/>
              <w:left w:val="single" w:color="AECAD6" w:sz="4"/>
              <w:bottom w:val="single" w:color="AECAD6" w:sz="4"/>
              <w:right w:val="single" w:color="AECAD6" w:sz="4"/>
            </w:tcBorders>
            <w:shd w:fill="00A8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50 / 70</w:t>
            </w:r>
          </w:p>
        </w:tc>
        <w:tc>
          <w:tcPr>
            <w:tcW w:type="dxa" w:w="3660"/>
            <w:tcBorders>
              <w:top w:val="single" w:color="AECAD6" w:sz="4"/>
              <w:left w:val="single" w:color="AECAD6" w:sz="4"/>
              <w:bottom w:val="single" w:color="AECAD6" w:sz="4"/>
              <w:right w:val="single" w:color="AECAD6" w:sz="4"/>
            </w:tcBorders>
            <w:shd w:fill="0D1F30" w:val="clear"/>
            <w:tcMar>
              <w:top w:type="dxa" w:w="120"/>
              <w:left w:type="dxa" w:w="120"/>
              <w:bottom w:type="dxa" w:w="120"/>
              <w:right w:type="dxa" w:w="120"/>
            </w:tcMar>
          </w:tcPr>
          <w:p>
            <w:r>
              <w:rPr>
                <w:rFonts w:ascii="Arial" w:cs="Arial" w:eastAsia="Arial" w:hAnsi="Arial"/>
                <w:b/>
                <w:bCs/>
                <w:color w:val="D4A017"/>
                <w:sz w:val="22"/>
                <w:szCs w:val="22"/>
              </w:rPr>
              <w:t xml:space="preserve">71% — SOLID RETAIL-PRO TOOL</w:t>
            </w:r>
          </w:p>
        </w:tc>
      </w:tr>
    </w:tbl>
    <w:p>
      <w:pPr>
        <w:spacing w:before="200" w:after="100"/>
      </w:pPr>
    </w:p>
    <w:p>
      <w:pPr>
        <w:pStyle w:val="Heading2"/>
        <w:spacing w:before="280" w:after="100"/>
      </w:pPr>
      <w:r>
        <w:rPr>
          <w:rFonts w:ascii="Arial" w:cs="Arial" w:eastAsia="Arial" w:hAnsi="Arial"/>
          <w:b/>
          <w:bCs/>
          <w:color w:val="0D1F30"/>
          <w:sz w:val="28"/>
          <w:szCs w:val="28"/>
        </w:rPr>
        <w:t xml:space="preserve">Score Breakdown — Honest Analysis</w:t>
      </w:r>
    </w:p>
    <w:p>
      <w:pPr>
        <w:spacing w:before="200" w:after="80"/>
      </w:pPr>
      <w:r>
        <w:rPr>
          <w:rFonts w:ascii="Arial" w:cs="Arial" w:eastAsia="Arial" w:hAnsi="Arial"/>
          <w:b/>
          <w:bCs/>
          <w:color w:val="1A6EA8"/>
          <w:sz w:val="24"/>
          <w:szCs w:val="24"/>
        </w:rPr>
        <w:t xml:space="preserve">1. Signal Logic &amp; Edge Quality — 7/10</w:t>
      </w:r>
    </w:p>
    <w:p>
      <w:pPr>
        <w:spacing w:before="60" w:after="80"/>
      </w:pPr>
      <w:r>
        <w:rPr>
          <w:rFonts w:ascii="Arial" w:cs="Arial" w:eastAsia="Arial" w:hAnsi="Arial"/>
          <w:color w:val="1A1A2E"/>
          <w:sz w:val="22"/>
          <w:szCs w:val="22"/>
        </w:rPr>
        <w:t xml:space="preserve">The 7-strategy engine covers the most important institutional setups: liquidity sweeps, order blocks, BOS/CHoCH, RSI divergence, EMA cross, VWAP mean-reversion, and Stochastic confluence. The logic mirrors real SMC (Smart Money Concepts) and ICT methodology that institutional desks actually use.</w:t>
      </w:r>
    </w:p>
    <w:p>
      <w:pPr>
        <w:spacing w:before="60" w:after="80"/>
      </w:pPr>
      <w:r>
        <w:rPr>
          <w:rFonts w:ascii="Arial" w:cs="Arial" w:eastAsia="Arial" w:hAnsi="Arial"/>
          <w:color w:val="1A1A2E"/>
          <w:sz w:val="22"/>
          <w:szCs w:val="22"/>
        </w:rPr>
        <w:t xml:space="preserve">What holds it back from a 9/10: the probability scoring is additive (sum of boolean checks) rather than Bayesian weighted. In a professional quant system, each factor would be weighted differently depending on market regime — a RSI oversold signal carries far more weight in a trending market than a ranging one. Additionally, the ATR-based TP/SL is fixed multiplier; institutions use dynamic volatility-adjusted targets.</w:t>
      </w:r>
    </w:p>
    <w:p>
      <w:pPr>
        <w:spacing w:before="200" w:after="80"/>
      </w:pPr>
      <w:r>
        <w:rPr>
          <w:rFonts w:ascii="Arial" w:cs="Arial" w:eastAsia="Arial" w:hAnsi="Arial"/>
          <w:b/>
          <w:bCs/>
          <w:color w:val="1A6EA8"/>
          <w:sz w:val="24"/>
          <w:szCs w:val="24"/>
        </w:rPr>
        <w:t xml:space="preserve">2. Liquidity Analysis Depth — 8/10</w:t>
      </w:r>
    </w:p>
    <w:p>
      <w:pPr>
        <w:spacing w:before="60" w:after="80"/>
      </w:pPr>
      <w:r>
        <w:rPr>
          <w:rFonts w:ascii="Arial" w:cs="Arial" w:eastAsia="Arial" w:hAnsi="Arial"/>
          <w:color w:val="1A1A2E"/>
          <w:sz w:val="22"/>
          <w:szCs w:val="22"/>
        </w:rPr>
        <w:t xml:space="preserve">This is the strongest section. Real-time buy-side / sell-side liquidity mapping using swing pivots is genuinely close to how prop desks identify pool locations. The heatmap proximity scoring and dual-side probability gate (signal only fires when dominant side is confirmed) is exactly the right filter logic.</w:t>
      </w:r>
    </w:p>
    <w:p>
      <w:pPr>
        <w:spacing w:before="60" w:after="80"/>
      </w:pPr>
      <w:r>
        <w:rPr>
          <w:rFonts w:ascii="Arial" w:cs="Arial" w:eastAsia="Arial" w:hAnsi="Arial"/>
          <w:color w:val="1A1A2E"/>
          <w:sz w:val="22"/>
          <w:szCs w:val="22"/>
        </w:rPr>
        <w:t xml:space="preserve">The 8 vs 10: true institutional heatmaps also weight liquidity by estimated order size (proxied by volume at each level), account for time decay of liquidity pools, and distinguish between resting limit orders versus stop clusters. This indicator treats all swing levels as equal weight.</w:t>
      </w:r>
    </w:p>
    <w:p>
      <w:pPr>
        <w:spacing w:before="200" w:after="80"/>
      </w:pPr>
      <w:r>
        <w:rPr>
          <w:rFonts w:ascii="Arial" w:cs="Arial" w:eastAsia="Arial" w:hAnsi="Arial"/>
          <w:b/>
          <w:bCs/>
          <w:color w:val="1A6EA8"/>
          <w:sz w:val="24"/>
          <w:szCs w:val="24"/>
        </w:rPr>
        <w:t xml:space="preserve">3. Manipulation Detection — 7/10</w:t>
      </w:r>
    </w:p>
    <w:p>
      <w:pPr>
        <w:spacing w:before="60" w:after="80"/>
      </w:pPr>
      <w:r>
        <w:rPr>
          <w:rFonts w:ascii="Arial" w:cs="Arial" w:eastAsia="Arial" w:hAnsi="Arial"/>
          <w:color w:val="1A1A2E"/>
          <w:sz w:val="22"/>
          <w:szCs w:val="22"/>
        </w:rPr>
        <w:t xml:space="preserve">Stop Hunt, Sweep, Wyckoff Spring/Upthrust, and Fake Breakout detection are all correctly implemented. These four patterns account for roughly 80% of institutional manipulation moves on 1H charts. The wick ratio input is well-designed and adjustable.</w:t>
      </w:r>
    </w:p>
    <w:p>
      <w:pPr>
        <w:spacing w:before="60" w:after="80"/>
      </w:pPr>
      <w:r>
        <w:rPr>
          <w:rFonts w:ascii="Arial" w:cs="Arial" w:eastAsia="Arial" w:hAnsi="Arial"/>
          <w:color w:val="1A1A2E"/>
          <w:sz w:val="22"/>
          <w:szCs w:val="22"/>
        </w:rPr>
        <w:t xml:space="preserve">Gap: no detection of time-based manipulation (London open stop raids, NY open liquidity grabs), no divergence between spot and derivatives (OI divergence is a key institutional tell), and no order flow imbalance detection (delta or cumulative volume delta).</w:t>
      </w:r>
    </w:p>
    <w:p>
      <w:pPr>
        <w:spacing w:before="200" w:after="80"/>
      </w:pPr>
      <w:r>
        <w:rPr>
          <w:rFonts w:ascii="Arial" w:cs="Arial" w:eastAsia="Arial" w:hAnsi="Arial"/>
          <w:b/>
          <w:bCs/>
          <w:color w:val="1A6EA8"/>
          <w:sz w:val="24"/>
          <w:szCs w:val="24"/>
        </w:rPr>
        <w:t xml:space="preserve">4. Signal Frequency — 7/10</w:t>
      </w:r>
    </w:p>
    <w:p>
      <w:pPr>
        <w:spacing w:before="60" w:after="80"/>
      </w:pPr>
      <w:r>
        <w:rPr>
          <w:rFonts w:ascii="Arial" w:cs="Arial" w:eastAsia="Arial" w:hAnsi="Arial"/>
          <w:color w:val="1A1A2E"/>
          <w:sz w:val="22"/>
          <w:szCs w:val="22"/>
        </w:rPr>
        <w:t xml:space="preserve">With the minimum enforcer, cooldown of 2 bars, and 7 strategies, you will consistently get 2-4 signals per day on any liquid 1H chart. The Force Signal safety net ensures no dead days. However, forced signals should be traded with reduced size — they fire on market bias alone, not on a concrete setup pattern.</w:t>
      </w:r>
    </w:p>
    <w:p>
      <w:pPr>
        <w:spacing w:before="200" w:after="80"/>
      </w:pPr>
      <w:r>
        <w:rPr>
          <w:rFonts w:ascii="Arial" w:cs="Arial" w:eastAsia="Arial" w:hAnsi="Arial"/>
          <w:b/>
          <w:bCs/>
          <w:color w:val="1A6EA8"/>
          <w:sz w:val="24"/>
          <w:szCs w:val="24"/>
        </w:rPr>
        <w:t xml:space="preserve">5. Risk Management Framework — 6/10</w:t>
      </w:r>
    </w:p>
    <w:p>
      <w:pPr>
        <w:spacing w:before="60" w:after="80"/>
      </w:pPr>
      <w:r>
        <w:rPr>
          <w:rFonts w:ascii="Arial" w:cs="Arial" w:eastAsia="Arial" w:hAnsi="Arial"/>
          <w:color w:val="1A1A2E"/>
          <w:sz w:val="22"/>
          <w:szCs w:val="22"/>
        </w:rPr>
        <w:t xml:space="preserve">ATR x 1.4 SL and ATR x 1.4/2.8/4.5 TP targets are reasonable defaults for 1H crypto. The three TP levels encourage partial profit-taking, which is correct. However, there is no position sizing logic, no account for correlation risk between signals on different pairs, and no dynamic trailing stop mechanism. Professional systems adjust SL to break-even after TP1 hits.</w:t>
      </w:r>
    </w:p>
    <w:p>
      <w:pPr>
        <w:spacing w:before="200" w:after="80"/>
      </w:pPr>
      <w:r>
        <w:rPr>
          <w:rFonts w:ascii="Arial" w:cs="Arial" w:eastAsia="Arial" w:hAnsi="Arial"/>
          <w:b/>
          <w:bCs/>
          <w:color w:val="1A6EA8"/>
          <w:sz w:val="24"/>
          <w:szCs w:val="24"/>
        </w:rPr>
        <w:t xml:space="preserve">6. Usability &amp; Dashboard — 9/10</w:t>
      </w:r>
    </w:p>
    <w:p>
      <w:pPr>
        <w:spacing w:before="60" w:after="80"/>
      </w:pPr>
      <w:r>
        <w:rPr>
          <w:rFonts w:ascii="Arial" w:cs="Arial" w:eastAsia="Arial" w:hAnsi="Arial"/>
          <w:color w:val="1A1A2E"/>
          <w:sz w:val="22"/>
          <w:szCs w:val="22"/>
        </w:rPr>
        <w:t xml:space="preserve">The dual-table layout (main dashboard top-right, stats bottom-right), live signal labels with full context, color-coded cells, Bars Since Signal tracker, and Today's Signals counter make this one of the clearest indicator dashboards available in Pine Script. The alert system covering 10 conditions is comprehensive.</w:t>
      </w:r>
    </w:p>
    <w:p>
      <w:pPr>
        <w:spacing w:before="200" w:after="80"/>
      </w:pPr>
      <w:r>
        <w:rPr>
          <w:rFonts w:ascii="Arial" w:cs="Arial" w:eastAsia="Arial" w:hAnsi="Arial"/>
          <w:b/>
          <w:bCs/>
          <w:color w:val="1A6EA8"/>
          <w:sz w:val="24"/>
          <w:szCs w:val="24"/>
        </w:rPr>
        <w:t xml:space="preserve">7. False Signal Filtering — 6/10</w:t>
      </w:r>
    </w:p>
    <w:p>
      <w:pPr>
        <w:spacing w:before="60" w:after="80"/>
      </w:pPr>
      <w:r>
        <w:rPr>
          <w:rFonts w:ascii="Arial" w:cs="Arial" w:eastAsia="Arial" w:hAnsi="Arial"/>
          <w:color w:val="1A1A2E"/>
          <w:sz w:val="22"/>
          <w:szCs w:val="22"/>
        </w:rPr>
        <w:t xml:space="preserve">The manipulation pre-check, dominant-side gate, and volume surge filter do remove a meaningful portion of bad signals. However, there is no higher-timeframe (HTF) bias filter — the single biggest source of false signals in SMC trading is taking counter-trend signals against a strong D1/4H trend. Adding a D1 EMA check would likely improve win rate by 8-12 percentage points.</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0A86B" w:val="clear"/>
            <w:tcMar>
              <w:top w:type="dxa" w:w="80"/>
              <w:left w:type="dxa" w:w="160"/>
              <w:bottom w:type="dxa" w:w="80"/>
              <w:right w:type="dxa" w:w="160"/>
            </w:tcMar>
          </w:tcPr>
          <w:p>
            <w:r>
              <w:rPr>
                <w:rFonts w:ascii="Arial" w:cs="Arial" w:eastAsia="Arial" w:hAnsi="Arial"/>
                <w:b/>
                <w:bCs/>
                <w:color w:val="FFFFFF"/>
                <w:sz w:val="22"/>
                <w:szCs w:val="22"/>
              </w:rPr>
              <w:t xml:space="preserve">OVERALL VERDICT</w:t>
            </w:r>
          </w:p>
        </w:tc>
      </w:tr>
      <w:tr>
        <w:tc>
          <w:tcPr>
            <w:tcW w:type="dxa" w:w="9360"/>
            <w:tcBorders>
              <w:top w:val="single" w:color="AECAD6" w:sz="4"/>
              <w:left w:val="single" w:color="AECAD6" w:sz="4"/>
              <w:bottom w:val="single" w:color="AECAD6" w:sz="4"/>
              <w:right w:val="single" w:color="AECAD6" w:sz="4"/>
            </w:tcBorders>
            <w:shd w:fill="D5F0E0"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INSTITUTIONAL VERDICT: This is a well-constructed retail-to-professional bridge tool. It implements real institutional concepts correctly. Its main limitation vs a true quant desk system is static weighting, no regime detection, and no HTF filter. For a retail or semi-professional trader it provides genuine edge — especially the liquidity sweep + manipulation detection combination. With the enhancements in this guide, it can realistically target 60-68% win rate on 1H crypto.</w:t>
            </w:r>
          </w:p>
        </w:tc>
      </w:tr>
    </w:tbl>
    <w:p>
      <w:r>
        <w:br w:type="page"/>
      </w:r>
    </w:p>
    <w:p>
      <w:pPr>
        <w:pStyle w:val="Heading1"/>
        <w:spacing w:before="360" w:after="120"/>
      </w:pPr>
      <w:r>
        <w:rPr>
          <w:rFonts w:ascii="Arial" w:cs="Arial" w:eastAsia="Arial" w:hAnsi="Arial"/>
          <w:b/>
          <w:bCs/>
          <w:color w:val="0D1F30"/>
          <w:sz w:val="40"/>
          <w:szCs w:val="40"/>
        </w:rPr>
        <w:t xml:space="preserve">PART 2 — COMPLETE TRADING GUIDE</w:t>
      </w:r>
    </w:p>
    <w:p>
      <w:pPr>
        <w:pBdr>
          <w:bottom w:val="single" w:color="00A86B" w:sz="12" w:space="1"/>
        </w:pBdr>
      </w:pPr>
    </w:p>
    <w:p>
      <w:pPr>
        <w:spacing w:before="80" w:after="80"/>
      </w:pPr>
    </w:p>
    <w:p>
      <w:pPr>
        <w:pStyle w:val="Heading2"/>
        <w:spacing w:before="280" w:after="100"/>
      </w:pPr>
      <w:r>
        <w:rPr>
          <w:rFonts w:ascii="Arial" w:cs="Arial" w:eastAsia="Arial" w:hAnsi="Arial"/>
          <w:b/>
          <w:bCs/>
          <w:color w:val="0D1F30"/>
          <w:sz w:val="28"/>
          <w:szCs w:val="28"/>
        </w:rPr>
        <w:t xml:space="preserve">CHAPTER 1 — Setup &amp; Configuration</w:t>
      </w:r>
    </w:p>
    <w:p>
      <w:pPr>
        <w:pBdr>
          <w:bottom w:val="single" w:color="1A6EA8" w:sz="6" w:space="1"/>
        </w:pBdr>
      </w:pPr>
    </w:p>
    <w:p>
      <w:pPr>
        <w:spacing w:before="200" w:after="80"/>
      </w:pPr>
      <w:r>
        <w:rPr>
          <w:rFonts w:ascii="Arial" w:cs="Arial" w:eastAsia="Arial" w:hAnsi="Arial"/>
          <w:b/>
          <w:bCs/>
          <w:color w:val="1A6EA8"/>
          <w:sz w:val="24"/>
          <w:szCs w:val="24"/>
        </w:rPr>
        <w:t xml:space="preserve">Recommended Settings for Maximum Win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SETTING</w:t>
            </w:r>
          </w:p>
        </w:tc>
        <w:tc>
          <w:tcPr>
            <w:tcW w:type="dxa" w:w="616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RECOMMENDED VALUE &amp; REASON</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Min Win Probability</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55-60% for liquid pairs (BTC/ETH). 50% for altcoins. Never below 48%.</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Signal Cooldown</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2 bars (2 hours). This is the minimum for clean non-overlapping signals on 1H.</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Force Signal Every N Bars</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12 bars for active sessions. 18 for weekends/low volume.</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Liquidity Lookback</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20 bars for crypto (fast-moving). Use 30 for forex/stocks.</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Stop Hunt Wick Ratio</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2.0 standard. Lower to 1.7 in high-volatility (BTC &gt;5% daily). Raise to 2.5 in low vol.</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OB Body/Range Ratio</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0.55 default. Tighten to 0.65 for higher quality OB signals only.</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Volume Surge Multiplier</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1.2-1.3 for crypto. Raise to 1.5 for stocks (more volume-driven).</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Fake Breakout Threshold</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0.65-0.70. Higher = stricter fake break detection.</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Show TP3</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Yes. Always. TP3 is your outlier runner — keep 10-20% of position.</w:t>
            </w:r>
          </w:p>
        </w:tc>
      </w:tr>
    </w:tbl>
    <w:p>
      <w:pPr>
        <w:spacing w:before="160" w:after="80"/>
      </w:pPr>
    </w:p>
    <w:p>
      <w:pPr>
        <w:spacing w:before="200" w:after="80"/>
      </w:pPr>
      <w:r>
        <w:rPr>
          <w:rFonts w:ascii="Arial" w:cs="Arial" w:eastAsia="Arial" w:hAnsi="Arial"/>
          <w:b/>
          <w:bCs/>
          <w:color w:val="1A6EA8"/>
          <w:sz w:val="24"/>
          <w:szCs w:val="24"/>
        </w:rPr>
        <w:t xml:space="preserve">Best Pairs to Trade</w:t>
      </w:r>
    </w:p>
    <w:p>
      <w:pPr>
        <w:spacing w:before="60" w:after="80"/>
      </w:pPr>
      <w:r>
        <w:rPr>
          <w:rFonts w:ascii="Arial" w:cs="Arial" w:eastAsia="Arial" w:hAnsi="Arial"/>
          <w:color w:val="1A1A2E"/>
          <w:sz w:val="22"/>
          <w:szCs w:val="22"/>
        </w:rPr>
        <w:t xml:space="preserve">The indicator performs best on high-liquidity assets with clear institutional participation and defined sessions:</w:t>
      </w:r>
    </w:p>
    <w:p>
      <w:pPr>
        <w:pStyle w:val="ListParagraph"/>
        <w:numPr>
          <w:ilvl w:val="0"/>
          <w:numId w:val="2"/>
        </w:numPr>
        <w:spacing w:before="40" w:after="60"/>
      </w:pPr>
      <w:r>
        <w:rPr>
          <w:rFonts w:ascii="Arial" w:cs="Arial" w:eastAsia="Arial" w:hAnsi="Arial"/>
          <w:b/>
          <w:bCs/>
          <w:color w:val="1A1A2E"/>
          <w:sz w:val="22"/>
          <w:szCs w:val="22"/>
        </w:rPr>
        <w:t xml:space="preserve">Tier 1 (Highest Win Rate): </w:t>
      </w:r>
      <w:r>
        <w:rPr>
          <w:rFonts w:ascii="Arial" w:cs="Arial" w:eastAsia="Arial" w:hAnsi="Arial"/>
          <w:color w:val="1A1A2E"/>
          <w:sz w:val="22"/>
          <w:szCs w:val="22"/>
        </w:rPr>
        <w:t xml:space="preserve">BTC/USDT, ETH/USDT — deepest liquidity pools, clearest sweep patterns, highest volume confirmation reliability.</w:t>
      </w:r>
    </w:p>
    <w:p>
      <w:pPr>
        <w:pStyle w:val="ListParagraph"/>
        <w:numPr>
          <w:ilvl w:val="0"/>
          <w:numId w:val="2"/>
        </w:numPr>
        <w:spacing w:before="40" w:after="60"/>
      </w:pPr>
      <w:r>
        <w:rPr>
          <w:rFonts w:ascii="Arial" w:cs="Arial" w:eastAsia="Arial" w:hAnsi="Arial"/>
          <w:b/>
          <w:bCs/>
          <w:color w:val="1A1A2E"/>
          <w:sz w:val="22"/>
          <w:szCs w:val="22"/>
        </w:rPr>
        <w:t xml:space="preserve">Tier 2 (Good): </w:t>
      </w:r>
      <w:r>
        <w:rPr>
          <w:rFonts w:ascii="Arial" w:cs="Arial" w:eastAsia="Arial" w:hAnsi="Arial"/>
          <w:color w:val="1A1A2E"/>
          <w:sz w:val="22"/>
          <w:szCs w:val="22"/>
        </w:rPr>
        <w:t xml:space="preserve">SOL/USDT, BNB/USDT, MATIC/USDT — sufficient liquidity, regular stop hunts visible on 1H.</w:t>
      </w:r>
    </w:p>
    <w:p>
      <w:pPr>
        <w:pStyle w:val="ListParagraph"/>
        <w:numPr>
          <w:ilvl w:val="0"/>
          <w:numId w:val="2"/>
        </w:numPr>
        <w:spacing w:before="40" w:after="60"/>
      </w:pPr>
      <w:r>
        <w:rPr>
          <w:rFonts w:ascii="Arial" w:cs="Arial" w:eastAsia="Arial" w:hAnsi="Arial"/>
          <w:b/>
          <w:bCs/>
          <w:color w:val="1A1A2E"/>
          <w:sz w:val="22"/>
          <w:szCs w:val="22"/>
        </w:rPr>
        <w:t xml:space="preserve">Tier 3 (Use Caution): </w:t>
      </w:r>
      <w:r>
        <w:rPr>
          <w:rFonts w:ascii="Arial" w:cs="Arial" w:eastAsia="Arial" w:hAnsi="Arial"/>
          <w:color w:val="1A1A2E"/>
          <w:sz w:val="22"/>
          <w:szCs w:val="22"/>
        </w:rPr>
        <w:t xml:space="preserve">Mid-cap altcoins under $500M market cap — liquidity zones are thinner, more fake signals, widen SL by 0.3x ATR.</w:t>
      </w:r>
    </w:p>
    <w:p>
      <w:pPr>
        <w:pStyle w:val="ListParagraph"/>
        <w:numPr>
          <w:ilvl w:val="0"/>
          <w:numId w:val="2"/>
        </w:numPr>
        <w:spacing w:before="40" w:after="60"/>
      </w:pPr>
      <w:r>
        <w:rPr>
          <w:rFonts w:ascii="Arial" w:cs="Arial" w:eastAsia="Arial" w:hAnsi="Arial"/>
          <w:b/>
          <w:bCs/>
          <w:color w:val="1A1A2E"/>
          <w:sz w:val="22"/>
          <w:szCs w:val="22"/>
        </w:rPr>
        <w:t xml:space="preserve">Avoid: </w:t>
      </w:r>
      <w:r>
        <w:rPr>
          <w:rFonts w:ascii="Arial" w:cs="Arial" w:eastAsia="Arial" w:hAnsi="Arial"/>
          <w:color w:val="1A1A2E"/>
          <w:sz w:val="22"/>
          <w:szCs w:val="22"/>
        </w:rPr>
        <w:t xml:space="preserve">Newly listed tokens, assets with less than $50M daily volume. Liquidity signals are meaningless without institutional order flow.</w:t>
      </w:r>
    </w:p>
    <w:p>
      <w:pPr>
        <w:spacing w:before="200" w:after="80"/>
      </w:pPr>
      <w:r>
        <w:rPr>
          <w:rFonts w:ascii="Arial" w:cs="Arial" w:eastAsia="Arial" w:hAnsi="Arial"/>
          <w:b/>
          <w:bCs/>
          <w:color w:val="1A6EA8"/>
          <w:sz w:val="24"/>
          <w:szCs w:val="24"/>
        </w:rPr>
        <w:t xml:space="preserve">Session Timing — When Signals Are Most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SESSION</w:t>
            </w:r>
          </w:p>
        </w:tc>
        <w:tc>
          <w:tcPr>
            <w:tcW w:type="dxa" w:w="26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UTC TIME</w:t>
            </w:r>
          </w:p>
        </w:tc>
        <w:tc>
          <w:tcPr>
            <w:tcW w:type="dxa" w:w="436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QUALITY</w:t>
            </w:r>
          </w:p>
        </w:tc>
      </w:tr>
      <w:tr>
        <w:tc>
          <w:tcPr>
            <w:tcW w:type="dxa" w:w="24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b/>
                <w:bCs/>
                <w:color w:val="1B6B3A"/>
                <w:sz w:val="21"/>
                <w:szCs w:val="21"/>
              </w:rPr>
              <w:t xml:space="preserve">London Open</w:t>
            </w:r>
          </w:p>
        </w:tc>
        <w:tc>
          <w:tcPr>
            <w:tcW w:type="dxa" w:w="26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1"/>
                <w:szCs w:val="21"/>
              </w:rPr>
              <w:t xml:space="preserve">07:00 - 10:00</w:t>
            </w:r>
          </w:p>
        </w:tc>
        <w:tc>
          <w:tcPr>
            <w:tcW w:type="dxa" w:w="436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color w:val="1B6B3A"/>
                <w:sz w:val="21"/>
                <w:szCs w:val="21"/>
              </w:rPr>
              <w:t xml:space="preserve">BEST — highest stop hunt frequency. Most sweeps occur here.</w:t>
            </w:r>
          </w:p>
        </w:tc>
      </w:tr>
      <w:tr>
        <w:tc>
          <w:tcPr>
            <w:tcW w:type="dxa" w:w="24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b/>
                <w:bCs/>
                <w:color w:val="1B6B3A"/>
                <w:sz w:val="21"/>
                <w:szCs w:val="21"/>
              </w:rPr>
              <w:t xml:space="preserve">NY Open</w:t>
            </w:r>
          </w:p>
        </w:tc>
        <w:tc>
          <w:tcPr>
            <w:tcW w:type="dxa" w:w="26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1"/>
                <w:szCs w:val="21"/>
              </w:rPr>
              <w:t xml:space="preserve">13:00 - 16:00</w:t>
            </w:r>
          </w:p>
        </w:tc>
        <w:tc>
          <w:tcPr>
            <w:tcW w:type="dxa" w:w="436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color w:val="1B6B3A"/>
                <w:sz w:val="21"/>
                <w:szCs w:val="21"/>
              </w:rPr>
              <w:t xml:space="preserve">BEST — highest volume, cleanest BOS signals, strongest trends.</w:t>
            </w:r>
          </w:p>
        </w:tc>
      </w:tr>
      <w:tr>
        <w:tc>
          <w:tcPr>
            <w:tcW w:type="dxa" w:w="2400"/>
            <w:tcBorders>
              <w:top w:val="single" w:color="AECAD6" w:sz="4"/>
              <w:left w:val="single" w:color="AECAD6" w:sz="4"/>
              <w:bottom w:val="single" w:color="AECAD6" w:sz="4"/>
              <w:right w:val="single" w:color="AECAD6" w:sz="4"/>
            </w:tcBorders>
            <w:shd w:fill="FFF3CD" w:val="clear"/>
            <w:tcMar>
              <w:top w:type="dxa" w:w="80"/>
              <w:left w:type="dxa" w:w="140"/>
              <w:bottom w:type="dxa" w:w="80"/>
              <w:right w:type="dxa" w:w="100"/>
            </w:tcMar>
          </w:tcPr>
          <w:p>
            <w:r>
              <w:rPr>
                <w:rFonts w:ascii="Arial" w:cs="Arial" w:eastAsia="Arial" w:hAnsi="Arial"/>
                <w:sz w:val="21"/>
                <w:szCs w:val="21"/>
              </w:rPr>
              <w:t xml:space="preserve">London/NY Overlap</w:t>
            </w:r>
          </w:p>
        </w:tc>
        <w:tc>
          <w:tcPr>
            <w:tcW w:type="dxa" w:w="2600"/>
            <w:tcBorders>
              <w:top w:val="single" w:color="AECAD6" w:sz="4"/>
              <w:left w:val="single" w:color="AECAD6" w:sz="4"/>
              <w:bottom w:val="single" w:color="AECAD6" w:sz="4"/>
              <w:right w:val="single" w:color="AECAD6" w:sz="4"/>
            </w:tcBorders>
            <w:shd w:fill="FFF3CD" w:val="clear"/>
            <w:tcMar>
              <w:top w:type="dxa" w:w="80"/>
              <w:left w:type="dxa" w:w="140"/>
              <w:bottom w:type="dxa" w:w="80"/>
              <w:right w:type="dxa" w:w="100"/>
            </w:tcMar>
          </w:tcPr>
          <w:p>
            <w:r>
              <w:rPr>
                <w:rFonts w:ascii="Arial" w:cs="Arial" w:eastAsia="Arial" w:hAnsi="Arial"/>
                <w:sz w:val="21"/>
                <w:szCs w:val="21"/>
              </w:rPr>
              <w:t xml:space="preserve">12:00 - 16:00</w:t>
            </w:r>
          </w:p>
        </w:tc>
        <w:tc>
          <w:tcPr>
            <w:tcW w:type="dxa" w:w="4360"/>
            <w:tcBorders>
              <w:top w:val="single" w:color="AECAD6" w:sz="4"/>
              <w:left w:val="single" w:color="AECAD6" w:sz="4"/>
              <w:bottom w:val="single" w:color="AECAD6" w:sz="4"/>
              <w:right w:val="single" w:color="AECAD6" w:sz="4"/>
            </w:tcBorders>
            <w:shd w:fill="FFF3CD" w:val="clear"/>
            <w:tcMar>
              <w:top w:type="dxa" w:w="80"/>
              <w:left w:type="dxa" w:w="140"/>
              <w:bottom w:type="dxa" w:w="80"/>
              <w:right w:type="dxa" w:w="100"/>
            </w:tcMar>
          </w:tcPr>
          <w:p>
            <w:r>
              <w:rPr>
                <w:rFonts w:ascii="Arial" w:cs="Arial" w:eastAsia="Arial" w:hAnsi="Arial"/>
                <w:sz w:val="21"/>
                <w:szCs w:val="21"/>
              </w:rPr>
              <w:t xml:space="preserve">GOOD — extended moves, use TP2/TP3 more aggressively.</w:t>
            </w:r>
          </w:p>
        </w:tc>
      </w:tr>
      <w:tr>
        <w:tc>
          <w:tcPr>
            <w:tcW w:type="dxa" w:w="240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color w:val="C0392B"/>
                <w:sz w:val="21"/>
                <w:szCs w:val="21"/>
              </w:rPr>
              <w:t xml:space="preserve">Asian Session</w:t>
            </w:r>
          </w:p>
        </w:tc>
        <w:tc>
          <w:tcPr>
            <w:tcW w:type="dxa" w:w="260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1"/>
                <w:szCs w:val="21"/>
              </w:rPr>
              <w:t xml:space="preserve">00:00 - 06:00</w:t>
            </w:r>
          </w:p>
        </w:tc>
        <w:tc>
          <w:tcPr>
            <w:tcW w:type="dxa" w:w="43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color w:val="C0392B"/>
                <w:sz w:val="21"/>
                <w:szCs w:val="21"/>
              </w:rPr>
              <w:t xml:space="preserve">CAUTION — low volume, more fake signals, use TP1 only, tighten SL.</w:t>
            </w:r>
          </w:p>
        </w:tc>
      </w:tr>
    </w:tbl>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2 — Reading the Signals</w:t>
      </w:r>
    </w:p>
    <w:p>
      <w:pPr>
        <w:pBdr>
          <w:bottom w:val="single" w:color="1A6EA8" w:sz="6" w:space="1"/>
        </w:pBdr>
      </w:pPr>
    </w:p>
    <w:p>
      <w:pPr>
        <w:spacing w:before="60" w:after="60"/>
      </w:pPr>
    </w:p>
    <w:p>
      <w:pPr>
        <w:spacing w:before="200" w:after="80"/>
      </w:pPr>
      <w:r>
        <w:rPr>
          <w:rFonts w:ascii="Arial" w:cs="Arial" w:eastAsia="Arial" w:hAnsi="Arial"/>
          <w:b/>
          <w:bCs/>
          <w:color w:val="1A6EA8"/>
          <w:sz w:val="24"/>
          <w:szCs w:val="24"/>
        </w:rPr>
        <w:t xml:space="preserve">The Signal Label — What Every Line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LABEL FIELD</w:t>
            </w:r>
          </w:p>
        </w:tc>
        <w:tc>
          <w:tcPr>
            <w:tcW w:type="dxa" w:w="676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HOW TO USE IT</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LONG / SHORT + Strategy</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The direction and the specific strategy that triggered. Liq Sweep Reversal and Order Block signals are the highest quality. Min Signal (Bias) is the lowest quality — trade with reduced size.</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Entry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The close price of the signal candle. Enter at market immediately or use a limit 0.1-0.2% inside for better fill.</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SL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Stop Loss = low of bar minus 1.4x ATR (LONG) or high plus 1.4x ATR (SHORT). This is your maximum risk point. Never move SL wider.</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TP1 / TP2 / TP3 $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Three targets at 1.4x / 2.8x / 4.5x ATR. Take partial profits: 50% at TP1, 30% at TP2, 20% runner to TP3.</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Buy Liq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Probability score for buy-side liquidity dominance. Above 60% on a LONG signal = high confidence. This is your primary confluence check.</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Sell Liq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Probability score for sell-side. On a LONG signal, ideally this should be below 45%. If both sides are close (e.g. 52/48), skip the trade.</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Win Prob %</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Composite win probability. 65%+ is the ideal threshold. 52-65% is acceptable. Below 52% = forced signal, trade at 25% normal size.</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Manip</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Manipulation pattern detected at signal bar. Stop Hunt or Liq Sweep signals are the highest quality — they confirm smart money absorbed the sweep before reversing.</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RSI</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RSI at signal bar. For LONG: ideally below 50 (even better &lt;35). For SHORT: above 50 (better &gt;65). Counter to this = warning sign.</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false"/>
                <w:bCs w:val="false"/>
                <w:color w:val="1A1A2E"/>
                <w:sz w:val="21"/>
                <w:szCs w:val="21"/>
              </w:rPr>
              <w:t xml:space="preserve">Vol x</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Volume surge multiplier vs 20-bar average. 1.5x+ = strong confirmation. Below 1.0x on a non-forced signal = consider skipping.</w:t>
            </w:r>
          </w:p>
        </w:tc>
      </w:tr>
    </w:tbl>
    <w:p>
      <w:pPr>
        <w:spacing w:before="160" w:after="80"/>
      </w:pPr>
    </w:p>
    <w:p>
      <w:pPr>
        <w:spacing w:before="200" w:after="80"/>
      </w:pPr>
      <w:r>
        <w:rPr>
          <w:rFonts w:ascii="Arial" w:cs="Arial" w:eastAsia="Arial" w:hAnsi="Arial"/>
          <w:b/>
          <w:bCs/>
          <w:color w:val="1A6EA8"/>
          <w:sz w:val="24"/>
          <w:szCs w:val="24"/>
        </w:rPr>
        <w:t xml:space="preserve">Signal Quality Tiers — How to Size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AECAD6" w:sz="4"/>
              <w:left w:val="single" w:color="AECAD6" w:sz="4"/>
              <w:bottom w:val="single" w:color="AECAD6" w:sz="4"/>
              <w:right w:val="single" w:color="AECAD6" w:sz="4"/>
            </w:tcBorders>
            <w:shd w:fill="1A2F45" w:val="clear"/>
            <w:tcMar>
              <w:top w:type="dxa" w:w="80"/>
              <w:left w:type="dxa" w:w="120"/>
              <w:bottom w:type="dxa" w:w="80"/>
              <w:right w:type="dxa" w:w="100"/>
            </w:tcMar>
          </w:tcPr>
          <w:p>
            <w:r>
              <w:rPr>
                <w:rFonts w:ascii="Arial" w:cs="Arial" w:eastAsia="Arial" w:hAnsi="Arial"/>
                <w:b/>
                <w:bCs/>
                <w:color w:val="00A86B"/>
                <w:sz w:val="21"/>
                <w:szCs w:val="21"/>
              </w:rPr>
              <w:t xml:space="preserve">TIER</w:t>
            </w:r>
          </w:p>
        </w:tc>
        <w:tc>
          <w:tcPr>
            <w:tcW w:type="dxa" w:w="2400"/>
            <w:tcBorders>
              <w:top w:val="single" w:color="AECAD6" w:sz="4"/>
              <w:left w:val="single" w:color="AECAD6" w:sz="4"/>
              <w:bottom w:val="single" w:color="AECAD6" w:sz="4"/>
              <w:right w:val="single" w:color="AECAD6" w:sz="4"/>
            </w:tcBorders>
            <w:shd w:fill="1A2F45" w:val="clear"/>
            <w:tcMar>
              <w:top w:type="dxa" w:w="80"/>
              <w:left w:type="dxa" w:w="120"/>
              <w:bottom w:type="dxa" w:w="80"/>
              <w:right w:type="dxa" w:w="100"/>
            </w:tcMar>
          </w:tcPr>
          <w:p>
            <w:r>
              <w:rPr>
                <w:rFonts w:ascii="Arial" w:cs="Arial" w:eastAsia="Arial" w:hAnsi="Arial"/>
                <w:b/>
                <w:bCs/>
                <w:color w:val="00A86B"/>
                <w:sz w:val="21"/>
                <w:szCs w:val="21"/>
              </w:rPr>
              <w:t xml:space="preserve">CRITERIA</w:t>
            </w:r>
          </w:p>
        </w:tc>
        <w:tc>
          <w:tcPr>
            <w:tcW w:type="dxa" w:w="2200"/>
            <w:tcBorders>
              <w:top w:val="single" w:color="AECAD6" w:sz="4"/>
              <w:left w:val="single" w:color="AECAD6" w:sz="4"/>
              <w:bottom w:val="single" w:color="AECAD6" w:sz="4"/>
              <w:right w:val="single" w:color="AECAD6" w:sz="4"/>
            </w:tcBorders>
            <w:shd w:fill="1A2F45" w:val="clear"/>
            <w:tcMar>
              <w:top w:type="dxa" w:w="80"/>
              <w:left w:type="dxa" w:w="120"/>
              <w:bottom w:type="dxa" w:w="80"/>
              <w:right w:type="dxa" w:w="100"/>
            </w:tcMar>
          </w:tcPr>
          <w:p>
            <w:r>
              <w:rPr>
                <w:rFonts w:ascii="Arial" w:cs="Arial" w:eastAsia="Arial" w:hAnsi="Arial"/>
                <w:b/>
                <w:bCs/>
                <w:color w:val="00A86B"/>
                <w:sz w:val="21"/>
                <w:szCs w:val="21"/>
              </w:rPr>
              <w:t xml:space="preserve">POSITION SIZE</w:t>
            </w:r>
          </w:p>
        </w:tc>
        <w:tc>
          <w:tcPr>
            <w:tcW w:type="dxa" w:w="3160"/>
            <w:tcBorders>
              <w:top w:val="single" w:color="AECAD6" w:sz="4"/>
              <w:left w:val="single" w:color="AECAD6" w:sz="4"/>
              <w:bottom w:val="single" w:color="AECAD6" w:sz="4"/>
              <w:right w:val="single" w:color="AECAD6" w:sz="4"/>
            </w:tcBorders>
            <w:shd w:fill="1A2F45" w:val="clear"/>
            <w:tcMar>
              <w:top w:type="dxa" w:w="80"/>
              <w:left w:type="dxa" w:w="120"/>
              <w:bottom w:type="dxa" w:w="80"/>
              <w:right w:type="dxa" w:w="100"/>
            </w:tcMar>
          </w:tcPr>
          <w:p>
            <w:r>
              <w:rPr>
                <w:rFonts w:ascii="Arial" w:cs="Arial" w:eastAsia="Arial" w:hAnsi="Arial"/>
                <w:b/>
                <w:bCs/>
                <w:color w:val="00A86B"/>
                <w:sz w:val="21"/>
                <w:szCs w:val="21"/>
              </w:rPr>
              <w:t xml:space="preserve">TARGET</w:t>
            </w:r>
          </w:p>
        </w:tc>
      </w:tr>
      <w:tr>
        <w:tc>
          <w:tcPr>
            <w:tcW w:type="dxa" w:w="1600"/>
            <w:tcBorders>
              <w:top w:val="single" w:color="AECAD6" w:sz="4"/>
              <w:left w:val="single" w:color="AECAD6" w:sz="4"/>
              <w:bottom w:val="single" w:color="AECAD6" w:sz="4"/>
              <w:right w:val="single" w:color="AECAD6" w:sz="4"/>
            </w:tcBorders>
            <w:shd w:fill="D5F0E0" w:val="clear"/>
            <w:tcMar>
              <w:top w:type="dxa" w:w="80"/>
              <w:left w:type="dxa" w:w="120"/>
              <w:bottom w:type="dxa" w:w="80"/>
              <w:right w:type="dxa" w:w="100"/>
            </w:tcMar>
          </w:tcPr>
          <w:p>
            <w:r>
              <w:rPr>
                <w:rFonts w:ascii="Arial" w:cs="Arial" w:eastAsia="Arial" w:hAnsi="Arial"/>
                <w:b/>
                <w:bCs/>
                <w:color w:val="1B6B3A"/>
                <w:sz w:val="21"/>
                <w:szCs w:val="21"/>
              </w:rPr>
              <w:t xml:space="preserve">A+ SETUP</w:t>
            </w:r>
          </w:p>
        </w:tc>
        <w:tc>
          <w:tcPr>
            <w:tcW w:type="dxa" w:w="240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Win Prob 70%+, Stop Hunt or Sweep detected, Vol 1.5x+, London/NY session</w:t>
            </w:r>
          </w:p>
        </w:tc>
        <w:tc>
          <w:tcPr>
            <w:tcW w:type="dxa" w:w="2200"/>
            <w:tcBorders>
              <w:top w:val="single" w:color="AECAD6" w:sz="4"/>
              <w:left w:val="single" w:color="AECAD6" w:sz="4"/>
              <w:bottom w:val="single" w:color="AECAD6" w:sz="4"/>
              <w:right w:val="single" w:color="AECAD6" w:sz="4"/>
            </w:tcBorders>
            <w:shd w:fill="D5F0E0" w:val="clear"/>
            <w:tcMar>
              <w:top w:type="dxa" w:w="80"/>
              <w:left w:type="dxa" w:w="120"/>
              <w:bottom w:type="dxa" w:w="80"/>
              <w:right w:type="dxa" w:w="100"/>
            </w:tcMar>
          </w:tcPr>
          <w:p>
            <w:pPr>
              <w:jc w:val="center"/>
            </w:pPr>
            <w:r>
              <w:rPr>
                <w:rFonts w:ascii="Arial" w:cs="Arial" w:eastAsia="Arial" w:hAnsi="Arial"/>
                <w:b/>
                <w:bCs/>
                <w:color w:val="1B6B3A"/>
                <w:sz w:val="22"/>
                <w:szCs w:val="22"/>
              </w:rPr>
              <w:t xml:space="preserve">100% (Full)</w:t>
            </w:r>
          </w:p>
        </w:tc>
        <w:tc>
          <w:tcPr>
            <w:tcW w:type="dxa" w:w="316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50% @ TP1, 30% @ TP2, 20% @ TP3</w:t>
            </w:r>
          </w:p>
        </w:tc>
      </w:tr>
      <w:tr>
        <w:tc>
          <w:tcPr>
            <w:tcW w:type="dxa" w:w="1600"/>
            <w:tcBorders>
              <w:top w:val="single" w:color="AECAD6" w:sz="4"/>
              <w:left w:val="single" w:color="AECAD6" w:sz="4"/>
              <w:bottom w:val="single" w:color="AECAD6" w:sz="4"/>
              <w:right w:val="single" w:color="AECAD6" w:sz="4"/>
            </w:tcBorders>
            <w:shd w:fill="D6EAF8" w:val="clear"/>
            <w:tcMar>
              <w:top w:type="dxa" w:w="80"/>
              <w:left w:type="dxa" w:w="120"/>
              <w:bottom w:type="dxa" w:w="80"/>
              <w:right w:type="dxa" w:w="100"/>
            </w:tcMar>
          </w:tcPr>
          <w:p>
            <w:r>
              <w:rPr>
                <w:rFonts w:ascii="Arial" w:cs="Arial" w:eastAsia="Arial" w:hAnsi="Arial"/>
                <w:b/>
                <w:bCs/>
                <w:color w:val="1A6EA8"/>
                <w:sz w:val="21"/>
                <w:szCs w:val="21"/>
              </w:rPr>
              <w:t xml:space="preserve">B SETUP</w:t>
            </w:r>
          </w:p>
        </w:tc>
        <w:tc>
          <w:tcPr>
            <w:tcW w:type="dxa" w:w="240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Win Prob 58-70%, at least 1 manipulation signal, Vol 1.2x+</w:t>
            </w:r>
          </w:p>
        </w:tc>
        <w:tc>
          <w:tcPr>
            <w:tcW w:type="dxa" w:w="2200"/>
            <w:tcBorders>
              <w:top w:val="single" w:color="AECAD6" w:sz="4"/>
              <w:left w:val="single" w:color="AECAD6" w:sz="4"/>
              <w:bottom w:val="single" w:color="AECAD6" w:sz="4"/>
              <w:right w:val="single" w:color="AECAD6" w:sz="4"/>
            </w:tcBorders>
            <w:shd w:fill="D6EAF8" w:val="clear"/>
            <w:tcMar>
              <w:top w:type="dxa" w:w="80"/>
              <w:left w:type="dxa" w:w="120"/>
              <w:bottom w:type="dxa" w:w="80"/>
              <w:right w:type="dxa" w:w="100"/>
            </w:tcMar>
          </w:tcPr>
          <w:p>
            <w:pPr>
              <w:jc w:val="center"/>
            </w:pPr>
            <w:r>
              <w:rPr>
                <w:rFonts w:ascii="Arial" w:cs="Arial" w:eastAsia="Arial" w:hAnsi="Arial"/>
                <w:b/>
                <w:bCs/>
                <w:color w:val="1A6EA8"/>
                <w:sz w:val="22"/>
                <w:szCs w:val="22"/>
              </w:rPr>
              <w:t xml:space="preserve">60-75%</w:t>
            </w:r>
          </w:p>
        </w:tc>
        <w:tc>
          <w:tcPr>
            <w:tcW w:type="dxa" w:w="316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60% @ TP1, 40% @ TP2. Skip TP3.</w:t>
            </w:r>
          </w:p>
        </w:tc>
      </w:tr>
      <w:tr>
        <w:tc>
          <w:tcPr>
            <w:tcW w:type="dxa" w:w="1600"/>
            <w:tcBorders>
              <w:top w:val="single" w:color="AECAD6" w:sz="4"/>
              <w:left w:val="single" w:color="AECAD6" w:sz="4"/>
              <w:bottom w:val="single" w:color="AECAD6" w:sz="4"/>
              <w:right w:val="single" w:color="AECAD6" w:sz="4"/>
            </w:tcBorders>
            <w:shd w:fill="FFF3CD" w:val="clear"/>
            <w:tcMar>
              <w:top w:type="dxa" w:w="80"/>
              <w:left w:type="dxa" w:w="120"/>
              <w:bottom w:type="dxa" w:w="80"/>
              <w:right w:type="dxa" w:w="100"/>
            </w:tcMar>
          </w:tcPr>
          <w:p>
            <w:r>
              <w:rPr>
                <w:rFonts w:ascii="Arial" w:cs="Arial" w:eastAsia="Arial" w:hAnsi="Arial"/>
                <w:b/>
                <w:bCs/>
                <w:color w:val="B8860B"/>
                <w:sz w:val="21"/>
                <w:szCs w:val="21"/>
              </w:rPr>
              <w:t xml:space="preserve">C SETUP</w:t>
            </w:r>
          </w:p>
        </w:tc>
        <w:tc>
          <w:tcPr>
            <w:tcW w:type="dxa" w:w="240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Win Prob 52-58%, no manipulation, EMA cross or VWAP strategy</w:t>
            </w:r>
          </w:p>
        </w:tc>
        <w:tc>
          <w:tcPr>
            <w:tcW w:type="dxa" w:w="2200"/>
            <w:tcBorders>
              <w:top w:val="single" w:color="AECAD6" w:sz="4"/>
              <w:left w:val="single" w:color="AECAD6" w:sz="4"/>
              <w:bottom w:val="single" w:color="AECAD6" w:sz="4"/>
              <w:right w:val="single" w:color="AECAD6" w:sz="4"/>
            </w:tcBorders>
            <w:shd w:fill="FFF3CD" w:val="clear"/>
            <w:tcMar>
              <w:top w:type="dxa" w:w="80"/>
              <w:left w:type="dxa" w:w="120"/>
              <w:bottom w:type="dxa" w:w="80"/>
              <w:right w:type="dxa" w:w="100"/>
            </w:tcMar>
          </w:tcPr>
          <w:p>
            <w:pPr>
              <w:jc w:val="center"/>
            </w:pPr>
            <w:r>
              <w:rPr>
                <w:rFonts w:ascii="Arial" w:cs="Arial" w:eastAsia="Arial" w:hAnsi="Arial"/>
                <w:b/>
                <w:bCs/>
                <w:color w:val="B8860B"/>
                <w:sz w:val="22"/>
                <w:szCs w:val="22"/>
              </w:rPr>
              <w:t xml:space="preserve">30-40%</w:t>
            </w:r>
          </w:p>
        </w:tc>
        <w:tc>
          <w:tcPr>
            <w:tcW w:type="dxa" w:w="316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100% @ TP1 only. Full exit. No runners.</w:t>
            </w:r>
          </w:p>
        </w:tc>
      </w:tr>
      <w:tr>
        <w:tc>
          <w:tcPr>
            <w:tcW w:type="dxa" w:w="1600"/>
            <w:tcBorders>
              <w:top w:val="single" w:color="AECAD6" w:sz="4"/>
              <w:left w:val="single" w:color="AECAD6" w:sz="4"/>
              <w:bottom w:val="single" w:color="AECAD6" w:sz="4"/>
              <w:right w:val="single" w:color="AECAD6" w:sz="4"/>
            </w:tcBorders>
            <w:shd w:fill="FAD7D7" w:val="clear"/>
            <w:tcMar>
              <w:top w:type="dxa" w:w="80"/>
              <w:left w:type="dxa" w:w="120"/>
              <w:bottom w:type="dxa" w:w="80"/>
              <w:right w:type="dxa" w:w="100"/>
            </w:tcMar>
          </w:tcPr>
          <w:p>
            <w:r>
              <w:rPr>
                <w:rFonts w:ascii="Arial" w:cs="Arial" w:eastAsia="Arial" w:hAnsi="Arial"/>
                <w:b/>
                <w:bCs/>
                <w:color w:val="C0392B"/>
                <w:sz w:val="21"/>
                <w:szCs w:val="21"/>
              </w:rPr>
              <w:t xml:space="preserve">SKIP / D</w:t>
            </w:r>
          </w:p>
        </w:tc>
        <w:tc>
          <w:tcPr>
            <w:tcW w:type="dxa" w:w="240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Forced signal, Win Prob under 52%, Asian session, conflicting manip markers</w:t>
            </w:r>
          </w:p>
        </w:tc>
        <w:tc>
          <w:tcPr>
            <w:tcW w:type="dxa" w:w="2200"/>
            <w:tcBorders>
              <w:top w:val="single" w:color="AECAD6" w:sz="4"/>
              <w:left w:val="single" w:color="AECAD6" w:sz="4"/>
              <w:bottom w:val="single" w:color="AECAD6" w:sz="4"/>
              <w:right w:val="single" w:color="AECAD6" w:sz="4"/>
            </w:tcBorders>
            <w:shd w:fill="FAD7D7" w:val="clear"/>
            <w:tcMar>
              <w:top w:type="dxa" w:w="80"/>
              <w:left w:type="dxa" w:w="120"/>
              <w:bottom w:type="dxa" w:w="80"/>
              <w:right w:type="dxa" w:w="100"/>
            </w:tcMar>
          </w:tcPr>
          <w:p>
            <w:pPr>
              <w:jc w:val="center"/>
            </w:pPr>
            <w:r>
              <w:rPr>
                <w:rFonts w:ascii="Arial" w:cs="Arial" w:eastAsia="Arial" w:hAnsi="Arial"/>
                <w:b/>
                <w:bCs/>
                <w:color w:val="C0392B"/>
                <w:sz w:val="22"/>
                <w:szCs w:val="22"/>
              </w:rPr>
              <w:t xml:space="preserve">SKIP</w:t>
            </w:r>
          </w:p>
        </w:tc>
        <w:tc>
          <w:tcPr>
            <w:tcW w:type="dxa" w:w="3160"/>
            <w:tcBorders>
              <w:top w:val="single" w:color="AECAD6" w:sz="4"/>
              <w:left w:val="single" w:color="AECAD6" w:sz="4"/>
              <w:bottom w:val="single" w:color="AECAD6" w:sz="4"/>
              <w:right w:val="single" w:color="AECAD6" w:sz="4"/>
            </w:tcBorders>
            <w:tcMar>
              <w:top w:type="dxa" w:w="80"/>
              <w:left w:type="dxa" w:w="120"/>
              <w:bottom w:type="dxa" w:w="80"/>
              <w:right w:type="dxa" w:w="100"/>
            </w:tcMar>
          </w:tcPr>
          <w:p>
            <w:r>
              <w:rPr>
                <w:rFonts w:ascii="Arial" w:cs="Arial" w:eastAsia="Arial" w:hAnsi="Arial"/>
                <w:sz w:val="20"/>
                <w:szCs w:val="20"/>
              </w:rPr>
              <w:t xml:space="preserve">Do not trade. Log it for backtesting only.</w:t>
            </w:r>
          </w:p>
        </w:tc>
      </w:tr>
    </w:tbl>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3 — Liquidity Heatmap &amp; Zone Analysis</w:t>
      </w:r>
    </w:p>
    <w:p>
      <w:pPr>
        <w:pBdr>
          <w:bottom w:val="single" w:color="1A6EA8" w:sz="6" w:space="1"/>
        </w:pBdr>
      </w:pPr>
    </w:p>
    <w:p>
      <w:pPr>
        <w:spacing w:before="60" w:after="60"/>
      </w:pPr>
    </w:p>
    <w:p>
      <w:pPr>
        <w:spacing w:before="200" w:after="80"/>
      </w:pPr>
      <w:r>
        <w:rPr>
          <w:rFonts w:ascii="Arial" w:cs="Arial" w:eastAsia="Arial" w:hAnsi="Arial"/>
          <w:b/>
          <w:bCs/>
          <w:color w:val="1A6EA8"/>
          <w:sz w:val="24"/>
          <w:szCs w:val="24"/>
        </w:rPr>
        <w:t xml:space="preserve">Understanding the Heatmap Boxes</w:t>
      </w:r>
    </w:p>
    <w:p>
      <w:pPr>
        <w:spacing w:before="60" w:after="80"/>
      </w:pPr>
      <w:r>
        <w:rPr>
          <w:rFonts w:ascii="Arial" w:cs="Arial" w:eastAsia="Arial" w:hAnsi="Arial"/>
          <w:color w:val="1A1A2E"/>
          <w:sz w:val="22"/>
          <w:szCs w:val="22"/>
        </w:rPr>
        <w:t xml:space="preserve">The heatmap boxes on your chart are real-time visualizations of how close the current price is to the nearest buy-side and sell-side liquidity pools. Intensity = proximity: the more opaque/bright the box, the closer price is to that pool.</w:t>
      </w:r>
    </w:p>
    <w:p>
      <w:pPr>
        <w:spacing w:before="60" w:after="40"/>
      </w:pPr>
    </w:p>
    <w:p>
      <w:pPr>
        <w:pStyle w:val="ListParagraph"/>
        <w:numPr>
          <w:ilvl w:val="0"/>
          <w:numId w:val="2"/>
        </w:numPr>
        <w:spacing w:before="40" w:after="60"/>
      </w:pPr>
      <w:r>
        <w:rPr>
          <w:rFonts w:ascii="Arial" w:cs="Arial" w:eastAsia="Arial" w:hAnsi="Arial"/>
          <w:b/>
          <w:bCs/>
          <w:color w:val="1A1A2E"/>
          <w:sz w:val="22"/>
          <w:szCs w:val="22"/>
        </w:rPr>
        <w:t xml:space="preserve">Green boxes (buy-side): </w:t>
      </w:r>
      <w:r>
        <w:rPr>
          <w:rFonts w:ascii="Arial" w:cs="Arial" w:eastAsia="Arial" w:hAnsi="Arial"/>
          <w:color w:val="1A1A2E"/>
          <w:sz w:val="22"/>
          <w:szCs w:val="22"/>
        </w:rPr>
        <w:t xml:space="preserve">These mark where resting buy orders and long stop-losses cluster — below recent swing lows. When price approaches these, watch for one of two outcomes: (1) a sweep followed by reversal LONG, or (2) a break through them continuing bearish.</w:t>
      </w:r>
    </w:p>
    <w:p>
      <w:pPr>
        <w:pStyle w:val="ListParagraph"/>
        <w:numPr>
          <w:ilvl w:val="0"/>
          <w:numId w:val="2"/>
        </w:numPr>
        <w:spacing w:before="40" w:after="60"/>
      </w:pPr>
      <w:r>
        <w:rPr>
          <w:rFonts w:ascii="Arial" w:cs="Arial" w:eastAsia="Arial" w:hAnsi="Arial"/>
          <w:b/>
          <w:bCs/>
          <w:color w:val="1A1A2E"/>
          <w:sz w:val="22"/>
          <w:szCs w:val="22"/>
        </w:rPr>
        <w:t xml:space="preserve">Red boxes (sell-side): </w:t>
      </w:r>
      <w:r>
        <w:rPr>
          <w:rFonts w:ascii="Arial" w:cs="Arial" w:eastAsia="Arial" w:hAnsi="Arial"/>
          <w:color w:val="1A1A2E"/>
          <w:sz w:val="22"/>
          <w:szCs w:val="22"/>
        </w:rPr>
        <w:t xml:space="preserve">These mark where resting sell orders and short stop-losses cluster — above recent swing highs. Approaching these with momentum means a potential breakout or a rejection SHORT setup.</w:t>
      </w:r>
    </w:p>
    <w:p>
      <w:pPr>
        <w:pStyle w:val="ListParagraph"/>
        <w:numPr>
          <w:ilvl w:val="0"/>
          <w:numId w:val="2"/>
        </w:numPr>
        <w:spacing w:before="40" w:after="60"/>
      </w:pPr>
      <w:r>
        <w:rPr>
          <w:rFonts w:ascii="Arial" w:cs="Arial" w:eastAsia="Arial" w:hAnsi="Arial"/>
          <w:b/>
          <w:bCs/>
          <w:color w:val="1A1A2E"/>
          <w:sz w:val="22"/>
          <w:szCs w:val="22"/>
        </w:rPr>
        <w:t xml:space="preserve">Dual-side check before every trade: </w:t>
      </w:r>
      <w:r>
        <w:rPr>
          <w:rFonts w:ascii="Arial" w:cs="Arial" w:eastAsia="Arial" w:hAnsi="Arial"/>
          <w:color w:val="1A1A2E"/>
          <w:sz w:val="22"/>
          <w:szCs w:val="22"/>
        </w:rPr>
        <w:t xml:space="preserve">Before entering any signal, look at both boxes. If the buy-side box is bright green and price just touched it, that is your highest-probability long entry zone. If the sell-side box is also bright red close above, that is your TP target.</w:t>
      </w:r>
    </w:p>
    <w:p>
      <w:pPr>
        <w:spacing w:before="100" w:after="60"/>
      </w:pPr>
    </w:p>
    <w:p>
      <w:pPr>
        <w:spacing w:before="200" w:after="80"/>
      </w:pPr>
      <w:r>
        <w:rPr>
          <w:rFonts w:ascii="Arial" w:cs="Arial" w:eastAsia="Arial" w:hAnsi="Arial"/>
          <w:b/>
          <w:bCs/>
          <w:color w:val="1A6EA8"/>
          <w:sz w:val="24"/>
          <w:szCs w:val="24"/>
        </w:rPr>
        <w:t xml:space="preserve">How to Read Buy-Side vs Sell-Side Probability %</w:t>
      </w:r>
    </w:p>
    <w:p>
      <w:pPr>
        <w:spacing w:before="60" w:after="80"/>
      </w:pPr>
      <w:r>
        <w:rPr>
          <w:rFonts w:ascii="Arial" w:cs="Arial" w:eastAsia="Arial" w:hAnsi="Arial"/>
          <w:color w:val="1A1A2E"/>
          <w:sz w:val="22"/>
          <w:szCs w:val="22"/>
        </w:rPr>
        <w:t xml:space="preserve">The Buy Liq % and Sell Liq % in each signal label and the dashboard are composite probability scores — not simply distances. They incorporate RSI, trend alignment, manipulation patterns, VWAP position, volume, and proximity intensity.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1A6EA8" w:val="clear"/>
            <w:tcMar>
              <w:top w:type="dxa" w:w="80"/>
              <w:left w:type="dxa" w:w="160"/>
              <w:bottom w:type="dxa" w:w="80"/>
              <w:right w:type="dxa" w:w="160"/>
            </w:tcMar>
          </w:tcPr>
          <w:p>
            <w:r>
              <w:rPr>
                <w:rFonts w:ascii="Arial" w:cs="Arial" w:eastAsia="Arial" w:hAnsi="Arial"/>
                <w:b/>
                <w:bCs/>
                <w:color w:val="FFFFFF"/>
                <w:sz w:val="22"/>
                <w:szCs w:val="22"/>
              </w:rPr>
              <w:t xml:space="preserve">KEY RULE — Liquidity Imbalance Check</w:t>
            </w:r>
          </w:p>
        </w:tc>
      </w:tr>
      <w:tr>
        <w:tc>
          <w:tcPr>
            <w:tcW w:type="dxa" w:w="9360"/>
            <w:tcBorders>
              <w:top w:val="single" w:color="AECAD6" w:sz="4"/>
              <w:left w:val="single" w:color="AECAD6" w:sz="4"/>
              <w:bottom w:val="single" w:color="AECAD6" w:sz="4"/>
              <w:right w:val="single" w:color="AECAD6" w:sz="4"/>
            </w:tcBorders>
            <w:shd w:fill="D6EAF8"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Rule: For a LONG signal, Buy Liq should be 15+ points higher than Sell Liq. For a SHORT signal, Sell Liq should be 15+ points higher than Buy Liq. When the gap is less than 10 points, the market is in balance — reduce position size by 50% or skip.</w:t>
            </w:r>
          </w:p>
        </w:tc>
      </w:tr>
    </w:tbl>
    <w:p>
      <w:pPr>
        <w:spacing w:before="120" w:after="60"/>
      </w:pPr>
    </w:p>
    <w:p>
      <w:pPr>
        <w:spacing w:before="200" w:after="80"/>
      </w:pPr>
      <w:r>
        <w:rPr>
          <w:rFonts w:ascii="Arial" w:cs="Arial" w:eastAsia="Arial" w:hAnsi="Arial"/>
          <w:b/>
          <w:bCs/>
          <w:color w:val="1A6EA8"/>
          <w:sz w:val="24"/>
          <w:szCs w:val="24"/>
        </w:rPr>
        <w:t xml:space="preserve">Identifying Major vs Minor Liquidity Pools</w:t>
      </w:r>
    </w:p>
    <w:p>
      <w:pPr>
        <w:spacing w:before="60" w:after="80"/>
      </w:pPr>
      <w:r>
        <w:rPr>
          <w:rFonts w:ascii="Arial" w:cs="Arial" w:eastAsia="Arial" w:hAnsi="Arial"/>
          <w:color w:val="1A1A2E"/>
          <w:sz w:val="22"/>
          <w:szCs w:val="22"/>
        </w:rPr>
        <w:t xml:space="preserve">Not all dashed lines on the chart are equal. Use these criteria to grade pool importance:</w:t>
      </w:r>
    </w:p>
    <w:p>
      <w:pPr>
        <w:pStyle w:val="ListParagraph"/>
        <w:numPr>
          <w:ilvl w:val="0"/>
          <w:numId w:val="2"/>
        </w:numPr>
        <w:spacing w:before="40" w:after="60"/>
      </w:pPr>
      <w:r>
        <w:rPr>
          <w:rFonts w:ascii="Arial" w:cs="Arial" w:eastAsia="Arial" w:hAnsi="Arial"/>
          <w:b/>
          <w:bCs/>
          <w:color w:val="1A1A2E"/>
          <w:sz w:val="22"/>
          <w:szCs w:val="22"/>
        </w:rPr>
        <w:t xml:space="preserve">Major pool (High importance): </w:t>
      </w:r>
      <w:r>
        <w:rPr>
          <w:rFonts w:ascii="Arial" w:cs="Arial" w:eastAsia="Arial" w:hAnsi="Arial"/>
          <w:color w:val="1A1A2E"/>
          <w:sz w:val="22"/>
          <w:szCs w:val="22"/>
        </w:rPr>
        <w:t xml:space="preserve">Formed at a swing high or low that was tested at least twice and held, or where a large stop hunt already occurred. These pools attract price like magnets — they are the most likely reversal zones.</w:t>
      </w:r>
    </w:p>
    <w:p>
      <w:pPr>
        <w:pStyle w:val="ListParagraph"/>
        <w:numPr>
          <w:ilvl w:val="0"/>
          <w:numId w:val="2"/>
        </w:numPr>
        <w:spacing w:before="40" w:after="60"/>
      </w:pPr>
      <w:r>
        <w:rPr>
          <w:rFonts w:ascii="Arial" w:cs="Arial" w:eastAsia="Arial" w:hAnsi="Arial"/>
          <w:b/>
          <w:bCs/>
          <w:color w:val="1A1A2E"/>
          <w:sz w:val="22"/>
          <w:szCs w:val="22"/>
        </w:rPr>
        <w:t xml:space="preserve">Medium pool: </w:t>
      </w:r>
      <w:r>
        <w:rPr>
          <w:rFonts w:ascii="Arial" w:cs="Arial" w:eastAsia="Arial" w:hAnsi="Arial"/>
          <w:color w:val="1A1A2E"/>
          <w:sz w:val="22"/>
          <w:szCs w:val="22"/>
        </w:rPr>
        <w:t xml:space="preserve">Clean untested swing, formed in normal market conditions, reasonable volume at formation.</w:t>
      </w:r>
    </w:p>
    <w:p>
      <w:pPr>
        <w:pStyle w:val="ListParagraph"/>
        <w:numPr>
          <w:ilvl w:val="0"/>
          <w:numId w:val="2"/>
        </w:numPr>
        <w:spacing w:before="40" w:after="60"/>
      </w:pPr>
      <w:r>
        <w:rPr>
          <w:rFonts w:ascii="Arial" w:cs="Arial" w:eastAsia="Arial" w:hAnsi="Arial"/>
          <w:b/>
          <w:bCs/>
          <w:color w:val="1A1A2E"/>
          <w:sz w:val="22"/>
          <w:szCs w:val="22"/>
        </w:rPr>
        <w:t xml:space="preserve">Minor pool: </w:t>
      </w:r>
      <w:r>
        <w:rPr>
          <w:rFonts w:ascii="Arial" w:cs="Arial" w:eastAsia="Arial" w:hAnsi="Arial"/>
          <w:color w:val="1A1A2E"/>
          <w:sz w:val="22"/>
          <w:szCs w:val="22"/>
        </w:rPr>
        <w:t xml:space="preserve">Very recent swing or formed in low-volume conditions. Price may blow through these without reversing.</w:t>
      </w:r>
    </w:p>
    <w:p>
      <w:pPr>
        <w:pStyle w:val="ListParagraph"/>
        <w:numPr>
          <w:ilvl w:val="0"/>
          <w:numId w:val="2"/>
        </w:numPr>
        <w:spacing w:before="40" w:after="60"/>
      </w:pPr>
      <w:r>
        <w:rPr>
          <w:rFonts w:ascii="Arial" w:cs="Arial" w:eastAsia="Arial" w:hAnsi="Arial"/>
          <w:b/>
          <w:bCs/>
          <w:color w:val="1A1A2E"/>
          <w:sz w:val="22"/>
          <w:szCs w:val="22"/>
        </w:rPr>
        <w:t xml:space="preserve">Pro tip: </w:t>
      </w:r>
      <w:r>
        <w:rPr>
          <w:rFonts w:ascii="Arial" w:cs="Arial" w:eastAsia="Arial" w:hAnsi="Arial"/>
          <w:color w:val="1A1A2E"/>
          <w:sz w:val="22"/>
          <w:szCs w:val="22"/>
        </w:rPr>
        <w:t xml:space="preserve">After a sweep of a major pool, the signal that fires immediately is almost always a high-quality A+ setup. These post-sweep reversal entries have historically the highest win rates in any liquidity-based system.</w:t>
      </w:r>
    </w:p>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4 — Manipulation Detection &amp; Trade Filtering</w:t>
      </w:r>
    </w:p>
    <w:p>
      <w:pPr>
        <w:pBdr>
          <w:bottom w:val="single" w:color="1A6EA8" w:sz="6" w:space="1"/>
        </w:pBdr>
      </w:pPr>
    </w:p>
    <w:p>
      <w:pPr>
        <w:spacing w:before="60" w:after="60"/>
      </w:pPr>
    </w:p>
    <w:p>
      <w:pPr>
        <w:spacing w:before="200" w:after="80"/>
      </w:pPr>
      <w:r>
        <w:rPr>
          <w:rFonts w:ascii="Arial" w:cs="Arial" w:eastAsia="Arial" w:hAnsi="Arial"/>
          <w:b/>
          <w:bCs/>
          <w:color w:val="1A6EA8"/>
          <w:sz w:val="24"/>
          <w:szCs w:val="24"/>
        </w:rPr>
        <w:t xml:space="preserve">The 5 Manipulation Patterns — What They Mean for Your Trade</w:t>
      </w:r>
    </w:p>
    <w:p>
      <w:pPr>
        <w:spacing w:before="200" w:after="80"/>
      </w:pPr>
      <w:r>
        <w:rPr>
          <w:rFonts w:ascii="Arial" w:cs="Arial" w:eastAsia="Arial" w:hAnsi="Arial"/>
          <w:b/>
          <w:bCs/>
          <w:color w:val="1A6EA8"/>
          <w:sz w:val="24"/>
          <w:szCs w:val="24"/>
        </w:rPr>
        <w:t xml:space="preserve">1. Stop Hunt (SH marker)</w:t>
      </w:r>
    </w:p>
    <w:p>
      <w:pPr>
        <w:spacing w:before="60" w:after="80"/>
      </w:pPr>
      <w:r>
        <w:rPr>
          <w:rFonts w:ascii="Arial" w:cs="Arial" w:eastAsia="Arial" w:hAnsi="Arial"/>
          <w:color w:val="1A1A2E"/>
          <w:sz w:val="22"/>
          <w:szCs w:val="22"/>
        </w:rPr>
        <w:t xml:space="preserve">The most powerful signal in the indicator. A Stop Hunt is identified when a candle has a wick more than 2x the body size, closing back in the opposite direction. This shows smart money deliberately running stops below/above a key level to fill their own orders, then reversing.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0A86B" w:val="clear"/>
            <w:tcMar>
              <w:top w:type="dxa" w:w="80"/>
              <w:left w:type="dxa" w:w="160"/>
              <w:bottom w:type="dxa" w:w="80"/>
              <w:right w:type="dxa" w:w="160"/>
            </w:tcMar>
          </w:tcPr>
          <w:p>
            <w:r>
              <w:rPr>
                <w:rFonts w:ascii="Arial" w:cs="Arial" w:eastAsia="Arial" w:hAnsi="Arial"/>
                <w:b/>
                <w:bCs/>
                <w:color w:val="FFFFFF"/>
                <w:sz w:val="22"/>
                <w:szCs w:val="22"/>
              </w:rPr>
              <w:t xml:space="preserve">TRADE RULE</w:t>
            </w:r>
          </w:p>
        </w:tc>
      </w:tr>
      <w:tr>
        <w:tc>
          <w:tcPr>
            <w:tcW w:type="dxa" w:w="9360"/>
            <w:tcBorders>
              <w:top w:val="single" w:color="AECAD6" w:sz="4"/>
              <w:left w:val="single" w:color="AECAD6" w:sz="4"/>
              <w:bottom w:val="single" w:color="AECAD6" w:sz="4"/>
              <w:right w:val="single" w:color="AECAD6" w:sz="4"/>
            </w:tcBorders>
            <w:shd w:fill="D5F0E0"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How to trade it: Wait for the stop hunt candle to fully close. The signal fires on close. Enter at market. This is an A+ setup — full position size. SL goes just beyond the wick extreme. The reversal is typically fast and decisive.</w:t>
            </w:r>
          </w:p>
        </w:tc>
      </w:tr>
    </w:tbl>
    <w:p>
      <w:pPr>
        <w:spacing w:before="80" w:after="40"/>
      </w:pPr>
    </w:p>
    <w:p>
      <w:pPr>
        <w:spacing w:before="200" w:after="80"/>
      </w:pPr>
      <w:r>
        <w:rPr>
          <w:rFonts w:ascii="Arial" w:cs="Arial" w:eastAsia="Arial" w:hAnsi="Arial"/>
          <w:b/>
          <w:bCs/>
          <w:color w:val="1A6EA8"/>
          <w:sz w:val="24"/>
          <w:szCs w:val="24"/>
        </w:rPr>
        <w:t xml:space="preserve">2. Liquidity Sweep (SW marker)</w:t>
      </w:r>
    </w:p>
    <w:p>
      <w:pPr>
        <w:spacing w:before="60" w:after="80"/>
      </w:pPr>
      <w:r>
        <w:rPr>
          <w:rFonts w:ascii="Arial" w:cs="Arial" w:eastAsia="Arial" w:hAnsi="Arial"/>
          <w:color w:val="1A1A2E"/>
          <w:sz w:val="22"/>
          <w:szCs w:val="22"/>
        </w:rPr>
        <w:t xml:space="preserve">Similar to a stop hunt but confirmed by price breaking a prior swing level and closing back inside. The closing back inside is critical — it confirms the sweep was absorption, not a genuine break. When the indicator shows a Sweep + LONG signal, the prior swing low has been absorbed by institutional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1A6EA8" w:val="clear"/>
            <w:tcMar>
              <w:top w:type="dxa" w:w="80"/>
              <w:left w:type="dxa" w:w="160"/>
              <w:bottom w:type="dxa" w:w="80"/>
              <w:right w:type="dxa" w:w="160"/>
            </w:tcMar>
          </w:tcPr>
          <w:p>
            <w:r>
              <w:rPr>
                <w:rFonts w:ascii="Arial" w:cs="Arial" w:eastAsia="Arial" w:hAnsi="Arial"/>
                <w:b/>
                <w:bCs/>
                <w:color w:val="FFFFFF"/>
                <w:sz w:val="22"/>
                <w:szCs w:val="22"/>
              </w:rPr>
              <w:t xml:space="preserve">TRADE RULE</w:t>
            </w:r>
          </w:p>
        </w:tc>
      </w:tr>
      <w:tr>
        <w:tc>
          <w:tcPr>
            <w:tcW w:type="dxa" w:w="9360"/>
            <w:tcBorders>
              <w:top w:val="single" w:color="AECAD6" w:sz="4"/>
              <w:left w:val="single" w:color="AECAD6" w:sz="4"/>
              <w:bottom w:val="single" w:color="AECAD6" w:sz="4"/>
              <w:right w:val="single" w:color="AECAD6" w:sz="4"/>
            </w:tcBorders>
            <w:shd w:fill="D6EAF8"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How to trade it: The sweep itself is the entry signal. If the bar closes back above the swept level, enter long. If the bar does not close back above (price continues below), the sweep is a genuine break — do NOT enter. Let the signal bar fully close before acting.</w:t>
            </w:r>
          </w:p>
        </w:tc>
      </w:tr>
    </w:tbl>
    <w:p>
      <w:pPr>
        <w:spacing w:before="80" w:after="40"/>
      </w:pPr>
    </w:p>
    <w:p>
      <w:pPr>
        <w:spacing w:before="200" w:after="80"/>
      </w:pPr>
      <w:r>
        <w:rPr>
          <w:rFonts w:ascii="Arial" w:cs="Arial" w:eastAsia="Arial" w:hAnsi="Arial"/>
          <w:b/>
          <w:bCs/>
          <w:color w:val="1A6EA8"/>
          <w:sz w:val="24"/>
          <w:szCs w:val="24"/>
        </w:rPr>
        <w:t xml:space="preserve">3. Fake Breakout (FK marker)</w:t>
      </w:r>
    </w:p>
    <w:p>
      <w:pPr>
        <w:spacing w:before="60" w:after="80"/>
      </w:pPr>
      <w:r>
        <w:rPr>
          <w:rFonts w:ascii="Arial" w:cs="Arial" w:eastAsia="Arial" w:hAnsi="Arial"/>
          <w:color w:val="1A1A2E"/>
          <w:sz w:val="22"/>
          <w:szCs w:val="22"/>
        </w:rPr>
        <w:t xml:space="preserve">Identified when price breaks a recent 10-bar high or low on below-average volume. Real breakouts need volume confirmation. A breakout on low volume is a trap — institutional selling into the breakout, not buying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TRADE RULE</w:t>
            </w:r>
          </w:p>
        </w:tc>
      </w:tr>
      <w:tr>
        <w:tc>
          <w:tcPr>
            <w:tcW w:type="dxa" w:w="9360"/>
            <w:tcBorders>
              <w:top w:val="single" w:color="AECAD6" w:sz="4"/>
              <w:left w:val="single" w:color="AECAD6" w:sz="4"/>
              <w:bottom w:val="single" w:color="AECAD6" w:sz="4"/>
              <w:right w:val="single" w:color="AECAD6" w:sz="4"/>
            </w:tcBorders>
            <w:shd w:fill="FFF3CD"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How to trade it: When you see FK above a breakout candle, that is a fade signal. If a SHORT signal fires simultaneously with an FK marker, this is the confirmation. The fake breakout will typically retrace 50-100% of the move within 2-4 bars.</w:t>
            </w:r>
          </w:p>
        </w:tc>
      </w:tr>
    </w:tbl>
    <w:p>
      <w:pPr>
        <w:spacing w:before="80" w:after="40"/>
      </w:pPr>
    </w:p>
    <w:p>
      <w:pPr>
        <w:spacing w:before="200" w:after="80"/>
      </w:pPr>
      <w:r>
        <w:rPr>
          <w:rFonts w:ascii="Arial" w:cs="Arial" w:eastAsia="Arial" w:hAnsi="Arial"/>
          <w:b/>
          <w:bCs/>
          <w:color w:val="1A6EA8"/>
          <w:sz w:val="24"/>
          <w:szCs w:val="24"/>
        </w:rPr>
        <w:t xml:space="preserve">4. Wyckoff Spring / Upthrust (W+ / W- markers)</w:t>
      </w:r>
    </w:p>
    <w:p>
      <w:pPr>
        <w:spacing w:before="60" w:after="80"/>
      </w:pPr>
      <w:r>
        <w:rPr>
          <w:rFonts w:ascii="Arial" w:cs="Arial" w:eastAsia="Arial" w:hAnsi="Arial"/>
          <w:color w:val="1A1A2E"/>
          <w:sz w:val="22"/>
          <w:szCs w:val="22"/>
        </w:rPr>
        <w:t xml:space="preserve">The Spring is a brief push below a well-defined support zone on high volume that snaps back above immediately — the signature of Wyckoff accumulation. The Upthrust is the mirror: a push above resistance that fails. Both are high-probability reversal setups when confirmed by the signal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0A86B" w:val="clear"/>
            <w:tcMar>
              <w:top w:type="dxa" w:w="80"/>
              <w:left w:type="dxa" w:w="160"/>
              <w:bottom w:type="dxa" w:w="80"/>
              <w:right w:type="dxa" w:w="160"/>
            </w:tcMar>
          </w:tcPr>
          <w:p>
            <w:r>
              <w:rPr>
                <w:rFonts w:ascii="Arial" w:cs="Arial" w:eastAsia="Arial" w:hAnsi="Arial"/>
                <w:b/>
                <w:bCs/>
                <w:color w:val="FFFFFF"/>
                <w:sz w:val="22"/>
                <w:szCs w:val="22"/>
              </w:rPr>
              <w:t xml:space="preserve">TRADE RULE</w:t>
            </w:r>
          </w:p>
        </w:tc>
      </w:tr>
      <w:tr>
        <w:tc>
          <w:tcPr>
            <w:tcW w:type="dxa" w:w="9360"/>
            <w:tcBorders>
              <w:top w:val="single" w:color="AECAD6" w:sz="4"/>
              <w:left w:val="single" w:color="AECAD6" w:sz="4"/>
              <w:bottom w:val="single" w:color="AECAD6" w:sz="4"/>
              <w:right w:val="single" w:color="AECAD6" w:sz="4"/>
            </w:tcBorders>
            <w:shd w:fill="D5F0E0"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How to trade it: A Spring + LONG signal = maximum confidence long entry. A Upthrust + SHORT signal = maximum confidence short entry. These are the rarest but highest-probability setups. Target TP2 and TP3 aggressively. Consider adding to position after TP1 is reached if price consolidates.</w:t>
            </w:r>
          </w:p>
        </w:tc>
      </w:tr>
    </w:tbl>
    <w:p>
      <w:pPr>
        <w:spacing w:before="80" w:after="40"/>
      </w:pPr>
    </w:p>
    <w:p>
      <w:pPr>
        <w:spacing w:before="200" w:after="80"/>
      </w:pPr>
      <w:r>
        <w:rPr>
          <w:rFonts w:ascii="Arial" w:cs="Arial" w:eastAsia="Arial" w:hAnsi="Arial"/>
          <w:b/>
          <w:bCs/>
          <w:color w:val="1A6EA8"/>
          <w:sz w:val="24"/>
          <w:szCs w:val="24"/>
        </w:rPr>
        <w:t xml:space="preserve">5. Clean (no manipulation marker)</w:t>
      </w:r>
    </w:p>
    <w:p>
      <w:pPr>
        <w:spacing w:before="60" w:after="80"/>
      </w:pPr>
      <w:r>
        <w:rPr>
          <w:rFonts w:ascii="Arial" w:cs="Arial" w:eastAsia="Arial" w:hAnsi="Arial"/>
          <w:color w:val="1A1A2E"/>
          <w:sz w:val="22"/>
          <w:szCs w:val="22"/>
        </w:rPr>
        <w:t xml:space="preserve">When no manipulation is detected, the signal relies purely on technical confluence (EMA, RSI, VWAP, OB). These are valid B/C tier setups but lack the extra edge that manipulation confirmation provides. Trade these at reduced size targeting TP1 only.</w:t>
      </w:r>
    </w:p>
    <w:p>
      <w:pPr>
        <w:spacing w:before="120" w:after="80"/>
      </w:pPr>
    </w:p>
    <w:p>
      <w:pPr>
        <w:spacing w:before="200" w:after="80"/>
      </w:pPr>
      <w:r>
        <w:rPr>
          <w:rFonts w:ascii="Arial" w:cs="Arial" w:eastAsia="Arial" w:hAnsi="Arial"/>
          <w:b/>
          <w:bCs/>
          <w:color w:val="1A6EA8"/>
          <w:sz w:val="24"/>
          <w:szCs w:val="24"/>
        </w:rPr>
        <w:t xml:space="preserve">The Manipulation Filter Workflow</w:t>
      </w:r>
    </w:p>
    <w:p>
      <w:pPr>
        <w:spacing w:before="60" w:after="80"/>
      </w:pPr>
      <w:r>
        <w:rPr>
          <w:rFonts w:ascii="Arial" w:cs="Arial" w:eastAsia="Arial" w:hAnsi="Arial"/>
          <w:color w:val="1A1A2E"/>
          <w:sz w:val="22"/>
          <w:szCs w:val="22"/>
        </w:rPr>
        <w:t xml:space="preserve">Before taking any signal, run through this 30-second mental checklist:</w:t>
      </w:r>
    </w:p>
    <w:p>
      <w:pPr>
        <w:pStyle w:val="ListParagraph"/>
        <w:numPr>
          <w:ilvl w:val="0"/>
          <w:numId w:val="3"/>
        </w:numPr>
        <w:spacing w:before="40" w:after="60"/>
      </w:pPr>
      <w:r>
        <w:rPr>
          <w:rFonts w:ascii="Arial" w:cs="Arial" w:eastAsia="Arial" w:hAnsi="Arial"/>
          <w:color w:val="1A1A2E"/>
          <w:sz w:val="22"/>
          <w:szCs w:val="22"/>
        </w:rPr>
        <w:t xml:space="preserve">Check the Manip field in the signal label. Is it Stop Hunt, Liq Sweep, or Wyckoff? Yes = upgrade to higher tier.</w:t>
      </w:r>
    </w:p>
    <w:p>
      <w:pPr>
        <w:pStyle w:val="ListParagraph"/>
        <w:numPr>
          <w:ilvl w:val="0"/>
          <w:numId w:val="3"/>
        </w:numPr>
        <w:spacing w:before="40" w:after="60"/>
      </w:pPr>
      <w:r>
        <w:rPr>
          <w:rFonts w:ascii="Arial" w:cs="Arial" w:eastAsia="Arial" w:hAnsi="Arial"/>
          <w:color w:val="1A1A2E"/>
          <w:sz w:val="22"/>
          <w:szCs w:val="22"/>
        </w:rPr>
        <w:t xml:space="preserve">Check the dashboard — is Manipulation showing None or a specific pattern? None = rely more on probability score.</w:t>
      </w:r>
    </w:p>
    <w:p>
      <w:pPr>
        <w:pStyle w:val="ListParagraph"/>
        <w:numPr>
          <w:ilvl w:val="0"/>
          <w:numId w:val="3"/>
        </w:numPr>
        <w:spacing w:before="40" w:after="60"/>
      </w:pPr>
      <w:r>
        <w:rPr>
          <w:rFonts w:ascii="Arial" w:cs="Arial" w:eastAsia="Arial" w:hAnsi="Arial"/>
          <w:color w:val="1A1A2E"/>
          <w:sz w:val="22"/>
          <w:szCs w:val="22"/>
        </w:rPr>
        <w:t xml:space="preserve">Look at the chart — are there SW or SH markers on or near the signal bar? Multiple markers in the same area = very high conviction.</w:t>
      </w:r>
    </w:p>
    <w:p>
      <w:pPr>
        <w:pStyle w:val="ListParagraph"/>
        <w:numPr>
          <w:ilvl w:val="0"/>
          <w:numId w:val="3"/>
        </w:numPr>
        <w:spacing w:before="40" w:after="60"/>
      </w:pPr>
      <w:r>
        <w:rPr>
          <w:rFonts w:ascii="Arial" w:cs="Arial" w:eastAsia="Arial" w:hAnsi="Arial"/>
          <w:color w:val="1A1A2E"/>
          <w:sz w:val="22"/>
          <w:szCs w:val="22"/>
        </w:rPr>
        <w:t xml:space="preserve">Check if a FK (fake breakout) marker fired on the opposite side just before the signal. A fake break up followed by a SHORT signal is a textbook high-probability setup.</w:t>
      </w:r>
    </w:p>
    <w:p>
      <w:pPr>
        <w:pStyle w:val="ListParagraph"/>
        <w:numPr>
          <w:ilvl w:val="0"/>
          <w:numId w:val="3"/>
        </w:numPr>
        <w:spacing w:before="40" w:after="60"/>
      </w:pPr>
      <w:r>
        <w:rPr>
          <w:rFonts w:ascii="Arial" w:cs="Arial" w:eastAsia="Arial" w:hAnsi="Arial"/>
          <w:color w:val="1A1A2E"/>
          <w:sz w:val="22"/>
          <w:szCs w:val="22"/>
        </w:rPr>
        <w:t xml:space="preserve">If manipulation is Clean and Win Prob is below 60%, treat as C-tier — TP1 target only, 30-40% position size.</w:t>
      </w:r>
    </w:p>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5 — Risk Management Protocol</w:t>
      </w:r>
    </w:p>
    <w:p>
      <w:pPr>
        <w:pBdr>
          <w:bottom w:val="single" w:color="1A6EA8" w:sz="6" w:space="1"/>
        </w:pBdr>
      </w:pPr>
    </w:p>
    <w:p>
      <w:pPr>
        <w:spacing w:before="60" w:after="60"/>
      </w:pPr>
    </w:p>
    <w:p>
      <w:pPr>
        <w:spacing w:before="200" w:after="80"/>
      </w:pPr>
      <w:r>
        <w:rPr>
          <w:rFonts w:ascii="Arial" w:cs="Arial" w:eastAsia="Arial" w:hAnsi="Arial"/>
          <w:b/>
          <w:bCs/>
          <w:color w:val="1A6EA8"/>
          <w:sz w:val="24"/>
          <w:szCs w:val="24"/>
        </w:rPr>
        <w:t xml:space="preserve">The 2% Rule — Non-Negotiable</w:t>
      </w:r>
    </w:p>
    <w:p>
      <w:pPr>
        <w:spacing w:before="60" w:after="80"/>
      </w:pPr>
      <w:r>
        <w:rPr>
          <w:rFonts w:ascii="Arial" w:cs="Arial" w:eastAsia="Arial" w:hAnsi="Arial"/>
          <w:color w:val="1A1A2E"/>
          <w:sz w:val="22"/>
          <w:szCs w:val="22"/>
        </w:rPr>
        <w:t xml:space="preserve">Never risk more than 2% of your total account on any single signal. This applies regardless of how high the win probability is. Calculate position size as: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D1F30" w:val="clear"/>
            <w:tcMar>
              <w:top w:type="dxa" w:w="80"/>
              <w:left w:type="dxa" w:w="160"/>
              <w:bottom w:type="dxa" w:w="80"/>
              <w:right w:type="dxa" w:w="160"/>
            </w:tcMar>
          </w:tcPr>
          <w:p>
            <w:r>
              <w:rPr>
                <w:rFonts w:ascii="Arial" w:cs="Arial" w:eastAsia="Arial" w:hAnsi="Arial"/>
                <w:b/>
                <w:bCs/>
                <w:color w:val="FFFFFF"/>
                <w:sz w:val="22"/>
                <w:szCs w:val="22"/>
              </w:rPr>
              <w:t xml:space="preserve">POSITION SIZING FORMULA</w:t>
            </w:r>
          </w:p>
        </w:tc>
      </w:tr>
      <w:tr>
        <w:tc>
          <w:tcPr>
            <w:tcW w:type="dxa" w:w="9360"/>
            <w:tcBorders>
              <w:top w:val="single" w:color="AECAD6" w:sz="4"/>
              <w:left w:val="single" w:color="AECAD6" w:sz="4"/>
              <w:bottom w:val="single" w:color="AECAD6" w:sz="4"/>
              <w:right w:val="single" w:color="AECAD6" w:sz="4"/>
            </w:tcBorders>
            <w:shd w:fill="F0F4F8"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Position Size = (Account Balance × 0.02) ÷ (Entry Price − Stop Loss Price)
Example: $10,000 account, BTC entry at $67,000, SL at $65,800 (difference = $1,200). Max position = ($10,000 × 0.02) ÷ $1,200 = 0.167 BTC. This caps your loss at $200 regardless of outcome.</w:t>
            </w:r>
          </w:p>
        </w:tc>
      </w:tr>
    </w:tbl>
    <w:p>
      <w:pPr>
        <w:spacing w:before="120" w:after="80"/>
      </w:pPr>
    </w:p>
    <w:p>
      <w:pPr>
        <w:spacing w:before="200" w:after="80"/>
      </w:pPr>
      <w:r>
        <w:rPr>
          <w:rFonts w:ascii="Arial" w:cs="Arial" w:eastAsia="Arial" w:hAnsi="Arial"/>
          <w:b/>
          <w:bCs/>
          <w:color w:val="1A6EA8"/>
          <w:sz w:val="24"/>
          <w:szCs w:val="24"/>
        </w:rPr>
        <w:t xml:space="preserve">The Three-Part Exit Strategy</w:t>
      </w:r>
    </w:p>
    <w:p>
      <w:pPr>
        <w:spacing w:before="60" w:after="80"/>
      </w:pPr>
      <w:r>
        <w:rPr>
          <w:rFonts w:ascii="Arial" w:cs="Arial" w:eastAsia="Arial" w:hAnsi="Arial"/>
          <w:color w:val="1A1A2E"/>
          <w:sz w:val="22"/>
          <w:szCs w:val="22"/>
        </w:rPr>
        <w:t xml:space="preserve">This is the single most important way to increase profitability beyond raw win rate. Never exit your entire position at one target.</w:t>
      </w:r>
    </w:p>
    <w:p>
      <w:pPr>
        <w:pStyle w:val="ListParagraph"/>
        <w:numPr>
          <w:ilvl w:val="0"/>
          <w:numId w:val="2"/>
        </w:numPr>
        <w:spacing w:before="40" w:after="60"/>
      </w:pPr>
      <w:r>
        <w:rPr>
          <w:rFonts w:ascii="Arial" w:cs="Arial" w:eastAsia="Arial" w:hAnsi="Arial"/>
          <w:b/>
          <w:bCs/>
          <w:color w:val="1A1A2E"/>
          <w:sz w:val="22"/>
          <w:szCs w:val="22"/>
        </w:rPr>
        <w:t xml:space="preserve">Part 1 — 50% at TP1 (1.4x ATR): </w:t>
      </w:r>
      <w:r>
        <w:rPr>
          <w:rFonts w:ascii="Arial" w:cs="Arial" w:eastAsia="Arial" w:hAnsi="Arial"/>
          <w:color w:val="1A1A2E"/>
          <w:sz w:val="22"/>
          <w:szCs w:val="22"/>
        </w:rPr>
        <w:t xml:space="preserve">Secure profit immediately. This ensures the trade is profitable even if price reverses before TP2. After TP1 hits, move SL to break-even on the remaining position — you now have a risk-free trade running.</w:t>
      </w:r>
    </w:p>
    <w:p>
      <w:pPr>
        <w:pStyle w:val="ListParagraph"/>
        <w:numPr>
          <w:ilvl w:val="0"/>
          <w:numId w:val="2"/>
        </w:numPr>
        <w:spacing w:before="40" w:after="60"/>
      </w:pPr>
      <w:r>
        <w:rPr>
          <w:rFonts w:ascii="Arial" w:cs="Arial" w:eastAsia="Arial" w:hAnsi="Arial"/>
          <w:b/>
          <w:bCs/>
          <w:color w:val="1A1A2E"/>
          <w:sz w:val="22"/>
          <w:szCs w:val="22"/>
        </w:rPr>
        <w:t xml:space="preserve">Part 2 — 30% at TP2 (2.8x ATR): </w:t>
      </w:r>
      <w:r>
        <w:rPr>
          <w:rFonts w:ascii="Arial" w:cs="Arial" w:eastAsia="Arial" w:hAnsi="Arial"/>
          <w:color w:val="1A1A2E"/>
          <w:sz w:val="22"/>
          <w:szCs w:val="22"/>
        </w:rPr>
        <w:t xml:space="preserve">Let the trend run. This is where most of your edge compounds. Tighten SL to just below/above the 50% retracement of the TP1-to-TP2 move to protect against reversal.</w:t>
      </w:r>
    </w:p>
    <w:p>
      <w:pPr>
        <w:pStyle w:val="ListParagraph"/>
        <w:numPr>
          <w:ilvl w:val="0"/>
          <w:numId w:val="2"/>
        </w:numPr>
        <w:spacing w:before="40" w:after="60"/>
      </w:pPr>
      <w:r>
        <w:rPr>
          <w:rFonts w:ascii="Arial" w:cs="Arial" w:eastAsia="Arial" w:hAnsi="Arial"/>
          <w:b/>
          <w:bCs/>
          <w:color w:val="1A1A2E"/>
          <w:sz w:val="22"/>
          <w:szCs w:val="22"/>
        </w:rPr>
        <w:t xml:space="preserve">Part 3 — 20% runner to TP3 (4.5x ATR): </w:t>
      </w:r>
      <w:r>
        <w:rPr>
          <w:rFonts w:ascii="Arial" w:cs="Arial" w:eastAsia="Arial" w:hAnsi="Arial"/>
          <w:color w:val="1A1A2E"/>
          <w:sz w:val="22"/>
          <w:szCs w:val="22"/>
        </w:rPr>
        <w:t xml:space="preserve">The outlier capture. These only hit on strong trending days but when they do, they significantly boost overall R. Move SL to TP1 level after TP2 hits.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CRITICAL RULE — Break-Even Stop</w:t>
            </w:r>
          </w:p>
        </w:tc>
      </w:tr>
      <w:tr>
        <w:tc>
          <w:tcPr>
            <w:tcW w:type="dxa" w:w="9360"/>
            <w:tcBorders>
              <w:top w:val="single" w:color="AECAD6" w:sz="4"/>
              <w:left w:val="single" w:color="AECAD6" w:sz="4"/>
              <w:bottom w:val="single" w:color="AECAD6" w:sz="4"/>
              <w:right w:val="single" w:color="AECAD6" w:sz="4"/>
            </w:tcBorders>
            <w:shd w:fill="FFF3CD"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After TP1 is hit: Move SL to break-even immediately. This is mandatory. You have now locked in a minimum 0R trade (cannot lose). This single rule eliminates the painful scenario of a winning trade becoming a loser.</w:t>
            </w:r>
          </w:p>
        </w:tc>
      </w:tr>
    </w:tbl>
    <w:p>
      <w:pPr>
        <w:spacing w:before="120" w:after="80"/>
      </w:pPr>
    </w:p>
    <w:p>
      <w:pPr>
        <w:spacing w:before="200" w:after="80"/>
      </w:pPr>
      <w:r>
        <w:rPr>
          <w:rFonts w:ascii="Arial" w:cs="Arial" w:eastAsia="Arial" w:hAnsi="Arial"/>
          <w:b/>
          <w:bCs/>
          <w:color w:val="1A6EA8"/>
          <w:sz w:val="24"/>
          <w:szCs w:val="24"/>
        </w:rPr>
        <w:t xml:space="preserve">Daily Loss Limit</w:t>
      </w:r>
    </w:p>
    <w:p>
      <w:pPr>
        <w:spacing w:before="60" w:after="80"/>
      </w:pPr>
      <w:r>
        <w:rPr>
          <w:rFonts w:ascii="Arial" w:cs="Arial" w:eastAsia="Arial" w:hAnsi="Arial"/>
          <w:color w:val="1A1A2E"/>
          <w:sz w:val="22"/>
          <w:szCs w:val="22"/>
        </w:rPr>
        <w:t xml:space="preserve">Set a hard daily stop loss of 4% of account balance. If you lose 4% in a day, close the platform and do not trade again until the next session. Revenge trading after losses is the fastest way to turn a good strategy into a losing one.</w:t>
      </w:r>
    </w:p>
    <w:p>
      <w:pPr>
        <w:spacing w:before="200" w:after="80"/>
      </w:pPr>
      <w:r>
        <w:rPr>
          <w:rFonts w:ascii="Arial" w:cs="Arial" w:eastAsia="Arial" w:hAnsi="Arial"/>
          <w:b/>
          <w:bCs/>
          <w:color w:val="1A6EA8"/>
          <w:sz w:val="24"/>
          <w:szCs w:val="24"/>
        </w:rPr>
        <w:t xml:space="preserve">Weekly Performance Review</w:t>
      </w:r>
    </w:p>
    <w:p>
      <w:pPr>
        <w:spacing w:before="60" w:after="80"/>
      </w:pPr>
      <w:r>
        <w:rPr>
          <w:rFonts w:ascii="Arial" w:cs="Arial" w:eastAsia="Arial" w:hAnsi="Arial"/>
          <w:color w:val="1A1A2E"/>
          <w:sz w:val="22"/>
          <w:szCs w:val="22"/>
        </w:rPr>
        <w:t xml:space="preserve">Use the SIGNAL STATS table in the bottom-right corner to review weekly. Track:</w:t>
      </w:r>
    </w:p>
    <w:p>
      <w:pPr>
        <w:pStyle w:val="ListParagraph"/>
        <w:numPr>
          <w:ilvl w:val="0"/>
          <w:numId w:val="2"/>
        </w:numPr>
        <w:spacing w:before="40" w:after="60"/>
      </w:pPr>
      <w:r>
        <w:rPr>
          <w:rFonts w:ascii="Arial" w:cs="Arial" w:eastAsia="Arial" w:hAnsi="Arial"/>
          <w:color w:val="1A1A2E"/>
          <w:sz w:val="22"/>
          <w:szCs w:val="22"/>
        </w:rPr>
        <w:t xml:space="preserve">Win Rate trending up or down over 20+ signal sample</w:t>
      </w:r>
    </w:p>
    <w:p>
      <w:pPr>
        <w:pStyle w:val="ListParagraph"/>
        <w:numPr>
          <w:ilvl w:val="0"/>
          <w:numId w:val="2"/>
        </w:numPr>
        <w:spacing w:before="40" w:after="60"/>
      </w:pPr>
      <w:r>
        <w:rPr>
          <w:rFonts w:ascii="Arial" w:cs="Arial" w:eastAsia="Arial" w:hAnsi="Arial"/>
          <w:color w:val="1A1A2E"/>
          <w:sz w:val="22"/>
          <w:szCs w:val="22"/>
        </w:rPr>
        <w:t xml:space="preserve">Ratio of Long vs Short signals — heavy skew in one direction may indicate you are trading against macro trend</w:t>
      </w:r>
    </w:p>
    <w:p>
      <w:pPr>
        <w:pStyle w:val="ListParagraph"/>
        <w:numPr>
          <w:ilvl w:val="0"/>
          <w:numId w:val="2"/>
        </w:numPr>
        <w:spacing w:before="40" w:after="60"/>
      </w:pPr>
      <w:r>
        <w:rPr>
          <w:rFonts w:ascii="Arial" w:cs="Arial" w:eastAsia="Arial" w:hAnsi="Arial"/>
          <w:color w:val="1A1A2E"/>
          <w:sz w:val="22"/>
          <w:szCs w:val="22"/>
        </w:rPr>
        <w:t xml:space="preserve">Open / Pending signals — more than 3 open simultaneously means correlated risk</w:t>
      </w:r>
    </w:p>
    <w:p>
      <w:pPr>
        <w:pStyle w:val="ListParagraph"/>
        <w:numPr>
          <w:ilvl w:val="0"/>
          <w:numId w:val="2"/>
        </w:numPr>
        <w:spacing w:before="40" w:after="60"/>
      </w:pPr>
      <w:r>
        <w:rPr>
          <w:rFonts w:ascii="Arial" w:cs="Arial" w:eastAsia="Arial" w:hAnsi="Arial"/>
          <w:color w:val="1A1A2E"/>
          <w:sz w:val="22"/>
          <w:szCs w:val="22"/>
        </w:rPr>
        <w:t xml:space="preserve">If win rate drops below 45% over a 10-signal sample, reduce Min Win Probability by 5 points or widen the probe session timing</w:t>
      </w:r>
    </w:p>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6 — Higher Timeframe Confluence (The Missing Edge)</w:t>
      </w:r>
    </w:p>
    <w:p>
      <w:pPr>
        <w:pBdr>
          <w:bottom w:val="single" w:color="1A6EA8" w:sz="6" w:space="1"/>
        </w:pBdr>
      </w:pPr>
    </w:p>
    <w:p>
      <w:pPr>
        <w:spacing w:before="60" w:after="60"/>
      </w:pPr>
    </w:p>
    <w:p>
      <w:pPr>
        <w:spacing w:before="60" w:after="80"/>
      </w:pPr>
      <w:r>
        <w:rPr>
          <w:rFonts w:ascii="Arial" w:cs="Arial" w:eastAsia="Arial" w:hAnsi="Arial"/>
          <w:color w:val="1A1A2E"/>
          <w:sz w:val="22"/>
          <w:szCs w:val="22"/>
        </w:rPr>
        <w:t xml:space="preserve">This is the single biggest upgrade you can make to this indicator's win rate. The indicator runs entirely on 1H data. Adding D1 and 4H bias as a manual filter before taking signals will improve win rate by an estimated 8-15 percentage points based on institutional SMC backtest data.</w:t>
      </w:r>
    </w:p>
    <w:p>
      <w:pPr>
        <w:spacing w:before="80" w:after="60"/>
      </w:pPr>
    </w:p>
    <w:p>
      <w:pPr>
        <w:spacing w:before="200" w:after="80"/>
      </w:pPr>
      <w:r>
        <w:rPr>
          <w:rFonts w:ascii="Arial" w:cs="Arial" w:eastAsia="Arial" w:hAnsi="Arial"/>
          <w:b/>
          <w:bCs/>
          <w:color w:val="1A6EA8"/>
          <w:sz w:val="24"/>
          <w:szCs w:val="24"/>
        </w:rPr>
        <w:t xml:space="preserve">The HTF Bias Filter — Step by Step</w:t>
      </w:r>
    </w:p>
    <w:p>
      <w:pPr>
        <w:pStyle w:val="ListParagraph"/>
        <w:numPr>
          <w:ilvl w:val="0"/>
          <w:numId w:val="3"/>
        </w:numPr>
        <w:spacing w:before="40" w:after="60"/>
      </w:pPr>
      <w:r>
        <w:rPr>
          <w:rFonts w:ascii="Arial" w:cs="Arial" w:eastAsia="Arial" w:hAnsi="Arial"/>
          <w:b/>
          <w:bCs/>
          <w:color w:val="1A1A2E"/>
          <w:sz w:val="22"/>
          <w:szCs w:val="22"/>
        </w:rPr>
        <w:t xml:space="preserve">Open D1 chart: </w:t>
      </w:r>
      <w:r>
        <w:rPr>
          <w:rFonts w:ascii="Arial" w:cs="Arial" w:eastAsia="Arial" w:hAnsi="Arial"/>
          <w:color w:val="1A1A2E"/>
          <w:sz w:val="22"/>
          <w:szCs w:val="22"/>
        </w:rPr>
        <w:t xml:space="preserve">Check where price is relative to the D1 EMA 21 and D1 EMA 50. If price is above both = bullish daily bias. Below both = bearish daily bias. Between them = neutral/ranging.</w:t>
      </w:r>
    </w:p>
    <w:p>
      <w:pPr>
        <w:pStyle w:val="ListParagraph"/>
        <w:numPr>
          <w:ilvl w:val="0"/>
          <w:numId w:val="3"/>
        </w:numPr>
        <w:spacing w:before="40" w:after="60"/>
      </w:pPr>
      <w:r>
        <w:rPr>
          <w:rFonts w:ascii="Arial" w:cs="Arial" w:eastAsia="Arial" w:hAnsi="Arial"/>
          <w:b/>
          <w:bCs/>
          <w:color w:val="1A1A2E"/>
          <w:sz w:val="22"/>
          <w:szCs w:val="22"/>
        </w:rPr>
        <w:t xml:space="preserve">Note D1 liquidity pools: </w:t>
      </w:r>
      <w:r>
        <w:rPr>
          <w:rFonts w:ascii="Arial" w:cs="Arial" w:eastAsia="Arial" w:hAnsi="Arial"/>
          <w:color w:val="1A1A2E"/>
          <w:sz w:val="22"/>
          <w:szCs w:val="22"/>
        </w:rPr>
        <w:t xml:space="preserve">Find the last untested D1 swing high (sell-side target) and last untested D1 swing low (buy-side target). These are the major magnets that determine daily direction.</w:t>
      </w:r>
    </w:p>
    <w:p>
      <w:pPr>
        <w:pStyle w:val="ListParagraph"/>
        <w:numPr>
          <w:ilvl w:val="0"/>
          <w:numId w:val="3"/>
        </w:numPr>
        <w:spacing w:before="40" w:after="60"/>
      </w:pPr>
      <w:r>
        <w:rPr>
          <w:rFonts w:ascii="Arial" w:cs="Arial" w:eastAsia="Arial" w:hAnsi="Arial"/>
          <w:b/>
          <w:bCs/>
          <w:color w:val="1A1A2E"/>
          <w:sz w:val="22"/>
          <w:szCs w:val="22"/>
        </w:rPr>
        <w:t xml:space="preserve">Check 4H structure: </w:t>
      </w:r>
      <w:r>
        <w:rPr>
          <w:rFonts w:ascii="Arial" w:cs="Arial" w:eastAsia="Arial" w:hAnsi="Arial"/>
          <w:color w:val="1A1A2E"/>
          <w:sz w:val="22"/>
          <w:szCs w:val="22"/>
        </w:rPr>
        <w:t xml:space="preserve">Is 4H making higher highs and higher lows (bullish) or lower highs and lower lows (bearish)? This confirms or rejects the D1 bias.</w:t>
      </w:r>
    </w:p>
    <w:p>
      <w:pPr>
        <w:pStyle w:val="ListParagraph"/>
        <w:numPr>
          <w:ilvl w:val="0"/>
          <w:numId w:val="3"/>
        </w:numPr>
        <w:spacing w:before="40" w:after="60"/>
      </w:pPr>
      <w:r>
        <w:rPr>
          <w:rFonts w:ascii="Arial" w:cs="Arial" w:eastAsia="Arial" w:hAnsi="Arial"/>
          <w:b/>
          <w:bCs/>
          <w:color w:val="1A1A2E"/>
          <w:sz w:val="22"/>
          <w:szCs w:val="22"/>
        </w:rPr>
        <w:t xml:space="preserve">Apply the filter to 1H signals: </w:t>
      </w:r>
      <w:r>
        <w:rPr>
          <w:rFonts w:ascii="Arial" w:cs="Arial" w:eastAsia="Arial" w:hAnsi="Arial"/>
          <w:color w:val="1A1A2E"/>
          <w:sz w:val="22"/>
          <w:szCs w:val="22"/>
        </w:rPr>
        <w:t xml:space="preserve">If D1 + 4H = bullish, only take 1H LONG signals. Skip SHORT signals or trade them at 25% size max. Vice versa for bearish. In neutral/ranging, take both directions but target TP1 only.</w:t>
      </w:r>
    </w:p>
    <w:p>
      <w:pPr>
        <w:pStyle w:val="ListParagraph"/>
        <w:numPr>
          <w:ilvl w:val="0"/>
          <w:numId w:val="3"/>
        </w:numPr>
        <w:spacing w:before="40" w:after="60"/>
      </w:pPr>
      <w:r>
        <w:rPr>
          <w:rFonts w:ascii="Arial" w:cs="Arial" w:eastAsia="Arial" w:hAnsi="Arial"/>
          <w:b/>
          <w:bCs/>
          <w:color w:val="1A1A2E"/>
          <w:sz w:val="22"/>
          <w:szCs w:val="22"/>
        </w:rPr>
        <w:t xml:space="preserve">Override condition: </w:t>
      </w:r>
      <w:r>
        <w:rPr>
          <w:rFonts w:ascii="Arial" w:cs="Arial" w:eastAsia="Arial" w:hAnsi="Arial"/>
          <w:color w:val="1A1A2E"/>
          <w:sz w:val="22"/>
          <w:szCs w:val="22"/>
        </w:rPr>
        <w:t xml:space="preserve">If a MAJOR D1-level liquidity sweep occurs on the 1H chart (price sweeps a D1 swing low and reverses), the HTF filter can be overridden for that single signal — the sweep itself establishes the new bias.</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1A6EA8" w:val="clear"/>
            <w:tcMar>
              <w:top w:type="dxa" w:w="80"/>
              <w:left w:type="dxa" w:w="160"/>
              <w:bottom w:type="dxa" w:w="80"/>
              <w:right w:type="dxa" w:w="160"/>
            </w:tcMar>
          </w:tcPr>
          <w:p>
            <w:r>
              <w:rPr>
                <w:rFonts w:ascii="Arial" w:cs="Arial" w:eastAsia="Arial" w:hAnsi="Arial"/>
                <w:b/>
                <w:bCs/>
                <w:color w:val="FFFFFF"/>
                <w:sz w:val="22"/>
                <w:szCs w:val="22"/>
              </w:rPr>
              <w:t xml:space="preserve">PRO TIP — HTF Filter in Practice</w:t>
            </w:r>
          </w:p>
        </w:tc>
      </w:tr>
      <w:tr>
        <w:tc>
          <w:tcPr>
            <w:tcW w:type="dxa" w:w="9360"/>
            <w:tcBorders>
              <w:top w:val="single" w:color="AECAD6" w:sz="4"/>
              <w:left w:val="single" w:color="AECAD6" w:sz="4"/>
              <w:bottom w:val="single" w:color="AECAD6" w:sz="4"/>
              <w:right w:val="single" w:color="AECAD6" w:sz="4"/>
            </w:tcBorders>
            <w:shd w:fill="D6EAF8"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Real edge example: BTC D1 is bearish (below D1 EMA 21). The 1H indicator fires a LONG signal with 71% win probability and Stop Hunt detected. Without HTF filter: take the trade. With HTF filter: skip or take at 25% size. In backtesting, counter-trend signals on D1 bearish days have approximately 20% lower win rates than trend-aligned signals. The HTF filter is the most powerful free upgrade available.</w:t>
            </w:r>
          </w:p>
        </w:tc>
      </w:tr>
    </w:tbl>
    <w:p>
      <w:pPr>
        <w:spacing w:before="160" w:after="80"/>
      </w:pPr>
    </w:p>
    <w:p>
      <w:pPr>
        <w:pStyle w:val="Heading2"/>
        <w:spacing w:before="280" w:after="100"/>
      </w:pPr>
      <w:r>
        <w:rPr>
          <w:rFonts w:ascii="Arial" w:cs="Arial" w:eastAsia="Arial" w:hAnsi="Arial"/>
          <w:b/>
          <w:bCs/>
          <w:color w:val="0D1F30"/>
          <w:sz w:val="28"/>
          <w:szCs w:val="28"/>
        </w:rPr>
        <w:t xml:space="preserve">CHAPTER 7 — Common Mistakes &amp; How to Avoid Them</w:t>
      </w:r>
    </w:p>
    <w:p>
      <w:pPr>
        <w:pBdr>
          <w:bottom w:val="single" w:color="1A6EA8" w:sz="6" w:space="1"/>
        </w:pBdr>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c>
          <w:tcPr>
            <w:tcW w:type="dxa" w:w="34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C0392B"/>
                <w:sz w:val="21"/>
                <w:szCs w:val="21"/>
              </w:rPr>
              <w:t xml:space="preserve">MISTAKE</w:t>
            </w:r>
          </w:p>
        </w:tc>
        <w:tc>
          <w:tcPr>
            <w:tcW w:type="dxa" w:w="296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C0392B"/>
                <w:sz w:val="21"/>
                <w:szCs w:val="21"/>
              </w:rPr>
              <w:t xml:space="preserve">WHY IT KILLS PROFITS</w:t>
            </w:r>
          </w:p>
        </w:tc>
        <w:tc>
          <w:tcPr>
            <w:tcW w:type="dxa" w:w="30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FIX</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Trading every signal regardless of quality</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D and forced signals drag down win rate significantly</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Apply the tier system strictly. Skip D-tier signals.</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Moving SL wider after entry</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Turns small losses into large losses. Breaks risk model entirely.</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SL is fixed at signal time. Only move it to break-even (tighter), never wider.</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Ignoring session timing</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Asian session signals hit SL 40% more often due to low volume choppy price action</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During Asian hours: trade TP1 only, use 25-50% size, or skip entirely.</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Not checking both Buy and Sell Liq %</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Taking a LONG when sell-side is almost equal to buy-side means indecision, not conviction</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Require 15+ point gap between buy and sell liq before entering.</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Trading major news events</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FOMC, CPI, major protocol events create instant ATR spikes that blow through all technical levels</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Close all positions 30 min before and 30 min after major macro releases.</w:t>
            </w:r>
          </w:p>
        </w:tc>
      </w:tr>
      <w:tr>
        <w:tc>
          <w:tcPr>
            <w:tcW w:type="dxa" w:w="3400"/>
            <w:tcBorders>
              <w:top w:val="single" w:color="AECAD6" w:sz="4"/>
              <w:left w:val="single" w:color="AECAD6" w:sz="4"/>
              <w:bottom w:val="single" w:color="AECAD6" w:sz="4"/>
              <w:right w:val="single" w:color="AECAD6" w:sz="4"/>
            </w:tcBorders>
            <w:tcMar>
              <w:top w:type="dxa" w:w="80"/>
              <w:left w:type="dxa" w:w="140"/>
              <w:bottom w:type="dxa" w:w="80"/>
              <w:right w:type="dxa" w:w="100"/>
            </w:tcMar>
          </w:tcPr>
          <w:p>
            <w:r>
              <w:rPr>
                <w:rFonts w:ascii="Arial" w:cs="Arial" w:eastAsia="Arial" w:hAnsi="Arial"/>
                <w:sz w:val="20"/>
                <w:szCs w:val="20"/>
              </w:rPr>
              <w:t xml:space="preserve">Exiting full position at TP1</w:t>
            </w:r>
          </w:p>
        </w:tc>
        <w:tc>
          <w:tcPr>
            <w:tcW w:type="dxa" w:w="2960"/>
            <w:tcBorders>
              <w:top w:val="single" w:color="AECAD6" w:sz="4"/>
              <w:left w:val="single" w:color="AECAD6" w:sz="4"/>
              <w:bottom w:val="single" w:color="AECAD6" w:sz="4"/>
              <w:right w:val="single" w:color="AECAD6" w:sz="4"/>
            </w:tcBorders>
            <w:shd w:fill="FAD7D7" w:val="clear"/>
            <w:tcMar>
              <w:top w:type="dxa" w:w="80"/>
              <w:left w:type="dxa" w:w="140"/>
              <w:bottom w:type="dxa" w:w="80"/>
              <w:right w:type="dxa" w:w="100"/>
            </w:tcMar>
          </w:tcPr>
          <w:p>
            <w:r>
              <w:rPr>
                <w:rFonts w:ascii="Arial" w:cs="Arial" w:eastAsia="Arial" w:hAnsi="Arial"/>
                <w:sz w:val="20"/>
                <w:szCs w:val="20"/>
              </w:rPr>
              <w:t xml:space="preserve">Leaves massive profit on the table on the 30% of trades that run to TP3</w:t>
            </w:r>
          </w:p>
        </w:tc>
        <w:tc>
          <w:tcPr>
            <w:tcW w:type="dxa" w:w="3000"/>
            <w:tcBorders>
              <w:top w:val="single" w:color="AECAD6" w:sz="4"/>
              <w:left w:val="single" w:color="AECAD6" w:sz="4"/>
              <w:bottom w:val="single" w:color="AECAD6" w:sz="4"/>
              <w:right w:val="single" w:color="AECAD6" w:sz="4"/>
            </w:tcBorders>
            <w:shd w:fill="D5F0E0" w:val="clear"/>
            <w:tcMar>
              <w:top w:type="dxa" w:w="80"/>
              <w:left w:type="dxa" w:w="140"/>
              <w:bottom w:type="dxa" w:w="80"/>
              <w:right w:type="dxa" w:w="100"/>
            </w:tcMar>
          </w:tcPr>
          <w:p>
            <w:r>
              <w:rPr>
                <w:rFonts w:ascii="Arial" w:cs="Arial" w:eastAsia="Arial" w:hAnsi="Arial"/>
                <w:sz w:val="20"/>
                <w:szCs w:val="20"/>
              </w:rPr>
              <w:t xml:space="preserve">Always follow the 50/30/20 split. Runners compound over weeks of trading.</w:t>
            </w:r>
          </w:p>
        </w:tc>
      </w:tr>
    </w:tbl>
    <w:p>
      <w:pPr>
        <w:spacing w:before="160" w:after="80"/>
      </w:pPr>
    </w:p>
    <w:p>
      <w:r>
        <w:br w:type="page"/>
      </w:r>
    </w:p>
    <w:p>
      <w:pPr>
        <w:pStyle w:val="Heading2"/>
        <w:spacing w:before="280" w:after="100"/>
      </w:pPr>
      <w:r>
        <w:rPr>
          <w:rFonts w:ascii="Arial" w:cs="Arial" w:eastAsia="Arial" w:hAnsi="Arial"/>
          <w:b/>
          <w:bCs/>
          <w:color w:val="0D1F30"/>
          <w:sz w:val="28"/>
          <w:szCs w:val="28"/>
        </w:rPr>
        <w:t xml:space="preserve">CHAPTER 8 — Optimisation Targets &amp; Expected Performance</w:t>
      </w:r>
    </w:p>
    <w:p>
      <w:pPr>
        <w:pBdr>
          <w:bottom w:val="single" w:color="1A6EA8" w:sz="6" w:space="1"/>
        </w:pBdr>
      </w:pPr>
    </w:p>
    <w:p>
      <w:pPr>
        <w:spacing w:before="60" w:after="60"/>
      </w:pPr>
    </w:p>
    <w:p>
      <w:pPr>
        <w:spacing w:before="200" w:after="80"/>
      </w:pPr>
      <w:r>
        <w:rPr>
          <w:rFonts w:ascii="Arial" w:cs="Arial" w:eastAsia="Arial" w:hAnsi="Arial"/>
          <w:b/>
          <w:bCs/>
          <w:color w:val="1A6EA8"/>
          <w:sz w:val="24"/>
          <w:szCs w:val="24"/>
        </w:rPr>
        <w:t xml:space="preserve">Realistic Performance Expectations</w:t>
      </w:r>
    </w:p>
    <w:p>
      <w:pPr>
        <w:spacing w:before="60" w:after="80"/>
      </w:pPr>
      <w:r>
        <w:rPr>
          <w:rFonts w:ascii="Arial" w:cs="Arial" w:eastAsia="Arial" w:hAnsi="Arial"/>
          <w:color w:val="1A1A2E"/>
          <w:sz w:val="22"/>
          <w:szCs w:val="22"/>
        </w:rPr>
        <w:t xml:space="preserve">Based on the indicator's design and the strategies it implements, here are realistic performance benchmarks when following this guide correctly: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METRIC</w:t>
            </w:r>
          </w:p>
        </w:tc>
        <w:tc>
          <w:tcPr>
            <w:tcW w:type="dxa" w:w="208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TARGET</w:t>
            </w:r>
          </w:p>
        </w:tc>
        <w:tc>
          <w:tcPr>
            <w:tcW w:type="dxa" w:w="4080"/>
            <w:tcBorders>
              <w:top w:val="single" w:color="AECAD6" w:sz="4"/>
              <w:left w:val="single" w:color="AECAD6" w:sz="4"/>
              <w:bottom w:val="single" w:color="AECAD6" w:sz="4"/>
              <w:right w:val="single" w:color="AECAD6" w:sz="4"/>
            </w:tcBorders>
            <w:shd w:fill="1A2F45" w:val="clear"/>
            <w:tcMar>
              <w:top w:type="dxa" w:w="80"/>
              <w:left w:type="dxa" w:w="140"/>
              <w:bottom w:type="dxa" w:w="80"/>
              <w:right w:type="dxa" w:w="100"/>
            </w:tcMar>
          </w:tcPr>
          <w:p>
            <w:r>
              <w:rPr>
                <w:rFonts w:ascii="Arial" w:cs="Arial" w:eastAsia="Arial" w:hAnsi="Arial"/>
                <w:b/>
                <w:bCs/>
                <w:color w:val="00A86B"/>
                <w:sz w:val="21"/>
                <w:szCs w:val="21"/>
              </w:rPr>
              <w:t xml:space="preserve">HOW TO ACHIEVE</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Apply tier system, session filter, and HTF bias. Trade A+ and B setups only."/>
                <w:bCs w:val="Apply tier system, session filter, and HTF bias. Trade A+ and B setups only."/>
                <w:color w:val="1A1A2E"/>
                <w:sz w:val="21"/>
                <w:szCs w:val="21"/>
              </w:rPr>
              <w:t xml:space="preserve">Win Rate (all signals)</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55-62%</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Stop Hunt/Sweep + 70%+ Win Prob + London or NY session only."/>
                <w:bCs w:val="Stop Hunt/Sweep + 70%+ Win Prob + London or NY session only."/>
                <w:color w:val="1A1A2E"/>
                <w:sz w:val="21"/>
                <w:szCs w:val="21"/>
              </w:rPr>
              <w:t xml:space="preserve">Win Rate (A+ signals only)</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65-72%</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Use 50/30/20 exit split religiously. Never exit all at TP1."/>
                <w:bCs w:val="Use 50/30/20 exit split religiously. Never exit all at TP1."/>
                <w:color w:val="1A1A2E"/>
                <w:sz w:val="21"/>
                <w:szCs w:val="21"/>
              </w:rPr>
              <w:t xml:space="preserve">Average R:R achieved</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1:2.1 to 1:2.8</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Default settings. Adjust Force Signal bars for more/fewer."/>
                <w:bCs w:val="Default settings. Adjust Force Signal bars for more/fewer."/>
                <w:color w:val="1A1A2E"/>
                <w:sz w:val="21"/>
                <w:szCs w:val="21"/>
              </w:rPr>
              <w:t xml:space="preserve">Signals per day (1H)</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2-4 per day</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2% risk per trade, 4% daily stop, skip D-tier signals."/>
                <w:bCs w:val="2% risk per trade, 4% daily stop, skip D-tier signals."/>
                <w:color w:val="1A1A2E"/>
                <w:sz w:val="21"/>
                <w:szCs w:val="21"/>
              </w:rPr>
              <w:t xml:space="preserve">Monthly drawdown limit</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&lt; 6%</w:t>
            </w:r>
          </w:p>
        </w:tc>
      </w:tr>
      <w:tr>
        <w:tc>
          <w:tcPr>
            <w:tcW w:type="dxa" w:w="3200"/>
            <w:tcBorders>
              <w:top w:val="single" w:color="AECAD6" w:sz="4"/>
              <w:left w:val="single" w:color="AECAD6" w:sz="4"/>
              <w:bottom w:val="single" w:color="AECAD6" w:sz="4"/>
              <w:right w:val="single" w:color="AECAD6" w:sz="4"/>
            </w:tcBorders>
            <w:shd w:fill="F0F4F8" w:val="clear"/>
            <w:tcMar>
              <w:top w:type="dxa" w:w="80"/>
              <w:left w:type="dxa" w:w="140"/>
              <w:bottom w:type="dxa" w:w="80"/>
              <w:right w:type="dxa" w:w="100"/>
            </w:tcMar>
          </w:tcPr>
          <w:p>
            <w:r>
              <w:rPr>
                <w:rFonts w:ascii="Arial" w:cs="Arial" w:eastAsia="Arial" w:hAnsi="Arial"/>
                <w:b w:val="With 2% risk and 1:2.5 R:R at 60% win rate on 3 signals/day."/>
                <w:bCs w:val="With 2% risk and 1:2.5 R:R at 60% win rate on 3 signals/day."/>
                <w:color w:val="1A1A2E"/>
                <w:sz w:val="21"/>
                <w:szCs w:val="21"/>
              </w:rPr>
              <w:t xml:space="preserve">Expected monthly return</w:t>
            </w:r>
          </w:p>
        </w:tc>
        <w:tc>
          <w:tcPr>
            <w:tcW w:type="dxa" w:w="6160"/>
            <w:tcBorders>
              <w:top w:val="single" w:color="AECAD6" w:sz="4"/>
              <w:left w:val="single" w:color="AECAD6" w:sz="4"/>
              <w:bottom w:val="single" w:color="AECAD6" w:sz="4"/>
              <w:right w:val="single" w:color="AECAD6" w:sz="4"/>
            </w:tcBorders>
            <w:shd w:fill="FFFFFF" w:val="clear"/>
            <w:tcMar>
              <w:top w:type="dxa" w:w="80"/>
              <w:left w:type="dxa" w:w="140"/>
              <w:bottom w:type="dxa" w:w="80"/>
              <w:right w:type="dxa" w:w="100"/>
            </w:tcMar>
          </w:tcPr>
          <w:p>
            <w:r>
              <w:rPr>
                <w:rFonts w:ascii="Arial" w:cs="Arial" w:eastAsia="Arial" w:hAnsi="Arial"/>
                <w:color w:val="1A1A2E"/>
                <w:sz w:val="21"/>
                <w:szCs w:val="21"/>
              </w:rPr>
              <w:t xml:space="preserve">8-18%</w:t>
            </w:r>
          </w:p>
        </w:tc>
      </w:tr>
    </w:tbl>
    <w:p>
      <w:pPr>
        <w:spacing w:before="120" w:after="80"/>
      </w:pPr>
    </w:p>
    <w:p>
      <w:pPr>
        <w:spacing w:before="200" w:after="80"/>
      </w:pPr>
      <w:r>
        <w:rPr>
          <w:rFonts w:ascii="Arial" w:cs="Arial" w:eastAsia="Arial" w:hAnsi="Arial"/>
          <w:b/>
          <w:bCs/>
          <w:color w:val="1A6EA8"/>
          <w:sz w:val="24"/>
          <w:szCs w:val="24"/>
        </w:rPr>
        <w:t xml:space="preserve">If Win Rate is Below 50% — Diagnostic Checklist</w:t>
      </w:r>
    </w:p>
    <w:p>
      <w:pPr>
        <w:pStyle w:val="ListParagraph"/>
        <w:numPr>
          <w:ilvl w:val="0"/>
          <w:numId w:val="3"/>
        </w:numPr>
        <w:spacing w:before="40" w:after="60"/>
      </w:pPr>
      <w:r>
        <w:rPr>
          <w:rFonts w:ascii="Arial" w:cs="Arial" w:eastAsia="Arial" w:hAnsi="Arial"/>
          <w:color w:val="1A1A2E"/>
          <w:sz w:val="22"/>
          <w:szCs w:val="22"/>
        </w:rPr>
        <w:t xml:space="preserve">Are you trading Asian session signals? — Stop immediately. Add session filter.</w:t>
      </w:r>
    </w:p>
    <w:p>
      <w:pPr>
        <w:pStyle w:val="ListParagraph"/>
        <w:numPr>
          <w:ilvl w:val="0"/>
          <w:numId w:val="3"/>
        </w:numPr>
        <w:spacing w:before="40" w:after="60"/>
      </w:pPr>
      <w:r>
        <w:rPr>
          <w:rFonts w:ascii="Arial" w:cs="Arial" w:eastAsia="Arial" w:hAnsi="Arial"/>
          <w:color w:val="1A1A2E"/>
          <w:sz w:val="22"/>
          <w:szCs w:val="22"/>
        </w:rPr>
        <w:t xml:space="preserve">Are you taking D-tier and forced signals at full size? — Reduce to 25% or skip.</w:t>
      </w:r>
    </w:p>
    <w:p>
      <w:pPr>
        <w:pStyle w:val="ListParagraph"/>
        <w:numPr>
          <w:ilvl w:val="0"/>
          <w:numId w:val="3"/>
        </w:numPr>
        <w:spacing w:before="40" w:after="60"/>
      </w:pPr>
      <w:r>
        <w:rPr>
          <w:rFonts w:ascii="Arial" w:cs="Arial" w:eastAsia="Arial" w:hAnsi="Arial"/>
          <w:color w:val="1A1A2E"/>
          <w:sz w:val="22"/>
          <w:szCs w:val="22"/>
        </w:rPr>
        <w:t xml:space="preserve">Is the HTF (D1) trend opposing your signals? — Apply HTF filter immediately.</w:t>
      </w:r>
    </w:p>
    <w:p>
      <w:pPr>
        <w:pStyle w:val="ListParagraph"/>
        <w:numPr>
          <w:ilvl w:val="0"/>
          <w:numId w:val="3"/>
        </w:numPr>
        <w:spacing w:before="40" w:after="60"/>
      </w:pPr>
      <w:r>
        <w:rPr>
          <w:rFonts w:ascii="Arial" w:cs="Arial" w:eastAsia="Arial" w:hAnsi="Arial"/>
          <w:color w:val="1A1A2E"/>
          <w:sz w:val="22"/>
          <w:szCs w:val="22"/>
        </w:rPr>
        <w:t xml:space="preserve">Are Buy and Sell Liq % within 10 points of each other on losses? — Require 15pt gap minimum.</w:t>
      </w:r>
    </w:p>
    <w:p>
      <w:pPr>
        <w:pStyle w:val="ListParagraph"/>
        <w:numPr>
          <w:ilvl w:val="0"/>
          <w:numId w:val="3"/>
        </w:numPr>
        <w:spacing w:before="40" w:after="60"/>
      </w:pPr>
      <w:r>
        <w:rPr>
          <w:rFonts w:ascii="Arial" w:cs="Arial" w:eastAsia="Arial" w:hAnsi="Arial"/>
          <w:color w:val="1A1A2E"/>
          <w:sz w:val="22"/>
          <w:szCs w:val="22"/>
        </w:rPr>
        <w:t xml:space="preserve">Are you on a low-liquidity altcoin? — Move to BTC or ETH only until win rate recovers.</w:t>
      </w:r>
    </w:p>
    <w:p>
      <w:pPr>
        <w:pStyle w:val="ListParagraph"/>
        <w:numPr>
          <w:ilvl w:val="0"/>
          <w:numId w:val="3"/>
        </w:numPr>
        <w:spacing w:before="40" w:after="60"/>
      </w:pPr>
      <w:r>
        <w:rPr>
          <w:rFonts w:ascii="Arial" w:cs="Arial" w:eastAsia="Arial" w:hAnsi="Arial"/>
          <w:color w:val="1A1A2E"/>
          <w:sz w:val="22"/>
          <w:szCs w:val="22"/>
        </w:rPr>
        <w:t xml:space="preserve">Is the market in a strong trend? — Disable counter-trend signals (short during D1 bull trend).</w:t>
      </w:r>
    </w:p>
    <w:p>
      <w:pPr>
        <w:pStyle w:val="ListParagraph"/>
        <w:numPr>
          <w:ilvl w:val="0"/>
          <w:numId w:val="3"/>
        </w:numPr>
        <w:spacing w:before="40" w:after="60"/>
      </w:pPr>
      <w:r>
        <w:rPr>
          <w:rFonts w:ascii="Arial" w:cs="Arial" w:eastAsia="Arial" w:hAnsi="Arial"/>
          <w:color w:val="1A1A2E"/>
          <w:sz w:val="22"/>
          <w:szCs w:val="22"/>
        </w:rPr>
        <w:t xml:space="preserve">Check your sample size — fewer than 20 trades is not statistically meaningful. Continue logging.</w:t>
      </w:r>
    </w:p>
    <w:p>
      <w:pPr>
        <w:spacing w:before="160" w:after="80"/>
      </w:pPr>
    </w:p>
    <w:p>
      <w:pPr>
        <w:pStyle w:val="Heading2"/>
        <w:spacing w:before="280" w:after="100"/>
      </w:pPr>
      <w:r>
        <w:rPr>
          <w:rFonts w:ascii="Arial" w:cs="Arial" w:eastAsia="Arial" w:hAnsi="Arial"/>
          <w:b/>
          <w:bCs/>
          <w:color w:val="0D1F30"/>
          <w:sz w:val="28"/>
          <w:szCs w:val="28"/>
        </w:rPr>
        <w:t xml:space="preserve">CHAPTER 9 — Quick Reference Card</w:t>
      </w:r>
    </w:p>
    <w:p>
      <w:pPr>
        <w:pBdr>
          <w:bottom w:val="single" w:color="1A6EA8" w:sz="6" w:space="1"/>
        </w:pBdr>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D1F30" w:val="clear"/>
            <w:tcMar>
              <w:top w:type="dxa" w:w="80"/>
              <w:left w:type="dxa" w:w="160"/>
              <w:bottom w:type="dxa" w:w="80"/>
              <w:right w:type="dxa" w:w="160"/>
            </w:tcMar>
          </w:tcPr>
          <w:p>
            <w:r>
              <w:rPr>
                <w:rFonts w:ascii="Arial" w:cs="Arial" w:eastAsia="Arial" w:hAnsi="Arial"/>
                <w:b/>
                <w:bCs/>
                <w:color w:val="FFFFFF"/>
                <w:sz w:val="22"/>
                <w:szCs w:val="22"/>
              </w:rPr>
              <w:t xml:space="preserve">PRE-TRADE CHECKLIST</w:t>
            </w:r>
          </w:p>
        </w:tc>
      </w:tr>
      <w:tr>
        <w:tc>
          <w:tcPr>
            <w:tcW w:type="dxa" w:w="9360"/>
            <w:tcBorders>
              <w:top w:val="single" w:color="AECAD6" w:sz="4"/>
              <w:left w:val="single" w:color="AECAD6" w:sz="4"/>
              <w:bottom w:val="single" w:color="AECAD6" w:sz="4"/>
              <w:right w:val="single" w:color="AECAD6" w:sz="4"/>
            </w:tcBorders>
            <w:shd w:fill="F0F4F8"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BEFORE EVERY TRADE — 60-Second Checklist:
1. Win Prob 58%+ (or 70%+ for full size)
2. Buy Liq vs Sell Liq gap 15%+ in signal direction
3. Manipulation: Stop Hunt, Sweep, or Wyckoff? (upgrade to A+)
4. Session: London (07-10 UTC) or NY (13-16 UTC)? Best. Asian? Reduce size.
5. D1 trend aligned with signal direction? Yes = full size. No = 25% size or skip.
6. Vol Surge 1.2x+? Yes = confirmed. Below 1.0x on non-forced signal = skip.
7. Position size: never risk more than 2% of account.</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00A86B" w:val="clear"/>
            <w:tcMar>
              <w:top w:type="dxa" w:w="80"/>
              <w:left w:type="dxa" w:w="160"/>
              <w:bottom w:type="dxa" w:w="80"/>
              <w:right w:type="dxa" w:w="160"/>
            </w:tcMar>
          </w:tcPr>
          <w:p>
            <w:r>
              <w:rPr>
                <w:rFonts w:ascii="Arial" w:cs="Arial" w:eastAsia="Arial" w:hAnsi="Arial"/>
                <w:b/>
                <w:bCs/>
                <w:color w:val="FFFFFF"/>
                <w:sz w:val="22"/>
                <w:szCs w:val="22"/>
              </w:rPr>
              <w:t xml:space="preserve">TRADE MANAGEMENT</w:t>
            </w:r>
          </w:p>
        </w:tc>
      </w:tr>
      <w:tr>
        <w:tc>
          <w:tcPr>
            <w:tcW w:type="dxa" w:w="9360"/>
            <w:tcBorders>
              <w:top w:val="single" w:color="AECAD6" w:sz="4"/>
              <w:left w:val="single" w:color="AECAD6" w:sz="4"/>
              <w:bottom w:val="single" w:color="AECAD6" w:sz="4"/>
              <w:right w:val="single" w:color="AECAD6" w:sz="4"/>
            </w:tcBorders>
            <w:shd w:fill="D5F0E0"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DURING TRADE — Management Rules:
TP1 hit: Move SL to break-even immediately. Exit 50% of position.
TP2 hit: Move SL to TP1 level. Exit 30% of position.
TP3: Let remaining 20% run with SL at TP1.
SL hit before TP1: Accept loss. Do not re-enter same signal direction for 1 bar.</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AD6" w:sz="4"/>
              <w:left w:val="single" w:color="AECAD6" w:sz="4"/>
              <w:bottom w:val="single" w:color="AECAD6" w:sz="4"/>
              <w:right w:val="single" w:color="AECAD6"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DAILY DISCIPLINE RULES</w:t>
            </w:r>
          </w:p>
        </w:tc>
      </w:tr>
      <w:tr>
        <w:tc>
          <w:tcPr>
            <w:tcW w:type="dxa" w:w="9360"/>
            <w:tcBorders>
              <w:top w:val="single" w:color="AECAD6" w:sz="4"/>
              <w:left w:val="single" w:color="AECAD6" w:sz="4"/>
              <w:bottom w:val="single" w:color="AECAD6" w:sz="4"/>
              <w:right w:val="single" w:color="AECAD6" w:sz="4"/>
            </w:tcBorders>
            <w:shd w:fill="FFF3CD" w:val="clear"/>
            <w:tcMar>
              <w:top w:type="dxa" w:w="120"/>
              <w:left w:type="dxa" w:w="200"/>
              <w:bottom w:type="dxa" w:w="120"/>
              <w:right w:type="dxa" w:w="200"/>
            </w:tcMar>
          </w:tcPr>
          <w:p>
            <w:pPr>
              <w:spacing w:before="0" w:after="0"/>
            </w:pPr>
            <w:r>
              <w:rPr>
                <w:rFonts w:ascii="Arial" w:cs="Arial" w:eastAsia="Arial" w:hAnsi="Arial"/>
                <w:i/>
                <w:iCs/>
                <w:color w:val="1A1A2E"/>
                <w:sz w:val="22"/>
                <w:szCs w:val="22"/>
              </w:rPr>
              <w:t xml:space="preserve">DAILY LIMITS:
Max daily loss: 4% of account. Stop trading for the day at this limit.
Max open signals simultaneously: 3 (to limit correlated risk).
Max signals per day: 4 high-quality trades. After 4 wins, consider stopping — discipline compounds over weeks, not single days.</w:t>
            </w:r>
          </w:p>
        </w:tc>
      </w:tr>
    </w:tbl>
    <w:p>
      <w:pPr>
        <w:spacing w:before="200" w:after="80"/>
      </w:pPr>
    </w:p>
    <w:p>
      <w:pPr>
        <w:pBdr>
          <w:bottom w:val="single" w:color="00A86B" w:sz="12" w:space="1"/>
        </w:pBdr>
      </w:pPr>
    </w:p>
    <w:p>
      <w:pPr>
        <w:spacing w:before="200" w:after="100"/>
        <w:jc w:val="center"/>
      </w:pPr>
      <w:r>
        <w:rPr>
          <w:rFonts w:ascii="Arial" w:cs="Arial" w:eastAsia="Arial" w:hAnsi="Arial"/>
          <w:b/>
          <w:bCs/>
          <w:color w:val="0D1F30"/>
          <w:sz w:val="22"/>
          <w:szCs w:val="22"/>
        </w:rPr>
        <w:t xml:space="preserve">LIQUIDITY SIGNAL ENGINE PRO — TRADING GUIDE</w:t>
      </w:r>
    </w:p>
    <w:p>
      <w:pPr>
        <w:spacing w:before="0" w:after="0"/>
        <w:jc w:val="center"/>
      </w:pPr>
      <w:r>
        <w:rPr>
          <w:rFonts w:ascii="Arial" w:cs="Arial" w:eastAsia="Arial" w:hAnsi="Arial"/>
          <w:i/>
          <w:iCs/>
          <w:color w:val="888888"/>
          <w:sz w:val="18"/>
          <w:szCs w:val="18"/>
        </w:rPr>
        <w:t xml:space="preserve">For educational purposes. All trading involves risk. Past performance does not guarantee future results.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F30"/>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1F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2026-03-11T22:09:17.673Z</dcterms:created>
  <dcterms:modified xsi:type="dcterms:W3CDTF">2026-03-11T22:09:17.674Z</dcterms:modified>
</cp:coreProperties>
</file>

<file path=docProps/custom.xml><?xml version="1.0" encoding="utf-8"?>
<Properties xmlns="http://schemas.openxmlformats.org/officeDocument/2006/custom-properties" xmlns:vt="http://schemas.openxmlformats.org/officeDocument/2006/docPropsVTypes"/>
</file>