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56"/>
        </w:rPr>
        <w:t>AUSTRALIAN MEDICAL</w:t>
        <w:br/>
        <w:t>WORKFORCE PASSPORT &amp; EXCHANGE</w:t>
      </w:r>
    </w:p>
    <w:p>
      <w:pPr>
        <w:jc w:val="center"/>
      </w:pPr>
      <w:r>
        <w:rPr>
          <w:rFonts w:ascii="Aptos" w:hAnsi="Aptos"/>
          <w:color w:val="2F5597"/>
          <w:sz w:val="34"/>
        </w:rPr>
        <w:t>Master Product &amp; Programme Specification</w:t>
      </w:r>
    </w:p>
    <w:p>
      <w:pPr>
        <w:jc w:val="center"/>
      </w:pPr>
      <w:r>
        <w:rPr>
          <w:color w:val="666666"/>
          <w:sz w:val="20"/>
        </w:rPr>
        <w:t>Version 0.2 | Concept and staged implementation specification | September 2026</w:t>
      </w:r>
    </w:p>
    <w:p/>
    <w:tbl>
      <w:tblPr>
        <w:tblStyle w:val="TableGrid"/>
        <w:tblW w:type="auto" w:w="0"/>
        <w:tblLook w:firstColumn="1" w:firstRow="1" w:lastColumn="0" w:lastRow="0" w:noHBand="0" w:noVBand="1" w:val="04A0"/>
      </w:tblPr>
      <w:tblGrid>
        <w:gridCol w:w="10080"/>
      </w:tblGrid>
      <w:tr>
        <w:tc>
          <w:tcPr>
            <w:tcW w:type="dxa" w:w="10080"/>
            <w:shd w:fill="EAF0F8"/>
          </w:tcPr>
          <w:p>
            <w:r/>
            <w:r>
              <w:rPr>
                <w:rFonts w:ascii="Aptos" w:hAnsi="Aptos"/>
                <w:b/>
                <w:color w:val="17365D"/>
                <w:sz w:val="21"/>
              </w:rPr>
              <w:t>Working proposition: Passport = my credentials. Exchange = my work. Experience = my voice.</w:t>
            </w:r>
          </w:p>
        </w:tc>
      </w:tr>
    </w:tbl>
    <w:p/>
    <w:p>
      <w:pPr>
        <w:jc w:val="center"/>
      </w:pPr>
      <w:r>
        <w:rPr>
          <w:sz w:val="20"/>
        </w:rPr>
        <w:t>Initial implementation context: Yorke and Northern Local Health Network (YNLHN), South Australia</w:t>
      </w:r>
    </w:p>
    <w:p>
      <w:pPr>
        <w:jc w:val="center"/>
      </w:pPr>
      <w:r>
        <w:rPr>
          <w:i/>
          <w:sz w:val="18"/>
        </w:rPr>
        <w:t>Status: Draft for concept development, governance consultation and business-case development</w:t>
      </w:r>
    </w:p>
    <w:p>
      <w:r>
        <w:br w:type="page"/>
      </w:r>
    </w:p>
    <w:p>
      <w:pPr>
        <w:pStyle w:val="Heading1"/>
      </w:pPr>
      <w:r>
        <w:t>Executive summary</w:t>
      </w:r>
    </w:p>
    <w:p>
      <w:r>
        <w:t>This specification describes a staged digital platform intended to reduce friction in the mobilisation of the Australian medical workforce. The programme begins with a useful product for individual doctors and a contained operational pilot for YNLHN, while deliberately establishing the data structures, governance boundaries and interoperability model required for later statewide and national expansion.</w:t>
      </w:r>
    </w:p>
    <w:tbl>
      <w:tblPr>
        <w:tblStyle w:val="TableGrid"/>
        <w:tblW w:type="auto" w:w="0"/>
        <w:tblLook w:firstColumn="1" w:firstRow="1" w:lastColumn="0" w:lastRow="0" w:noHBand="0" w:noVBand="1" w:val="04A0"/>
      </w:tblPr>
      <w:tblGrid>
        <w:gridCol w:w="10080"/>
      </w:tblGrid>
      <w:tr>
        <w:tc>
          <w:tcPr>
            <w:tcW w:type="dxa" w:w="10080"/>
            <w:shd w:fill="EAF0F8"/>
          </w:tcPr>
          <w:p>
            <w:r/>
            <w:r>
              <w:rPr>
                <w:rFonts w:ascii="Aptos" w:hAnsi="Aptos"/>
                <w:b/>
                <w:color w:val="17365D"/>
                <w:sz w:val="21"/>
              </w:rPr>
              <w:t>The core proposition is not a locum job board. It is a practitioner-owned credential passport connected to organisation-owned scope decisions, procurement-compliant workforce sourcing and measurable clinician experience.</w:t>
            </w:r>
          </w:p>
        </w:tc>
      </w:tr>
    </w:tbl>
    <w:p/>
    <w:p>
      <w:r>
        <w:t>Stage 1 gives doctors immediate value through a free Credential Wallet: structured storage of professional credentials, expiry tracking, reusable credential bundles and secure sharing with any employer or credentialling body. YNLHN can link the doctor's wallet to its existing credential and scope records without replacing current credentialling processes. The same platform then supports locum experience feedback, vacancy advertising, an SA Health panel-agency-first sourcing cascade, digital bookings and accountless timesheet approval.</w:t>
      </w:r>
    </w:p>
    <w:p>
      <w:r>
        <w:t>The programme then progresses through digital YNLHN credentialling, multi-LHN credential reuse, a South Australian workforce exchange and, subject to policy and partnership, a national credential interoperability and workforce mobility layer. At all stages, a portable credential is treated as evidence, not as an automatic grant of clinical authority. Health service organisations retain responsibility for defining and granting scope of clinical practice.</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17365D"/>
          </w:tcPr>
          <w:p>
            <w:r/>
            <w:r>
              <w:rPr>
                <w:rFonts w:ascii="Aptos" w:hAnsi="Aptos"/>
                <w:b/>
                <w:color w:val="FFFFFF"/>
                <w:sz w:val="17"/>
              </w:rPr>
              <w:t>Programme horizon</w:t>
            </w:r>
          </w:p>
        </w:tc>
        <w:tc>
          <w:tcPr>
            <w:tcW w:type="dxa" w:w="2160"/>
            <w:vAlign w:val="center"/>
            <w:shd w:fill="17365D"/>
          </w:tcPr>
          <w:p>
            <w:r/>
            <w:r>
              <w:rPr>
                <w:rFonts w:ascii="Aptos" w:hAnsi="Aptos"/>
                <w:b/>
                <w:color w:val="FFFFFF"/>
                <w:sz w:val="17"/>
              </w:rPr>
              <w:t>Indicative period</w:t>
            </w:r>
          </w:p>
        </w:tc>
        <w:tc>
          <w:tcPr>
            <w:tcW w:type="dxa" w:w="5760"/>
            <w:vAlign w:val="center"/>
            <w:shd w:fill="17365D"/>
          </w:tcPr>
          <w:p>
            <w:r/>
            <w:r>
              <w:rPr>
                <w:rFonts w:ascii="Aptos" w:hAnsi="Aptos"/>
                <w:b/>
                <w:color w:val="FFFFFF"/>
                <w:sz w:val="17"/>
              </w:rPr>
              <w:t>Primary outcome</w:t>
            </w:r>
          </w:p>
        </w:tc>
      </w:tr>
      <w:tr>
        <w:tc>
          <w:tcPr>
            <w:tcW w:type="dxa" w:w="2448"/>
            <w:vAlign w:val="center"/>
          </w:tcPr>
          <w:p>
            <w:r/>
            <w:r>
              <w:rPr>
                <w:rFonts w:ascii="Aptos" w:hAnsi="Aptos"/>
                <w:b w:val="0"/>
                <w:sz w:val="16"/>
              </w:rPr>
              <w:t>A. Prove in YNLHN</w:t>
            </w:r>
          </w:p>
        </w:tc>
        <w:tc>
          <w:tcPr>
            <w:tcW w:type="dxa" w:w="2160"/>
            <w:vAlign w:val="center"/>
          </w:tcPr>
          <w:p>
            <w:r/>
            <w:r>
              <w:rPr>
                <w:rFonts w:ascii="Aptos" w:hAnsi="Aptos"/>
                <w:b w:val="0"/>
                <w:sz w:val="16"/>
              </w:rPr>
              <w:t>0–12 months</w:t>
            </w:r>
          </w:p>
        </w:tc>
        <w:tc>
          <w:tcPr>
            <w:tcW w:type="dxa" w:w="5760"/>
            <w:vAlign w:val="center"/>
          </w:tcPr>
          <w:p>
            <w:r/>
            <w:r>
              <w:rPr>
                <w:rFonts w:ascii="Aptos" w:hAnsi="Aptos"/>
                <w:b w:val="0"/>
                <w:sz w:val="16"/>
              </w:rPr>
              <w:t>Doctor Passport, locum experience, agency-compliant vacancy exchange and digital timesheets</w:t>
            </w:r>
          </w:p>
        </w:tc>
      </w:tr>
      <w:tr>
        <w:tc>
          <w:tcPr>
            <w:tcW w:type="dxa" w:w="2448"/>
            <w:vAlign w:val="center"/>
            <w:shd w:fill="F3F6FA"/>
          </w:tcPr>
          <w:p>
            <w:r/>
            <w:r>
              <w:rPr>
                <w:rFonts w:ascii="Aptos" w:hAnsi="Aptos"/>
                <w:b w:val="0"/>
                <w:sz w:val="16"/>
              </w:rPr>
              <w:t>B. Build the SA foundation</w:t>
            </w:r>
          </w:p>
        </w:tc>
        <w:tc>
          <w:tcPr>
            <w:tcW w:type="dxa" w:w="2160"/>
            <w:vAlign w:val="center"/>
            <w:shd w:fill="F3F6FA"/>
          </w:tcPr>
          <w:p>
            <w:r/>
            <w:r>
              <w:rPr>
                <w:rFonts w:ascii="Aptos" w:hAnsi="Aptos"/>
                <w:b w:val="0"/>
                <w:sz w:val="16"/>
              </w:rPr>
              <w:t>12–24 months</w:t>
            </w:r>
          </w:p>
        </w:tc>
        <w:tc>
          <w:tcPr>
            <w:tcW w:type="dxa" w:w="5760"/>
            <w:vAlign w:val="center"/>
            <w:shd w:fill="F3F6FA"/>
          </w:tcPr>
          <w:p>
            <w:r/>
            <w:r>
              <w:rPr>
                <w:rFonts w:ascii="Aptos" w:hAnsi="Aptos"/>
                <w:b w:val="0"/>
                <w:sz w:val="16"/>
              </w:rPr>
              <w:t>Digital credentialling, credential verification and second-LHN portability</w:t>
            </w:r>
          </w:p>
        </w:tc>
      </w:tr>
      <w:tr>
        <w:tc>
          <w:tcPr>
            <w:tcW w:type="dxa" w:w="2448"/>
            <w:vAlign w:val="center"/>
          </w:tcPr>
          <w:p>
            <w:r/>
            <w:r>
              <w:rPr>
                <w:rFonts w:ascii="Aptos" w:hAnsi="Aptos"/>
                <w:b w:val="0"/>
                <w:sz w:val="16"/>
              </w:rPr>
              <w:t>C. SA Medical Workforce Exchange</w:t>
            </w:r>
          </w:p>
        </w:tc>
        <w:tc>
          <w:tcPr>
            <w:tcW w:type="dxa" w:w="2160"/>
            <w:vAlign w:val="center"/>
          </w:tcPr>
          <w:p>
            <w:r/>
            <w:r>
              <w:rPr>
                <w:rFonts w:ascii="Aptos" w:hAnsi="Aptos"/>
                <w:b w:val="0"/>
                <w:sz w:val="16"/>
              </w:rPr>
              <w:t>24–36 months</w:t>
            </w:r>
          </w:p>
        </w:tc>
        <w:tc>
          <w:tcPr>
            <w:tcW w:type="dxa" w:w="5760"/>
            <w:vAlign w:val="center"/>
          </w:tcPr>
          <w:p>
            <w:r/>
            <w:r>
              <w:rPr>
                <w:rFonts w:ascii="Aptos" w:hAnsi="Aptos"/>
                <w:b w:val="0"/>
                <w:sz w:val="16"/>
              </w:rPr>
              <w:t>Multi-LHN collaborative workforce market with common credential semantics</w:t>
            </w:r>
          </w:p>
        </w:tc>
      </w:tr>
      <w:tr>
        <w:tc>
          <w:tcPr>
            <w:tcW w:type="dxa" w:w="2448"/>
            <w:vAlign w:val="center"/>
            <w:shd w:fill="F3F6FA"/>
          </w:tcPr>
          <w:p>
            <w:r/>
            <w:r>
              <w:rPr>
                <w:rFonts w:ascii="Aptos" w:hAnsi="Aptos"/>
                <w:b w:val="0"/>
                <w:sz w:val="16"/>
              </w:rPr>
              <w:t>D. National infrastructure</w:t>
            </w:r>
          </w:p>
        </w:tc>
        <w:tc>
          <w:tcPr>
            <w:tcW w:type="dxa" w:w="2160"/>
            <w:vAlign w:val="center"/>
            <w:shd w:fill="F3F6FA"/>
          </w:tcPr>
          <w:p>
            <w:r/>
            <w:r>
              <w:rPr>
                <w:rFonts w:ascii="Aptos" w:hAnsi="Aptos"/>
                <w:b w:val="0"/>
                <w:sz w:val="16"/>
              </w:rPr>
              <w:t>36+ months</w:t>
            </w:r>
          </w:p>
        </w:tc>
        <w:tc>
          <w:tcPr>
            <w:tcW w:type="dxa" w:w="5760"/>
            <w:vAlign w:val="center"/>
            <w:shd w:fill="F3F6FA"/>
          </w:tcPr>
          <w:p>
            <w:r/>
            <w:r>
              <w:rPr>
                <w:rFonts w:ascii="Aptos" w:hAnsi="Aptos"/>
                <w:b w:val="0"/>
                <w:sz w:val="16"/>
              </w:rPr>
              <w:t>National credential interoperability and workforce mobility, subject to Commonwealth/state partnership</w:t>
            </w:r>
          </w:p>
        </w:tc>
      </w:tr>
    </w:tbl>
    <w:p/>
    <w:p>
      <w:pPr>
        <w:pStyle w:val="Heading2"/>
      </w:pPr>
      <w:r>
        <w:t>Strategic thesis</w:t>
      </w:r>
    </w:p>
    <w:p>
      <w:pPr>
        <w:pStyle w:val="ListBullet"/>
      </w:pPr>
      <w:r>
        <w:t>Registration identifies the practitioner.</w:t>
      </w:r>
    </w:p>
    <w:p>
      <w:pPr>
        <w:pStyle w:val="ListBullet"/>
      </w:pPr>
      <w:r>
        <w:t>Credentials provide evidence of qualifications, training, checks and experience.</w:t>
      </w:r>
    </w:p>
    <w:p>
      <w:pPr>
        <w:pStyle w:val="ListBullet"/>
      </w:pPr>
      <w:r>
        <w:t>Verification establishes the provenance and assurance level of that evidence.</w:t>
      </w:r>
    </w:p>
    <w:p>
      <w:pPr>
        <w:pStyle w:val="ListBullet"/>
      </w:pPr>
      <w:r>
        <w:t>Capability describes what the practitioner can demonstrate they are able to do.</w:t>
      </w:r>
    </w:p>
    <w:p>
      <w:pPr>
        <w:pStyle w:val="ListBullet"/>
      </w:pPr>
      <w:r>
        <w:t>Scope of clinical practice records what a particular organisation has authorised that practitioner to do.</w:t>
      </w:r>
    </w:p>
    <w:p>
      <w:pPr>
        <w:pStyle w:val="ListBullet"/>
      </w:pPr>
      <w:r>
        <w:t>Eligibility applies those facts to a role, facility and point in time.</w:t>
      </w:r>
    </w:p>
    <w:p>
      <w:pPr>
        <w:pStyle w:val="ListBullet"/>
      </w:pPr>
      <w:r>
        <w:t>The Exchange connects eligible practitioners with workforce need.</w:t>
      </w:r>
    </w:p>
    <w:p>
      <w:pPr>
        <w:pStyle w:val="ListBullet"/>
      </w:pPr>
      <w:r>
        <w:t>Experience and return behaviour reveal whether the workforce environment attracts clinicians back.</w:t>
      </w:r>
    </w:p>
    <w:p>
      <w:pPr>
        <w:pStyle w:val="Heading1"/>
      </w:pPr>
      <w:r>
        <w:t>1. Purpose and scope</w:t>
      </w:r>
    </w:p>
    <w:p>
      <w:r>
        <w:t>The purpose of this document is to define the intended end-state, product domains, staged implementation, governance model, data architecture, evaluation framework and major requirements for the Australian Medical Workforce Passport &amp; Exchange programme. It is the source document from which the YNLHN pilot business case, implementation plan, SA Health statewide business case, Commonwealth proposal, Australian Digital Health Agency partnership proposal and detailed technical product requirements will be derived.</w:t>
      </w:r>
    </w:p>
    <w:p>
      <w:pPr>
        <w:pStyle w:val="Heading2"/>
      </w:pPr>
      <w:r>
        <w:t>1.1 In scope</w:t>
      </w:r>
    </w:p>
    <w:p>
      <w:pPr>
        <w:pStyle w:val="ListBullet"/>
      </w:pPr>
      <w:r>
        <w:t>Practitioner identity and profile</w:t>
      </w:r>
    </w:p>
    <w:p>
      <w:pPr>
        <w:pStyle w:val="ListBullet"/>
      </w:pPr>
      <w:r>
        <w:t>Credential Wallet, expiry tracking, credential bundles and external sharing</w:t>
      </w:r>
    </w:p>
    <w:p>
      <w:pPr>
        <w:pStyle w:val="ListBullet"/>
      </w:pPr>
      <w:r>
        <w:t>Credential evidence and verification status</w:t>
      </w:r>
    </w:p>
    <w:p>
      <w:pPr>
        <w:pStyle w:val="ListBullet"/>
      </w:pPr>
      <w:r>
        <w:t>Organisation affiliation and scope of clinical practice records</w:t>
      </w:r>
    </w:p>
    <w:p>
      <w:pPr>
        <w:pStyle w:val="ListBullet"/>
      </w:pPr>
      <w:r>
        <w:t>Locum experience, culture and return measurement</w:t>
      </w:r>
    </w:p>
    <w:p>
      <w:pPr>
        <w:pStyle w:val="ListBullet"/>
      </w:pPr>
      <w:r>
        <w:t>Vacancy creation, matching, sourcing policy and booking</w:t>
      </w:r>
    </w:p>
    <w:p>
      <w:pPr>
        <w:pStyle w:val="ListBullet"/>
      </w:pPr>
      <w:r>
        <w:t>SA Health panel agency participation and variable commercial arrangements</w:t>
      </w:r>
    </w:p>
    <w:p>
      <w:pPr>
        <w:pStyle w:val="ListBullet"/>
      </w:pPr>
      <w:r>
        <w:t>Digital timesheets and accountless approval</w:t>
      </w:r>
    </w:p>
    <w:p>
      <w:pPr>
        <w:pStyle w:val="ListBullet"/>
      </w:pPr>
      <w:r>
        <w:t>Workforce, cost, procurement and retention analytics</w:t>
      </w:r>
    </w:p>
    <w:p>
      <w:pPr>
        <w:pStyle w:val="ListBullet"/>
      </w:pPr>
      <w:r>
        <w:t>Digital credentialling in later stages</w:t>
      </w:r>
    </w:p>
    <w:p>
      <w:pPr>
        <w:pStyle w:val="ListBullet"/>
      </w:pPr>
      <w:r>
        <w:t>Multi-LHN and interstate portability architecture</w:t>
      </w:r>
    </w:p>
    <w:p>
      <w:pPr>
        <w:pStyle w:val="ListBullet"/>
      </w:pPr>
      <w:r>
        <w:t>Open interoperability and national identity integration pathways</w:t>
      </w:r>
    </w:p>
    <w:p>
      <w:pPr>
        <w:pStyle w:val="Heading2"/>
      </w:pPr>
      <w:r>
        <w:t>1.2 Explicitly not assumed</w:t>
      </w:r>
    </w:p>
    <w:p>
      <w:pPr>
        <w:pStyle w:val="ListBullet"/>
      </w:pPr>
      <w:r>
        <w:t>An uploaded credential is not automatically verified.</w:t>
      </w:r>
    </w:p>
    <w:p>
      <w:pPr>
        <w:pStyle w:val="ListBullet"/>
      </w:pPr>
      <w:r>
        <w:t>A credential or scope granted by one organisation is not automatically accepted as scope at another.</w:t>
      </w:r>
    </w:p>
    <w:p>
      <w:pPr>
        <w:pStyle w:val="ListBullet"/>
      </w:pPr>
      <w:r>
        <w:t>The platform does not replace Ahpra registration.</w:t>
      </w:r>
    </w:p>
    <w:p>
      <w:pPr>
        <w:pStyle w:val="ListBullet"/>
      </w:pPr>
      <w:r>
        <w:t>The initial pilot does not replace SA Health payroll, procurement or credentialling systems.</w:t>
      </w:r>
    </w:p>
    <w:p>
      <w:pPr>
        <w:pStyle w:val="ListBullet"/>
      </w:pPr>
      <w:r>
        <w:t>The initial pilot does not bypass the SA Health Locum Medical Services Panel Contract or applicable exemption processes.</w:t>
      </w:r>
    </w:p>
    <w:p>
      <w:pPr>
        <w:pStyle w:val="ListBullet"/>
      </w:pPr>
      <w:r>
        <w:t>A doctor rating a hospital is not a substitute for clinical incident reporting, formal complaints or accreditation processes.</w:t>
      </w:r>
    </w:p>
    <w:p>
      <w:pPr>
        <w:pStyle w:val="ListBullet"/>
      </w:pPr>
      <w:r>
        <w:t>The national end-state is a strategic option, not a commitment by YNLHN or SA Health.</w:t>
      </w:r>
    </w:p>
    <w:p>
      <w:pPr>
        <w:pStyle w:val="Heading1"/>
      </w:pPr>
      <w:r>
        <w:t>2. Problem statement</w:t>
      </w:r>
    </w:p>
    <w:p>
      <w:r>
        <w:t>Medical workforce mobilisation is constrained by fragmented vacancy communication, repeated submission of the same credential evidence, organisation-specific scope decisions, manual agency interactions, manual timesheet workflows and limited visibility of why locum doctors return to some sites but not others. These frictions are especially consequential in rural and regional services, where a small number of unfilled shifts can materially affect service resilience.</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17365D"/>
          </w:tcPr>
          <w:p>
            <w:r/>
            <w:r>
              <w:rPr>
                <w:rFonts w:ascii="Aptos" w:hAnsi="Aptos"/>
                <w:b/>
                <w:color w:val="FFFFFF"/>
                <w:sz w:val="17"/>
              </w:rPr>
              <w:t>Problem</w:t>
            </w:r>
          </w:p>
        </w:tc>
        <w:tc>
          <w:tcPr>
            <w:tcW w:type="dxa" w:w="3456"/>
            <w:vAlign w:val="center"/>
            <w:shd w:fill="17365D"/>
          </w:tcPr>
          <w:p>
            <w:r/>
            <w:r>
              <w:rPr>
                <w:rFonts w:ascii="Aptos" w:hAnsi="Aptos"/>
                <w:b/>
                <w:color w:val="FFFFFF"/>
                <w:sz w:val="17"/>
              </w:rPr>
              <w:t>Current consequence</w:t>
            </w:r>
          </w:p>
        </w:tc>
        <w:tc>
          <w:tcPr>
            <w:tcW w:type="dxa" w:w="4464"/>
            <w:vAlign w:val="center"/>
            <w:shd w:fill="17365D"/>
          </w:tcPr>
          <w:p>
            <w:r/>
            <w:r>
              <w:rPr>
                <w:rFonts w:ascii="Aptos" w:hAnsi="Aptos"/>
                <w:b/>
                <w:color w:val="FFFFFF"/>
                <w:sz w:val="17"/>
              </w:rPr>
              <w:t>Platform response</w:t>
            </w:r>
          </w:p>
        </w:tc>
      </w:tr>
      <w:tr>
        <w:tc>
          <w:tcPr>
            <w:tcW w:type="dxa" w:w="2448"/>
            <w:vAlign w:val="center"/>
          </w:tcPr>
          <w:p>
            <w:r/>
            <w:r>
              <w:rPr>
                <w:rFonts w:ascii="Aptos" w:hAnsi="Aptos"/>
                <w:b w:val="0"/>
                <w:sz w:val="16"/>
              </w:rPr>
              <w:t>Repeated credential paperwork</w:t>
            </w:r>
          </w:p>
        </w:tc>
        <w:tc>
          <w:tcPr>
            <w:tcW w:type="dxa" w:w="3456"/>
            <w:vAlign w:val="center"/>
          </w:tcPr>
          <w:p>
            <w:r/>
            <w:r>
              <w:rPr>
                <w:rFonts w:ascii="Aptos" w:hAnsi="Aptos"/>
                <w:b w:val="0"/>
                <w:sz w:val="16"/>
              </w:rPr>
              <w:t>Doctor burden and duplicated administrative work</w:t>
            </w:r>
          </w:p>
        </w:tc>
        <w:tc>
          <w:tcPr>
            <w:tcW w:type="dxa" w:w="4464"/>
            <w:vAlign w:val="center"/>
          </w:tcPr>
          <w:p>
            <w:r/>
            <w:r>
              <w:rPr>
                <w:rFonts w:ascii="Aptos" w:hAnsi="Aptos"/>
                <w:b w:val="0"/>
                <w:sz w:val="16"/>
              </w:rPr>
              <w:t>Practitioner-owned Credential Wallet and reusable credential packs</w:t>
            </w:r>
          </w:p>
        </w:tc>
      </w:tr>
      <w:tr>
        <w:tc>
          <w:tcPr>
            <w:tcW w:type="dxa" w:w="2448"/>
            <w:vAlign w:val="center"/>
            <w:shd w:fill="F3F6FA"/>
          </w:tcPr>
          <w:p>
            <w:r/>
            <w:r>
              <w:rPr>
                <w:rFonts w:ascii="Aptos" w:hAnsi="Aptos"/>
                <w:b w:val="0"/>
                <w:sz w:val="16"/>
              </w:rPr>
              <w:t>Credentials stored as documents rather than structured data</w:t>
            </w:r>
          </w:p>
        </w:tc>
        <w:tc>
          <w:tcPr>
            <w:tcW w:type="dxa" w:w="3456"/>
            <w:vAlign w:val="center"/>
            <w:shd w:fill="F3F6FA"/>
          </w:tcPr>
          <w:p>
            <w:r/>
            <w:r>
              <w:rPr>
                <w:rFonts w:ascii="Aptos" w:hAnsi="Aptos"/>
                <w:b w:val="0"/>
                <w:sz w:val="16"/>
              </w:rPr>
              <w:t>Expiry and eligibility difficult to track</w:t>
            </w:r>
          </w:p>
        </w:tc>
        <w:tc>
          <w:tcPr>
            <w:tcW w:type="dxa" w:w="4464"/>
            <w:vAlign w:val="center"/>
            <w:shd w:fill="F3F6FA"/>
          </w:tcPr>
          <w:p>
            <w:r/>
            <w:r>
              <w:rPr>
                <w:rFonts w:ascii="Aptos" w:hAnsi="Aptos"/>
                <w:b w:val="0"/>
                <w:sz w:val="16"/>
              </w:rPr>
              <w:t>Structured credential objects with evidence and assurance status</w:t>
            </w:r>
          </w:p>
        </w:tc>
      </w:tr>
      <w:tr>
        <w:tc>
          <w:tcPr>
            <w:tcW w:type="dxa" w:w="2448"/>
            <w:vAlign w:val="center"/>
          </w:tcPr>
          <w:p>
            <w:r/>
            <w:r>
              <w:rPr>
                <w:rFonts w:ascii="Aptos" w:hAnsi="Aptos"/>
                <w:b w:val="0"/>
                <w:sz w:val="16"/>
              </w:rPr>
              <w:t>Vacancies distributed through multiple channels</w:t>
            </w:r>
          </w:p>
        </w:tc>
        <w:tc>
          <w:tcPr>
            <w:tcW w:type="dxa" w:w="3456"/>
            <w:vAlign w:val="center"/>
          </w:tcPr>
          <w:p>
            <w:r/>
            <w:r>
              <w:rPr>
                <w:rFonts w:ascii="Aptos" w:hAnsi="Aptos"/>
                <w:b w:val="0"/>
                <w:sz w:val="16"/>
              </w:rPr>
              <w:t>Slow fill and poor auditability</w:t>
            </w:r>
          </w:p>
        </w:tc>
        <w:tc>
          <w:tcPr>
            <w:tcW w:type="dxa" w:w="4464"/>
            <w:vAlign w:val="center"/>
          </w:tcPr>
          <w:p>
            <w:r/>
            <w:r>
              <w:rPr>
                <w:rFonts w:ascii="Aptos" w:hAnsi="Aptos"/>
                <w:b w:val="0"/>
                <w:sz w:val="16"/>
              </w:rPr>
              <w:t>Single vacancy record with policy-driven sourcing cascade</w:t>
            </w:r>
          </w:p>
        </w:tc>
      </w:tr>
      <w:tr>
        <w:tc>
          <w:tcPr>
            <w:tcW w:type="dxa" w:w="2448"/>
            <w:vAlign w:val="center"/>
            <w:shd w:fill="F3F6FA"/>
          </w:tcPr>
          <w:p>
            <w:r/>
            <w:r>
              <w:rPr>
                <w:rFonts w:ascii="Aptos" w:hAnsi="Aptos"/>
                <w:b w:val="0"/>
                <w:sz w:val="16"/>
              </w:rPr>
              <w:t>Agency arrangements are commercially and contractually variable</w:t>
            </w:r>
          </w:p>
        </w:tc>
        <w:tc>
          <w:tcPr>
            <w:tcW w:type="dxa" w:w="3456"/>
            <w:vAlign w:val="center"/>
            <w:shd w:fill="F3F6FA"/>
          </w:tcPr>
          <w:p>
            <w:r/>
            <w:r>
              <w:rPr>
                <w:rFonts w:ascii="Aptos" w:hAnsi="Aptos"/>
                <w:b w:val="0"/>
                <w:sz w:val="16"/>
              </w:rPr>
              <w:t>True engagement cost is difficult to compare</w:t>
            </w:r>
          </w:p>
        </w:tc>
        <w:tc>
          <w:tcPr>
            <w:tcW w:type="dxa" w:w="4464"/>
            <w:vAlign w:val="center"/>
            <w:shd w:fill="F3F6FA"/>
          </w:tcPr>
          <w:p>
            <w:r/>
            <w:r>
              <w:rPr>
                <w:rFonts w:ascii="Aptos" w:hAnsi="Aptos"/>
                <w:b w:val="0"/>
                <w:sz w:val="16"/>
              </w:rPr>
              <w:t>Versioned agency agreements and booking-level cost snapshots</w:t>
            </w:r>
          </w:p>
        </w:tc>
      </w:tr>
      <w:tr>
        <w:tc>
          <w:tcPr>
            <w:tcW w:type="dxa" w:w="2448"/>
            <w:vAlign w:val="center"/>
          </w:tcPr>
          <w:p>
            <w:r/>
            <w:r>
              <w:rPr>
                <w:rFonts w:ascii="Aptos" w:hAnsi="Aptos"/>
                <w:b w:val="0"/>
                <w:sz w:val="16"/>
              </w:rPr>
              <w:t>Timesheets rely on email/spreadsheets</w:t>
            </w:r>
          </w:p>
        </w:tc>
        <w:tc>
          <w:tcPr>
            <w:tcW w:type="dxa" w:w="3456"/>
            <w:vAlign w:val="center"/>
          </w:tcPr>
          <w:p>
            <w:r/>
            <w:r>
              <w:rPr>
                <w:rFonts w:ascii="Aptos" w:hAnsi="Aptos"/>
                <w:b w:val="0"/>
                <w:sz w:val="16"/>
              </w:rPr>
              <w:t>Delay and weak workflow visibility</w:t>
            </w:r>
          </w:p>
        </w:tc>
        <w:tc>
          <w:tcPr>
            <w:tcW w:type="dxa" w:w="4464"/>
            <w:vAlign w:val="center"/>
          </w:tcPr>
          <w:p>
            <w:r/>
            <w:r>
              <w:rPr>
                <w:rFonts w:ascii="Aptos" w:hAnsi="Aptos"/>
                <w:b w:val="0"/>
                <w:sz w:val="16"/>
              </w:rPr>
              <w:t>Secure accountless digital approval</w:t>
            </w:r>
          </w:p>
        </w:tc>
      </w:tr>
      <w:tr>
        <w:tc>
          <w:tcPr>
            <w:tcW w:type="dxa" w:w="2448"/>
            <w:vAlign w:val="center"/>
            <w:shd w:fill="F3F6FA"/>
          </w:tcPr>
          <w:p>
            <w:r/>
            <w:r>
              <w:rPr>
                <w:rFonts w:ascii="Aptos" w:hAnsi="Aptos"/>
                <w:b w:val="0"/>
                <w:sz w:val="16"/>
              </w:rPr>
              <w:t>Little systematic locum experience data</w:t>
            </w:r>
          </w:p>
        </w:tc>
        <w:tc>
          <w:tcPr>
            <w:tcW w:type="dxa" w:w="3456"/>
            <w:vAlign w:val="center"/>
            <w:shd w:fill="F3F6FA"/>
          </w:tcPr>
          <w:p>
            <w:r/>
            <w:r>
              <w:rPr>
                <w:rFonts w:ascii="Aptos" w:hAnsi="Aptos"/>
                <w:b w:val="0"/>
                <w:sz w:val="16"/>
              </w:rPr>
              <w:t>Retention problems remain anecdotal</w:t>
            </w:r>
          </w:p>
        </w:tc>
        <w:tc>
          <w:tcPr>
            <w:tcW w:type="dxa" w:w="4464"/>
            <w:vAlign w:val="center"/>
            <w:shd w:fill="F3F6FA"/>
          </w:tcPr>
          <w:p>
            <w:r/>
            <w:r>
              <w:rPr>
                <w:rFonts w:ascii="Aptos" w:hAnsi="Aptos"/>
                <w:b w:val="0"/>
                <w:sz w:val="16"/>
              </w:rPr>
              <w:t>Confidential post-shift experience and actual return metrics</w:t>
            </w:r>
          </w:p>
        </w:tc>
      </w:tr>
      <w:tr>
        <w:tc>
          <w:tcPr>
            <w:tcW w:type="dxa" w:w="2448"/>
            <w:vAlign w:val="center"/>
          </w:tcPr>
          <w:p>
            <w:r/>
            <w:r>
              <w:rPr>
                <w:rFonts w:ascii="Aptos" w:hAnsi="Aptos"/>
                <w:b w:val="0"/>
                <w:sz w:val="16"/>
              </w:rPr>
              <w:t>Credentialling is repeated between organisations</w:t>
            </w:r>
          </w:p>
        </w:tc>
        <w:tc>
          <w:tcPr>
            <w:tcW w:type="dxa" w:w="3456"/>
            <w:vAlign w:val="center"/>
          </w:tcPr>
          <w:p>
            <w:r/>
            <w:r>
              <w:rPr>
                <w:rFonts w:ascii="Aptos" w:hAnsi="Aptos"/>
                <w:b w:val="0"/>
                <w:sz w:val="16"/>
              </w:rPr>
              <w:t>Slow workforce mobility</w:t>
            </w:r>
          </w:p>
        </w:tc>
        <w:tc>
          <w:tcPr>
            <w:tcW w:type="dxa" w:w="4464"/>
            <w:vAlign w:val="center"/>
          </w:tcPr>
          <w:p>
            <w:r/>
            <w:r>
              <w:rPr>
                <w:rFonts w:ascii="Aptos" w:hAnsi="Aptos"/>
                <w:b w:val="0"/>
                <w:sz w:val="16"/>
              </w:rPr>
              <w:t>Portable evidence with organisation-specific scope decisions</w:t>
            </w:r>
          </w:p>
        </w:tc>
      </w:tr>
    </w:tbl>
    <w:p/>
    <w:p>
      <w:pPr>
        <w:pStyle w:val="Heading1"/>
      </w:pPr>
      <w:r>
        <w:t>3. External policy and standards context</w:t>
      </w:r>
    </w:p>
    <w:p>
      <w:r>
        <w:t>The programme must be implemented within existing clinical governance, procurement, privacy, digital health and workforce obligations. The following context informs the architecture but does not replace formal legal, procurement, industrial or privacy review.</w:t>
      </w:r>
    </w:p>
    <w:p>
      <w:pPr>
        <w:pStyle w:val="Heading2"/>
      </w:pPr>
      <w:r>
        <w:t>3.1 SA Health locum procurement</w:t>
      </w:r>
    </w:p>
    <w:p>
      <w:r>
        <w:t>SA Health's Use of Locums Policy (Version 1.0, approved 16 September 2025) establishes requirements for the use of locum medical services and the mandatory panel/exemption framework. The proposed Exchange should therefore enforce sourcing policy rather than create an uncontrolled parallel market. In the YNLHN pilot, approved panel agencies should receive vacancies according to the configured procurement cascade before any permitted release to non-agency/direct channels.</w:t>
      </w:r>
    </w:p>
    <w:p>
      <w:pPr>
        <w:pStyle w:val="Heading2"/>
      </w:pPr>
      <w:r>
        <w:t>3.2 Credentialling and scope</w:t>
      </w:r>
    </w:p>
    <w:p>
      <w:r>
        <w:t>The Australian Commission on Safety and Quality in Health Care published updated national guidance in May 2026 for credentialling, recredentialling and defining scope of clinical practice. The platform must preserve the health service organisation's authority and accountability for scope decisions. Portable evidence can reduce duplication, but organisational scope remains an explicit, separately recorded decision.</w:t>
      </w:r>
    </w:p>
    <w:p>
      <w:pPr>
        <w:pStyle w:val="Heading2"/>
      </w:pPr>
      <w:r>
        <w:t>3.3 National digital identity and interoperability</w:t>
      </w:r>
    </w:p>
    <w:p>
      <w:r>
        <w:t>Australia already has national healthcare provider identifiers. Ahpra-registered health professionals receive an HPI-I, while healthcare organisations may hold HPI-Os. The Healthcare Identifiers Service supports software validation of healthcare identifiers. Provider Connect Australia provides an existing national mechanism for organisations to maintain and share provider/service information. The programme should seek alignment with, rather than duplication of, these national identity and interoperability capabilities.</w:t>
      </w:r>
    </w:p>
    <w:p>
      <w:pPr>
        <w:pStyle w:val="Heading1"/>
      </w:pPr>
      <w:r>
        <w:t>4. Product vision and principles</w:t>
      </w:r>
    </w:p>
    <w:tbl>
      <w:tblPr>
        <w:tblStyle w:val="TableGrid"/>
        <w:tblW w:type="auto" w:w="0"/>
        <w:tblLook w:firstColumn="1" w:firstRow="1" w:lastColumn="0" w:lastRow="0" w:noHBand="0" w:noVBand="1" w:val="04A0"/>
      </w:tblPr>
      <w:tblGrid>
        <w:gridCol w:w="10080"/>
      </w:tblGrid>
      <w:tr>
        <w:tc>
          <w:tcPr>
            <w:tcW w:type="dxa" w:w="10080"/>
            <w:shd w:fill="EAF0F8"/>
          </w:tcPr>
          <w:p>
            <w:r/>
            <w:r>
              <w:rPr>
                <w:rFonts w:ascii="Aptos" w:hAnsi="Aptos"/>
                <w:b/>
                <w:color w:val="17365D"/>
                <w:sz w:val="21"/>
              </w:rPr>
              <w:t>Credential once where possible. Verify appropriately. Authorise locally. Match safely. Learn continuously.</w:t>
            </w:r>
          </w:p>
        </w:tc>
      </w:tr>
    </w:tbl>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17365D"/>
          </w:tcPr>
          <w:p>
            <w:r/>
            <w:r>
              <w:rPr>
                <w:rFonts w:ascii="Aptos" w:hAnsi="Aptos"/>
                <w:b/>
                <w:color w:val="FFFFFF"/>
                <w:sz w:val="17"/>
              </w:rPr>
              <w:t>Principle</w:t>
            </w:r>
          </w:p>
        </w:tc>
        <w:tc>
          <w:tcPr>
            <w:tcW w:type="dxa" w:w="7488"/>
            <w:vAlign w:val="center"/>
            <w:shd w:fill="17365D"/>
          </w:tcPr>
          <w:p>
            <w:r/>
            <w:r>
              <w:rPr>
                <w:rFonts w:ascii="Aptos" w:hAnsi="Aptos"/>
                <w:b/>
                <w:color w:val="FFFFFF"/>
                <w:sz w:val="17"/>
              </w:rPr>
              <w:t>Implication</w:t>
            </w:r>
          </w:p>
        </w:tc>
      </w:tr>
      <w:tr>
        <w:tc>
          <w:tcPr>
            <w:tcW w:type="dxa" w:w="2880"/>
            <w:vAlign w:val="center"/>
          </w:tcPr>
          <w:p>
            <w:r/>
            <w:r>
              <w:rPr>
                <w:rFonts w:ascii="Aptos" w:hAnsi="Aptos"/>
                <w:b w:val="0"/>
                <w:sz w:val="16"/>
              </w:rPr>
              <w:t>Practitioner utility from Day 1</w:t>
            </w:r>
          </w:p>
        </w:tc>
        <w:tc>
          <w:tcPr>
            <w:tcW w:type="dxa" w:w="7488"/>
            <w:vAlign w:val="center"/>
          </w:tcPr>
          <w:p>
            <w:r/>
            <w:r>
              <w:rPr>
                <w:rFonts w:ascii="Aptos" w:hAnsi="Aptos"/>
                <w:b w:val="0"/>
                <w:sz w:val="16"/>
              </w:rPr>
              <w:t>A doctor must receive value before network scale exists. The free Credential Wallet and sharing function are therefore Stage 1 capabilities.</w:t>
            </w:r>
          </w:p>
        </w:tc>
      </w:tr>
      <w:tr>
        <w:tc>
          <w:tcPr>
            <w:tcW w:type="dxa" w:w="2880"/>
            <w:vAlign w:val="center"/>
            <w:shd w:fill="F3F6FA"/>
          </w:tcPr>
          <w:p>
            <w:r/>
            <w:r>
              <w:rPr>
                <w:rFonts w:ascii="Aptos" w:hAnsi="Aptos"/>
                <w:b w:val="0"/>
                <w:sz w:val="16"/>
              </w:rPr>
              <w:t>Practitioner-owned portfolio</w:t>
            </w:r>
          </w:p>
        </w:tc>
        <w:tc>
          <w:tcPr>
            <w:tcW w:type="dxa" w:w="7488"/>
            <w:vAlign w:val="center"/>
            <w:shd w:fill="F3F6FA"/>
          </w:tcPr>
          <w:p>
            <w:r/>
            <w:r>
              <w:rPr>
                <w:rFonts w:ascii="Aptos" w:hAnsi="Aptos"/>
                <w:b w:val="0"/>
                <w:sz w:val="16"/>
              </w:rPr>
              <w:t>The practitioner maintains their credential portfolio. Organisations receive permissioned access and contribute verification or scope attestations.</w:t>
            </w:r>
          </w:p>
        </w:tc>
      </w:tr>
      <w:tr>
        <w:tc>
          <w:tcPr>
            <w:tcW w:type="dxa" w:w="2880"/>
            <w:vAlign w:val="center"/>
          </w:tcPr>
          <w:p>
            <w:r/>
            <w:r>
              <w:rPr>
                <w:rFonts w:ascii="Aptos" w:hAnsi="Aptos"/>
                <w:b w:val="0"/>
                <w:sz w:val="16"/>
              </w:rPr>
              <w:t>Evidence is not authority</w:t>
            </w:r>
          </w:p>
        </w:tc>
        <w:tc>
          <w:tcPr>
            <w:tcW w:type="dxa" w:w="7488"/>
            <w:vAlign w:val="center"/>
          </w:tcPr>
          <w:p>
            <w:r/>
            <w:r>
              <w:rPr>
                <w:rFonts w:ascii="Aptos" w:hAnsi="Aptos"/>
                <w:b w:val="0"/>
                <w:sz w:val="16"/>
              </w:rPr>
              <w:t>Portable evidence does not automatically confer organisational scope.</w:t>
            </w:r>
          </w:p>
        </w:tc>
      </w:tr>
      <w:tr>
        <w:tc>
          <w:tcPr>
            <w:tcW w:type="dxa" w:w="2880"/>
            <w:vAlign w:val="center"/>
            <w:shd w:fill="F3F6FA"/>
          </w:tcPr>
          <w:p>
            <w:r/>
            <w:r>
              <w:rPr>
                <w:rFonts w:ascii="Aptos" w:hAnsi="Aptos"/>
                <w:b w:val="0"/>
                <w:sz w:val="16"/>
              </w:rPr>
              <w:t>Eligibility before desirability</w:t>
            </w:r>
          </w:p>
        </w:tc>
        <w:tc>
          <w:tcPr>
            <w:tcW w:type="dxa" w:w="7488"/>
            <w:vAlign w:val="center"/>
            <w:shd w:fill="F3F6FA"/>
          </w:tcPr>
          <w:p>
            <w:r/>
            <w:r>
              <w:rPr>
                <w:rFonts w:ascii="Aptos" w:hAnsi="Aptos"/>
                <w:b w:val="0"/>
                <w:sz w:val="16"/>
              </w:rPr>
              <w:t>Clinical/governance eligibility is a hard gate. Preference, rate, distance and continuity only rank candidates after eligibility is established.</w:t>
            </w:r>
          </w:p>
        </w:tc>
      </w:tr>
      <w:tr>
        <w:tc>
          <w:tcPr>
            <w:tcW w:type="dxa" w:w="2880"/>
            <w:vAlign w:val="center"/>
          </w:tcPr>
          <w:p>
            <w:r/>
            <w:r>
              <w:rPr>
                <w:rFonts w:ascii="Aptos" w:hAnsi="Aptos"/>
                <w:b w:val="0"/>
                <w:sz w:val="16"/>
              </w:rPr>
              <w:t>Procurement by design</w:t>
            </w:r>
          </w:p>
        </w:tc>
        <w:tc>
          <w:tcPr>
            <w:tcW w:type="dxa" w:w="7488"/>
            <w:vAlign w:val="center"/>
          </w:tcPr>
          <w:p>
            <w:r/>
            <w:r>
              <w:rPr>
                <w:rFonts w:ascii="Aptos" w:hAnsi="Aptos"/>
                <w:b w:val="0"/>
                <w:sz w:val="16"/>
              </w:rPr>
              <w:t>Sourcing rules are configurable, auditable and versioned. The system should make compliant behaviour easier than non-compliant behaviour.</w:t>
            </w:r>
          </w:p>
        </w:tc>
      </w:tr>
      <w:tr>
        <w:tc>
          <w:tcPr>
            <w:tcW w:type="dxa" w:w="2880"/>
            <w:vAlign w:val="center"/>
            <w:shd w:fill="F3F6FA"/>
          </w:tcPr>
          <w:p>
            <w:r/>
            <w:r>
              <w:rPr>
                <w:rFonts w:ascii="Aptos" w:hAnsi="Aptos"/>
                <w:b w:val="0"/>
                <w:sz w:val="16"/>
              </w:rPr>
              <w:t>Feedback for improvement</w:t>
            </w:r>
          </w:p>
        </w:tc>
        <w:tc>
          <w:tcPr>
            <w:tcW w:type="dxa" w:w="7488"/>
            <w:vAlign w:val="center"/>
            <w:shd w:fill="F3F6FA"/>
          </w:tcPr>
          <w:p>
            <w:r/>
            <w:r>
              <w:rPr>
                <w:rFonts w:ascii="Aptos" w:hAnsi="Aptos"/>
                <w:b w:val="0"/>
                <w:sz w:val="16"/>
              </w:rPr>
              <w:t>Locum experience is collected to improve culture, orientation, support and retention, not to create an unmoderated public rating site.</w:t>
            </w:r>
          </w:p>
        </w:tc>
      </w:tr>
      <w:tr>
        <w:tc>
          <w:tcPr>
            <w:tcW w:type="dxa" w:w="2880"/>
            <w:vAlign w:val="center"/>
          </w:tcPr>
          <w:p>
            <w:r/>
            <w:r>
              <w:rPr>
                <w:rFonts w:ascii="Aptos" w:hAnsi="Aptos"/>
                <w:b w:val="0"/>
                <w:sz w:val="16"/>
              </w:rPr>
              <w:t>Open interoperability</w:t>
            </w:r>
          </w:p>
        </w:tc>
        <w:tc>
          <w:tcPr>
            <w:tcW w:type="dxa" w:w="7488"/>
            <w:vAlign w:val="center"/>
          </w:tcPr>
          <w:p>
            <w:r/>
            <w:r>
              <w:rPr>
                <w:rFonts w:ascii="Aptos" w:hAnsi="Aptos"/>
                <w:b w:val="0"/>
                <w:sz w:val="16"/>
              </w:rPr>
              <w:t>Identifiers, APIs and terminology should be designed for standards-based exchange and future national integration.</w:t>
            </w:r>
          </w:p>
        </w:tc>
      </w:tr>
      <w:tr>
        <w:tc>
          <w:tcPr>
            <w:tcW w:type="dxa" w:w="2880"/>
            <w:vAlign w:val="center"/>
            <w:shd w:fill="F3F6FA"/>
          </w:tcPr>
          <w:p>
            <w:r/>
            <w:r>
              <w:rPr>
                <w:rFonts w:ascii="Aptos" w:hAnsi="Aptos"/>
                <w:b w:val="0"/>
                <w:sz w:val="16"/>
              </w:rPr>
              <w:t>Progressive implementation</w:t>
            </w:r>
          </w:p>
        </w:tc>
        <w:tc>
          <w:tcPr>
            <w:tcW w:type="dxa" w:w="7488"/>
            <w:vAlign w:val="center"/>
            <w:shd w:fill="F3F6FA"/>
          </w:tcPr>
          <w:p>
            <w:r/>
            <w:r>
              <w:rPr>
                <w:rFonts w:ascii="Aptos" w:hAnsi="Aptos"/>
                <w:b w:val="0"/>
                <w:sz w:val="16"/>
              </w:rPr>
              <w:t>Do not replace credentialling, payroll and rostering simultaneously. Introduce value in stages and retain human safety nets during validation.</w:t>
            </w:r>
          </w:p>
        </w:tc>
      </w:tr>
      <w:tr>
        <w:tc>
          <w:tcPr>
            <w:tcW w:type="dxa" w:w="2880"/>
            <w:vAlign w:val="center"/>
          </w:tcPr>
          <w:p>
            <w:r/>
            <w:r>
              <w:rPr>
                <w:rFonts w:ascii="Aptos" w:hAnsi="Aptos"/>
                <w:b w:val="0"/>
                <w:sz w:val="16"/>
              </w:rPr>
              <w:t>Privacy by design</w:t>
            </w:r>
          </w:p>
        </w:tc>
        <w:tc>
          <w:tcPr>
            <w:tcW w:type="dxa" w:w="7488"/>
            <w:vAlign w:val="center"/>
          </w:tcPr>
          <w:p>
            <w:r/>
            <w:r>
              <w:rPr>
                <w:rFonts w:ascii="Aptos" w:hAnsi="Aptos"/>
                <w:b w:val="0"/>
                <w:sz w:val="16"/>
              </w:rPr>
              <w:t>Sensitive credentials, identity evidence and confidential feedback require least-privilege access, explicit sharing and comprehensive audit.</w:t>
            </w:r>
          </w:p>
        </w:tc>
      </w:tr>
      <w:tr>
        <w:tc>
          <w:tcPr>
            <w:tcW w:type="dxa" w:w="2880"/>
            <w:vAlign w:val="center"/>
            <w:shd w:fill="F3F6FA"/>
          </w:tcPr>
          <w:p>
            <w:r/>
            <w:r>
              <w:rPr>
                <w:rFonts w:ascii="Aptos" w:hAnsi="Aptos"/>
                <w:b w:val="0"/>
                <w:sz w:val="16"/>
              </w:rPr>
              <w:t>Measure behaviour</w:t>
            </w:r>
          </w:p>
        </w:tc>
        <w:tc>
          <w:tcPr>
            <w:tcW w:type="dxa" w:w="7488"/>
            <w:vAlign w:val="center"/>
            <w:shd w:fill="F3F6FA"/>
          </w:tcPr>
          <w:p>
            <w:r/>
            <w:r>
              <w:rPr>
                <w:rFonts w:ascii="Aptos" w:hAnsi="Aptos"/>
                <w:b w:val="0"/>
                <w:sz w:val="16"/>
              </w:rPr>
              <w:t>Stated willingness to return is useful; actual return following a suitable opportunity is stronger evidence.</w:t>
            </w:r>
          </w:p>
        </w:tc>
      </w:tr>
    </w:tbl>
    <w:p/>
    <w:p>
      <w:pPr>
        <w:pStyle w:val="Heading1"/>
      </w:pPr>
      <w:r>
        <w:t>5. Product domains</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17365D"/>
          </w:tcPr>
          <w:p>
            <w:r/>
            <w:r>
              <w:rPr>
                <w:rFonts w:ascii="Aptos" w:hAnsi="Aptos"/>
                <w:b/>
                <w:color w:val="FFFFFF"/>
                <w:sz w:val="17"/>
              </w:rPr>
              <w:t>Domain</w:t>
            </w:r>
          </w:p>
        </w:tc>
        <w:tc>
          <w:tcPr>
            <w:tcW w:type="dxa" w:w="7920"/>
            <w:vAlign w:val="center"/>
            <w:shd w:fill="17365D"/>
          </w:tcPr>
          <w:p>
            <w:r/>
            <w:r>
              <w:rPr>
                <w:rFonts w:ascii="Aptos" w:hAnsi="Aptos"/>
                <w:b/>
                <w:color w:val="FFFFFF"/>
                <w:sz w:val="17"/>
              </w:rPr>
              <w:t>Purpose</w:t>
            </w:r>
          </w:p>
        </w:tc>
      </w:tr>
      <w:tr>
        <w:tc>
          <w:tcPr>
            <w:tcW w:type="dxa" w:w="2448"/>
            <w:vAlign w:val="center"/>
          </w:tcPr>
          <w:p>
            <w:r/>
            <w:r>
              <w:rPr>
                <w:rFonts w:ascii="Aptos" w:hAnsi="Aptos"/>
                <w:b w:val="0"/>
                <w:sz w:val="16"/>
              </w:rPr>
              <w:t>Passport</w:t>
            </w:r>
          </w:p>
        </w:tc>
        <w:tc>
          <w:tcPr>
            <w:tcW w:type="dxa" w:w="7920"/>
            <w:vAlign w:val="center"/>
          </w:tcPr>
          <w:p>
            <w:r/>
            <w:r>
              <w:rPr>
                <w:rFonts w:ascii="Aptos" w:hAnsi="Aptos"/>
                <w:b w:val="0"/>
                <w:sz w:val="16"/>
              </w:rPr>
              <w:t>Practitioner identity, professional profile and enduring relationship with the platform.</w:t>
            </w:r>
          </w:p>
        </w:tc>
      </w:tr>
      <w:tr>
        <w:tc>
          <w:tcPr>
            <w:tcW w:type="dxa" w:w="2448"/>
            <w:vAlign w:val="center"/>
            <w:shd w:fill="F3F6FA"/>
          </w:tcPr>
          <w:p>
            <w:r/>
            <w:r>
              <w:rPr>
                <w:rFonts w:ascii="Aptos" w:hAnsi="Aptos"/>
                <w:b w:val="0"/>
                <w:sz w:val="16"/>
              </w:rPr>
              <w:t>Credential Wallet</w:t>
            </w:r>
          </w:p>
        </w:tc>
        <w:tc>
          <w:tcPr>
            <w:tcW w:type="dxa" w:w="7920"/>
            <w:vAlign w:val="center"/>
            <w:shd w:fill="F3F6FA"/>
          </w:tcPr>
          <w:p>
            <w:r/>
            <w:r>
              <w:rPr>
                <w:rFonts w:ascii="Aptos" w:hAnsi="Aptos"/>
                <w:b w:val="0"/>
                <w:sz w:val="16"/>
              </w:rPr>
              <w:t>Structured credentials, evidence, expiry, verification, bundles and sharing.</w:t>
            </w:r>
          </w:p>
        </w:tc>
      </w:tr>
      <w:tr>
        <w:tc>
          <w:tcPr>
            <w:tcW w:type="dxa" w:w="2448"/>
            <w:vAlign w:val="center"/>
          </w:tcPr>
          <w:p>
            <w:r/>
            <w:r>
              <w:rPr>
                <w:rFonts w:ascii="Aptos" w:hAnsi="Aptos"/>
                <w:b w:val="0"/>
                <w:sz w:val="16"/>
              </w:rPr>
              <w:t>Credentialling</w:t>
            </w:r>
          </w:p>
        </w:tc>
        <w:tc>
          <w:tcPr>
            <w:tcW w:type="dxa" w:w="7920"/>
            <w:vAlign w:val="center"/>
          </w:tcPr>
          <w:p>
            <w:r/>
            <w:r>
              <w:rPr>
                <w:rFonts w:ascii="Aptos" w:hAnsi="Aptos"/>
                <w:b w:val="0"/>
                <w:sz w:val="16"/>
              </w:rPr>
              <w:t>Organisation workflow to assess evidence and make credential/scope decisions.</w:t>
            </w:r>
          </w:p>
        </w:tc>
      </w:tr>
      <w:tr>
        <w:tc>
          <w:tcPr>
            <w:tcW w:type="dxa" w:w="2448"/>
            <w:vAlign w:val="center"/>
            <w:shd w:fill="F3F6FA"/>
          </w:tcPr>
          <w:p>
            <w:r/>
            <w:r>
              <w:rPr>
                <w:rFonts w:ascii="Aptos" w:hAnsi="Aptos"/>
                <w:b w:val="0"/>
                <w:sz w:val="16"/>
              </w:rPr>
              <w:t>ScopeGraph</w:t>
            </w:r>
          </w:p>
        </w:tc>
        <w:tc>
          <w:tcPr>
            <w:tcW w:type="dxa" w:w="7920"/>
            <w:vAlign w:val="center"/>
            <w:shd w:fill="F3F6FA"/>
          </w:tcPr>
          <w:p>
            <w:r/>
            <w:r>
              <w:rPr>
                <w:rFonts w:ascii="Aptos" w:hAnsi="Aptos"/>
                <w:b w:val="0"/>
                <w:sz w:val="16"/>
              </w:rPr>
              <w:t>Future capability and role requirement model linking evidence, capability, scope, facility and role.</w:t>
            </w:r>
          </w:p>
        </w:tc>
      </w:tr>
      <w:tr>
        <w:tc>
          <w:tcPr>
            <w:tcW w:type="dxa" w:w="2448"/>
            <w:vAlign w:val="center"/>
          </w:tcPr>
          <w:p>
            <w:r/>
            <w:r>
              <w:rPr>
                <w:rFonts w:ascii="Aptos" w:hAnsi="Aptos"/>
                <w:b w:val="0"/>
                <w:sz w:val="16"/>
              </w:rPr>
              <w:t>Exchange</w:t>
            </w:r>
          </w:p>
        </w:tc>
        <w:tc>
          <w:tcPr>
            <w:tcW w:type="dxa" w:w="7920"/>
            <w:vAlign w:val="center"/>
          </w:tcPr>
          <w:p>
            <w:r/>
            <w:r>
              <w:rPr>
                <w:rFonts w:ascii="Aptos" w:hAnsi="Aptos"/>
                <w:b w:val="0"/>
                <w:sz w:val="16"/>
              </w:rPr>
              <w:t>Vacancies, matching, applications, proposals, bookings and notifications.</w:t>
            </w:r>
          </w:p>
        </w:tc>
      </w:tr>
      <w:tr>
        <w:tc>
          <w:tcPr>
            <w:tcW w:type="dxa" w:w="2448"/>
            <w:vAlign w:val="center"/>
            <w:shd w:fill="F3F6FA"/>
          </w:tcPr>
          <w:p>
            <w:r/>
            <w:r>
              <w:rPr>
                <w:rFonts w:ascii="Aptos" w:hAnsi="Aptos"/>
                <w:b w:val="0"/>
                <w:sz w:val="16"/>
              </w:rPr>
              <w:t>Sourcing Policy</w:t>
            </w:r>
          </w:p>
        </w:tc>
        <w:tc>
          <w:tcPr>
            <w:tcW w:type="dxa" w:w="7920"/>
            <w:vAlign w:val="center"/>
            <w:shd w:fill="F3F6FA"/>
          </w:tcPr>
          <w:p>
            <w:r/>
            <w:r>
              <w:rPr>
                <w:rFonts w:ascii="Aptos" w:hAnsi="Aptos"/>
                <w:b w:val="0"/>
                <w:sz w:val="16"/>
              </w:rPr>
              <w:t>Internal/direct/agency tiers, protected windows, approval thresholds and escalation.</w:t>
            </w:r>
          </w:p>
        </w:tc>
      </w:tr>
      <w:tr>
        <w:tc>
          <w:tcPr>
            <w:tcW w:type="dxa" w:w="2448"/>
            <w:vAlign w:val="center"/>
          </w:tcPr>
          <w:p>
            <w:r/>
            <w:r>
              <w:rPr>
                <w:rFonts w:ascii="Aptos" w:hAnsi="Aptos"/>
                <w:b w:val="0"/>
                <w:sz w:val="16"/>
              </w:rPr>
              <w:t>Agency</w:t>
            </w:r>
          </w:p>
        </w:tc>
        <w:tc>
          <w:tcPr>
            <w:tcW w:type="dxa" w:w="7920"/>
            <w:vAlign w:val="center"/>
          </w:tcPr>
          <w:p>
            <w:r/>
            <w:r>
              <w:rPr>
                <w:rFonts w:ascii="Aptos" w:hAnsi="Aptos"/>
                <w:b w:val="0"/>
                <w:sz w:val="16"/>
              </w:rPr>
              <w:t>Panel eligibility, agreements, commission models, proposals and performance.</w:t>
            </w:r>
          </w:p>
        </w:tc>
      </w:tr>
      <w:tr>
        <w:tc>
          <w:tcPr>
            <w:tcW w:type="dxa" w:w="2448"/>
            <w:vAlign w:val="center"/>
            <w:shd w:fill="F3F6FA"/>
          </w:tcPr>
          <w:p>
            <w:r/>
            <w:r>
              <w:rPr>
                <w:rFonts w:ascii="Aptos" w:hAnsi="Aptos"/>
                <w:b w:val="0"/>
                <w:sz w:val="16"/>
              </w:rPr>
              <w:t>Timesheets</w:t>
            </w:r>
          </w:p>
        </w:tc>
        <w:tc>
          <w:tcPr>
            <w:tcW w:type="dxa" w:w="7920"/>
            <w:vAlign w:val="center"/>
            <w:shd w:fill="F3F6FA"/>
          </w:tcPr>
          <w:p>
            <w:r/>
            <w:r>
              <w:rPr>
                <w:rFonts w:ascii="Aptos" w:hAnsi="Aptos"/>
                <w:b w:val="0"/>
                <w:sz w:val="16"/>
              </w:rPr>
              <w:t>Claimed hours, accountless approval, amendment/rejection and audit.</w:t>
            </w:r>
          </w:p>
        </w:tc>
      </w:tr>
      <w:tr>
        <w:tc>
          <w:tcPr>
            <w:tcW w:type="dxa" w:w="2448"/>
            <w:vAlign w:val="center"/>
          </w:tcPr>
          <w:p>
            <w:r/>
            <w:r>
              <w:rPr>
                <w:rFonts w:ascii="Aptos" w:hAnsi="Aptos"/>
                <w:b w:val="0"/>
                <w:sz w:val="16"/>
              </w:rPr>
              <w:t>Experience</w:t>
            </w:r>
          </w:p>
        </w:tc>
        <w:tc>
          <w:tcPr>
            <w:tcW w:type="dxa" w:w="7920"/>
            <w:vAlign w:val="center"/>
          </w:tcPr>
          <w:p>
            <w:r/>
            <w:r>
              <w:rPr>
                <w:rFonts w:ascii="Aptos" w:hAnsi="Aptos"/>
                <w:b w:val="0"/>
                <w:sz w:val="16"/>
              </w:rPr>
              <w:t>Confidential post-shift feedback, culture, support, workload, orientation and confidence in care.</w:t>
            </w:r>
          </w:p>
        </w:tc>
      </w:tr>
      <w:tr>
        <w:tc>
          <w:tcPr>
            <w:tcW w:type="dxa" w:w="2448"/>
            <w:vAlign w:val="center"/>
            <w:shd w:fill="F3F6FA"/>
          </w:tcPr>
          <w:p>
            <w:r/>
            <w:r>
              <w:rPr>
                <w:rFonts w:ascii="Aptos" w:hAnsi="Aptos"/>
                <w:b w:val="0"/>
                <w:sz w:val="16"/>
              </w:rPr>
              <w:t>Intelligence</w:t>
            </w:r>
          </w:p>
        </w:tc>
        <w:tc>
          <w:tcPr>
            <w:tcW w:type="dxa" w:w="7920"/>
            <w:vAlign w:val="center"/>
            <w:shd w:fill="F3F6FA"/>
          </w:tcPr>
          <w:p>
            <w:r/>
            <w:r>
              <w:rPr>
                <w:rFonts w:ascii="Aptos" w:hAnsi="Aptos"/>
                <w:b w:val="0"/>
                <w:sz w:val="16"/>
              </w:rPr>
              <w:t>Fill, cost, procurement, retention, experience and improvement analytics.</w:t>
            </w:r>
          </w:p>
        </w:tc>
      </w:tr>
    </w:tbl>
    <w:p/>
    <w:p>
      <w:pPr>
        <w:pStyle w:val="Heading1"/>
      </w:pPr>
      <w:r>
        <w:t>6. Stage 1: YNLHN foundation</w:t>
      </w:r>
    </w:p>
    <w:p>
      <w:r>
        <w:t>Stage 1 is deliberately designed to provide immediate benefit to doctors while solving a contained YNLHN workforce problem. The Credential Wallet is present from the first release. Existing YNLHN credentialling and scope records remain authoritative during the initial marketplace pilot.</w:t>
      </w:r>
    </w:p>
    <w:p>
      <w:pPr>
        <w:pStyle w:val="Heading2"/>
      </w:pPr>
      <w:r>
        <w:t>6.1 Stage 1A - Doctor Passport and Credential Wallet</w:t>
      </w:r>
    </w:p>
    <w:p>
      <w:pPr>
        <w:pStyle w:val="ListBullet"/>
      </w:pPr>
      <w:r>
        <w:t>Doctor account, MFA and practitioner profile</w:t>
      </w:r>
    </w:p>
    <w:p>
      <w:pPr>
        <w:pStyle w:val="ListBullet"/>
      </w:pPr>
      <w:r>
        <w:t>Ahpra number and optional HPI-I capture, with future validation integration</w:t>
      </w:r>
    </w:p>
    <w:p>
      <w:pPr>
        <w:pStyle w:val="ListBullet"/>
      </w:pPr>
      <w:r>
        <w:t>Structured credential types and credential records</w:t>
      </w:r>
    </w:p>
    <w:p>
      <w:pPr>
        <w:pStyle w:val="ListBullet"/>
      </w:pPr>
      <w:r>
        <w:t>Evidence upload with issue date, expiry date, issuer and document metadata</w:t>
      </w:r>
    </w:p>
    <w:p>
      <w:pPr>
        <w:pStyle w:val="ListBullet"/>
      </w:pPr>
      <w:r>
        <w:t>Credential status: self-supplied, organisation-verified, primary-source verified, expired, revoked or superseded</w:t>
      </w:r>
    </w:p>
    <w:p>
      <w:pPr>
        <w:pStyle w:val="ListBullet"/>
      </w:pPr>
      <w:r>
        <w:t>Credential health dashboard and configurable expiry reminders</w:t>
      </w:r>
    </w:p>
    <w:p>
      <w:pPr>
        <w:pStyle w:val="ListBullet"/>
      </w:pPr>
      <w:r>
        <w:t>Credential bundles such as Standard Locum Pack, ED Pack and Identity Pack</w:t>
      </w:r>
    </w:p>
    <w:p>
      <w:pPr>
        <w:pStyle w:val="ListBullet"/>
      </w:pPr>
      <w:r>
        <w:t>Secure, time-limited credential sharing to any recipient without requiring the recipient to join</w:t>
      </w:r>
    </w:p>
    <w:p>
      <w:pPr>
        <w:pStyle w:val="ListBullet"/>
      </w:pPr>
      <w:r>
        <w:t>Access log and revocation of shared packs</w:t>
      </w:r>
    </w:p>
    <w:p>
      <w:pPr>
        <w:pStyle w:val="ListBullet"/>
      </w:pPr>
      <w:r>
        <w:t>PDF/index export for organisations that still require conventional submission</w:t>
      </w:r>
    </w:p>
    <w:p>
      <w:pPr>
        <w:pStyle w:val="ListBullet"/>
      </w:pPr>
      <w:r>
        <w:t>CV upload initially, with future structured CV generation</w:t>
      </w:r>
    </w:p>
    <w:p>
      <w:pPr>
        <w:pStyle w:val="ListBullet"/>
      </w:pPr>
      <w:r>
        <w:t>Organisation request for updated credential evidence</w:t>
      </w:r>
    </w:p>
    <w:p>
      <w:pPr>
        <w:pStyle w:val="ListBullet"/>
      </w:pPr>
      <w:r>
        <w:t>Import/display of existing YNLHN scope and credential status as organisation attestations</w:t>
      </w:r>
    </w:p>
    <w:p>
      <w:pPr>
        <w:pStyle w:val="Heading2"/>
      </w:pPr>
      <w:r>
        <w:t>6.2 Stage 1B - Locum Experience</w:t>
      </w:r>
    </w:p>
    <w:p>
      <w:r>
        <w:t>Feedback is a core introduction rationale, not an optional later feature. It provides a legitimate workforce improvement purpose and establishes baseline measures before marketplace changes alter behaviour.</w:t>
      </w:r>
    </w:p>
    <w:tbl>
      <w:tblPr>
        <w:tblStyle w:val="TableGrid"/>
        <w:tblW w:type="auto" w:w="0"/>
        <w:jc w:val="center"/>
        <w:tblLook w:firstColumn="1" w:firstRow="1" w:lastColumn="0" w:lastRow="0" w:noHBand="0" w:noVBand="1" w:val="04A0"/>
      </w:tblPr>
      <w:tblGrid>
        <w:gridCol w:w="3360"/>
        <w:gridCol w:w="3360"/>
        <w:gridCol w:w="3360"/>
      </w:tblGrid>
      <w:tr>
        <w:tc>
          <w:tcPr>
            <w:tcW w:type="dxa" w:w="1944"/>
            <w:vAlign w:val="center"/>
            <w:shd w:fill="17365D"/>
          </w:tcPr>
          <w:p>
            <w:r/>
            <w:r>
              <w:rPr>
                <w:rFonts w:ascii="Aptos" w:hAnsi="Aptos"/>
                <w:b/>
                <w:color w:val="FFFFFF"/>
                <w:sz w:val="17"/>
              </w:rPr>
              <w:t>Domain</w:t>
            </w:r>
          </w:p>
        </w:tc>
        <w:tc>
          <w:tcPr>
            <w:tcW w:type="dxa" w:w="6192"/>
            <w:vAlign w:val="center"/>
            <w:shd w:fill="17365D"/>
          </w:tcPr>
          <w:p>
            <w:r/>
            <w:r>
              <w:rPr>
                <w:rFonts w:ascii="Aptos" w:hAnsi="Aptos"/>
                <w:b/>
                <w:color w:val="FFFFFF"/>
                <w:sz w:val="17"/>
              </w:rPr>
              <w:t>Example item</w:t>
            </w:r>
          </w:p>
        </w:tc>
        <w:tc>
          <w:tcPr>
            <w:tcW w:type="dxa" w:w="2232"/>
            <w:vAlign w:val="center"/>
            <w:shd w:fill="17365D"/>
          </w:tcPr>
          <w:p>
            <w:r/>
            <w:r>
              <w:rPr>
                <w:rFonts w:ascii="Aptos" w:hAnsi="Aptos"/>
                <w:b/>
                <w:color w:val="FFFFFF"/>
                <w:sz w:val="17"/>
              </w:rPr>
              <w:t>Measure</w:t>
            </w:r>
          </w:p>
        </w:tc>
      </w:tr>
      <w:tr>
        <w:tc>
          <w:tcPr>
            <w:tcW w:type="dxa" w:w="1944"/>
            <w:vAlign w:val="center"/>
          </w:tcPr>
          <w:p>
            <w:r/>
            <w:r>
              <w:rPr>
                <w:rFonts w:ascii="Aptos" w:hAnsi="Aptos"/>
                <w:b w:val="0"/>
                <w:sz w:val="16"/>
              </w:rPr>
              <w:t>Confidence in care</w:t>
            </w:r>
          </w:p>
        </w:tc>
        <w:tc>
          <w:tcPr>
            <w:tcW w:type="dxa" w:w="6192"/>
            <w:vAlign w:val="center"/>
          </w:tcPr>
          <w:p>
            <w:r/>
            <w:r>
              <w:rPr>
                <w:rFonts w:ascii="Aptos" w:hAnsi="Aptos"/>
                <w:b w:val="0"/>
                <w:sz w:val="16"/>
              </w:rPr>
              <w:t>If someone close to you became unexpectedly unwell while passing through this town, how comfortable would you be with them receiving care at this hospital?</w:t>
            </w:r>
          </w:p>
        </w:tc>
        <w:tc>
          <w:tcPr>
            <w:tcW w:type="dxa" w:w="2232"/>
            <w:vAlign w:val="center"/>
          </w:tcPr>
          <w:p>
            <w:r/>
            <w:r>
              <w:rPr>
                <w:rFonts w:ascii="Aptos" w:hAnsi="Aptos"/>
                <w:b w:val="0"/>
                <w:sz w:val="16"/>
              </w:rPr>
              <w:t>0–10</w:t>
            </w:r>
          </w:p>
        </w:tc>
      </w:tr>
      <w:tr>
        <w:tc>
          <w:tcPr>
            <w:tcW w:type="dxa" w:w="1944"/>
            <w:vAlign w:val="center"/>
            <w:shd w:fill="F3F6FA"/>
          </w:tcPr>
          <w:p>
            <w:r/>
            <w:r>
              <w:rPr>
                <w:rFonts w:ascii="Aptos" w:hAnsi="Aptos"/>
                <w:b w:val="0"/>
                <w:sz w:val="16"/>
              </w:rPr>
              <w:t>Culture</w:t>
            </w:r>
          </w:p>
        </w:tc>
        <w:tc>
          <w:tcPr>
            <w:tcW w:type="dxa" w:w="6192"/>
            <w:vAlign w:val="center"/>
            <w:shd w:fill="F3F6FA"/>
          </w:tcPr>
          <w:p>
            <w:r/>
            <w:r>
              <w:rPr>
                <w:rFonts w:ascii="Aptos" w:hAnsi="Aptos"/>
                <w:b w:val="0"/>
                <w:sz w:val="16"/>
              </w:rPr>
              <w:t>How would you rate the culture of the clinical team you worked with?</w:t>
            </w:r>
          </w:p>
        </w:tc>
        <w:tc>
          <w:tcPr>
            <w:tcW w:type="dxa" w:w="2232"/>
            <w:vAlign w:val="center"/>
            <w:shd w:fill="F3F6FA"/>
          </w:tcPr>
          <w:p>
            <w:r/>
            <w:r>
              <w:rPr>
                <w:rFonts w:ascii="Aptos" w:hAnsi="Aptos"/>
                <w:b w:val="0"/>
                <w:sz w:val="16"/>
              </w:rPr>
              <w:t>0–10</w:t>
            </w:r>
          </w:p>
        </w:tc>
      </w:tr>
      <w:tr>
        <w:tc>
          <w:tcPr>
            <w:tcW w:type="dxa" w:w="1944"/>
            <w:vAlign w:val="center"/>
          </w:tcPr>
          <w:p>
            <w:r/>
            <w:r>
              <w:rPr>
                <w:rFonts w:ascii="Aptos" w:hAnsi="Aptos"/>
                <w:b w:val="0"/>
                <w:sz w:val="16"/>
              </w:rPr>
              <w:t>Speaking up</w:t>
            </w:r>
          </w:p>
        </w:tc>
        <w:tc>
          <w:tcPr>
            <w:tcW w:type="dxa" w:w="6192"/>
            <w:vAlign w:val="center"/>
          </w:tcPr>
          <w:p>
            <w:r/>
            <w:r>
              <w:rPr>
                <w:rFonts w:ascii="Aptos" w:hAnsi="Aptos"/>
                <w:b w:val="0"/>
                <w:sz w:val="16"/>
              </w:rPr>
              <w:t>Did you feel safe raising a clinical concern?</w:t>
            </w:r>
          </w:p>
        </w:tc>
        <w:tc>
          <w:tcPr>
            <w:tcW w:type="dxa" w:w="2232"/>
            <w:vAlign w:val="center"/>
          </w:tcPr>
          <w:p>
            <w:r/>
            <w:r>
              <w:rPr>
                <w:rFonts w:ascii="Aptos" w:hAnsi="Aptos"/>
                <w:b w:val="0"/>
                <w:sz w:val="16"/>
              </w:rPr>
              <w:t>Yes / Mostly / No</w:t>
            </w:r>
          </w:p>
        </w:tc>
      </w:tr>
      <w:tr>
        <w:tc>
          <w:tcPr>
            <w:tcW w:type="dxa" w:w="1944"/>
            <w:vAlign w:val="center"/>
            <w:shd w:fill="F3F6FA"/>
          </w:tcPr>
          <w:p>
            <w:r/>
            <w:r>
              <w:rPr>
                <w:rFonts w:ascii="Aptos" w:hAnsi="Aptos"/>
                <w:b w:val="0"/>
                <w:sz w:val="16"/>
              </w:rPr>
              <w:t>Support</w:t>
            </w:r>
          </w:p>
        </w:tc>
        <w:tc>
          <w:tcPr>
            <w:tcW w:type="dxa" w:w="6192"/>
            <w:vAlign w:val="center"/>
            <w:shd w:fill="F3F6FA"/>
          </w:tcPr>
          <w:p>
            <w:r/>
            <w:r>
              <w:rPr>
                <w:rFonts w:ascii="Aptos" w:hAnsi="Aptos"/>
                <w:b w:val="0"/>
                <w:sz w:val="16"/>
              </w:rPr>
              <w:t>Could you obtain appropriate clinical help when needed?</w:t>
            </w:r>
          </w:p>
        </w:tc>
        <w:tc>
          <w:tcPr>
            <w:tcW w:type="dxa" w:w="2232"/>
            <w:vAlign w:val="center"/>
            <w:shd w:fill="F3F6FA"/>
          </w:tcPr>
          <w:p>
            <w:r/>
            <w:r>
              <w:rPr>
                <w:rFonts w:ascii="Aptos" w:hAnsi="Aptos"/>
                <w:b w:val="0"/>
                <w:sz w:val="16"/>
              </w:rPr>
              <w:t>Yes / Mostly / No</w:t>
            </w:r>
          </w:p>
        </w:tc>
      </w:tr>
      <w:tr>
        <w:tc>
          <w:tcPr>
            <w:tcW w:type="dxa" w:w="1944"/>
            <w:vAlign w:val="center"/>
          </w:tcPr>
          <w:p>
            <w:r/>
            <w:r>
              <w:rPr>
                <w:rFonts w:ascii="Aptos" w:hAnsi="Aptos"/>
                <w:b w:val="0"/>
                <w:sz w:val="16"/>
              </w:rPr>
              <w:t>Workload</w:t>
            </w:r>
          </w:p>
        </w:tc>
        <w:tc>
          <w:tcPr>
            <w:tcW w:type="dxa" w:w="6192"/>
            <w:vAlign w:val="center"/>
          </w:tcPr>
          <w:p>
            <w:r/>
            <w:r>
              <w:rPr>
                <w:rFonts w:ascii="Aptos" w:hAnsi="Aptos"/>
                <w:b w:val="0"/>
                <w:sz w:val="16"/>
              </w:rPr>
              <w:t>Was the workload safe and manageable?</w:t>
            </w:r>
          </w:p>
        </w:tc>
        <w:tc>
          <w:tcPr>
            <w:tcW w:type="dxa" w:w="2232"/>
            <w:vAlign w:val="center"/>
          </w:tcPr>
          <w:p>
            <w:r/>
            <w:r>
              <w:rPr>
                <w:rFonts w:ascii="Aptos" w:hAnsi="Aptos"/>
                <w:b w:val="0"/>
                <w:sz w:val="16"/>
              </w:rPr>
              <w:t>Yes / Mostly / No</w:t>
            </w:r>
          </w:p>
        </w:tc>
      </w:tr>
      <w:tr>
        <w:tc>
          <w:tcPr>
            <w:tcW w:type="dxa" w:w="1944"/>
            <w:vAlign w:val="center"/>
            <w:shd w:fill="F3F6FA"/>
          </w:tcPr>
          <w:p>
            <w:r/>
            <w:r>
              <w:rPr>
                <w:rFonts w:ascii="Aptos" w:hAnsi="Aptos"/>
                <w:b w:val="0"/>
                <w:sz w:val="16"/>
              </w:rPr>
              <w:t>Orientation</w:t>
            </w:r>
          </w:p>
        </w:tc>
        <w:tc>
          <w:tcPr>
            <w:tcW w:type="dxa" w:w="6192"/>
            <w:vAlign w:val="center"/>
            <w:shd w:fill="F3F6FA"/>
          </w:tcPr>
          <w:p>
            <w:r/>
            <w:r>
              <w:rPr>
                <w:rFonts w:ascii="Aptos" w:hAnsi="Aptos"/>
                <w:b w:val="0"/>
                <w:sz w:val="16"/>
              </w:rPr>
              <w:t>Did you have the information needed to work effectively?</w:t>
            </w:r>
          </w:p>
        </w:tc>
        <w:tc>
          <w:tcPr>
            <w:tcW w:type="dxa" w:w="2232"/>
            <w:vAlign w:val="center"/>
            <w:shd w:fill="F3F6FA"/>
          </w:tcPr>
          <w:p>
            <w:r/>
            <w:r>
              <w:rPr>
                <w:rFonts w:ascii="Aptos" w:hAnsi="Aptos"/>
                <w:b w:val="0"/>
                <w:sz w:val="16"/>
              </w:rPr>
              <w:t>Yes / Mostly / No</w:t>
            </w:r>
          </w:p>
        </w:tc>
      </w:tr>
      <w:tr>
        <w:tc>
          <w:tcPr>
            <w:tcW w:type="dxa" w:w="1944"/>
            <w:vAlign w:val="center"/>
          </w:tcPr>
          <w:p>
            <w:r/>
            <w:r>
              <w:rPr>
                <w:rFonts w:ascii="Aptos" w:hAnsi="Aptos"/>
                <w:b w:val="0"/>
                <w:sz w:val="16"/>
              </w:rPr>
              <w:t>Return intention</w:t>
            </w:r>
          </w:p>
        </w:tc>
        <w:tc>
          <w:tcPr>
            <w:tcW w:type="dxa" w:w="6192"/>
            <w:vAlign w:val="center"/>
          </w:tcPr>
          <w:p>
            <w:r/>
            <w:r>
              <w:rPr>
                <w:rFonts w:ascii="Aptos" w:hAnsi="Aptos"/>
                <w:b w:val="0"/>
                <w:sz w:val="16"/>
              </w:rPr>
              <w:t>How likely are you to choose to work here again?</w:t>
            </w:r>
          </w:p>
        </w:tc>
        <w:tc>
          <w:tcPr>
            <w:tcW w:type="dxa" w:w="2232"/>
            <w:vAlign w:val="center"/>
          </w:tcPr>
          <w:p>
            <w:r/>
            <w:r>
              <w:rPr>
                <w:rFonts w:ascii="Aptos" w:hAnsi="Aptos"/>
                <w:b w:val="0"/>
                <w:sz w:val="16"/>
              </w:rPr>
              <w:t>0–10</w:t>
            </w:r>
          </w:p>
        </w:tc>
      </w:tr>
      <w:tr>
        <w:tc>
          <w:tcPr>
            <w:tcW w:type="dxa" w:w="1944"/>
            <w:vAlign w:val="center"/>
            <w:shd w:fill="F3F6FA"/>
          </w:tcPr>
          <w:p>
            <w:r/>
            <w:r>
              <w:rPr>
                <w:rFonts w:ascii="Aptos" w:hAnsi="Aptos"/>
                <w:b w:val="0"/>
                <w:sz w:val="16"/>
              </w:rPr>
              <w:t>Improvement</w:t>
            </w:r>
          </w:p>
        </w:tc>
        <w:tc>
          <w:tcPr>
            <w:tcW w:type="dxa" w:w="6192"/>
            <w:vAlign w:val="center"/>
            <w:shd w:fill="F3F6FA"/>
          </w:tcPr>
          <w:p>
            <w:r/>
            <w:r>
              <w:rPr>
                <w:rFonts w:ascii="Aptos" w:hAnsi="Aptos"/>
                <w:b w:val="0"/>
                <w:sz w:val="16"/>
              </w:rPr>
              <w:t>What is the one thing we could change that would make you more likely to return?</w:t>
            </w:r>
          </w:p>
        </w:tc>
        <w:tc>
          <w:tcPr>
            <w:tcW w:type="dxa" w:w="2232"/>
            <w:vAlign w:val="center"/>
            <w:shd w:fill="F3F6FA"/>
          </w:tcPr>
          <w:p>
            <w:r/>
            <w:r>
              <w:rPr>
                <w:rFonts w:ascii="Aptos" w:hAnsi="Aptos"/>
                <w:b w:val="0"/>
                <w:sz w:val="16"/>
              </w:rPr>
              <w:t>Free text</w:t>
            </w:r>
          </w:p>
        </w:tc>
      </w:tr>
    </w:tbl>
    <w:p/>
    <w:p>
      <w:r>
        <w:t>A separate safety prompt should direct urgent clinical or workplace concerns to formal YNLHN reporting pathways. Survey data should not become an informal incident management system.</w:t>
      </w:r>
    </w:p>
    <w:p>
      <w:pPr>
        <w:pStyle w:val="Heading2"/>
      </w:pPr>
      <w:r>
        <w:t>6.3 Stage 1C - YNLHN Workforce Exchange</w:t>
      </w:r>
    </w:p>
    <w:p>
      <w:pPr>
        <w:pStyle w:val="ListBullet"/>
      </w:pPr>
      <w:r>
        <w:t>Vacancy creation by facility, department, role, date, start/finish, rate, travel and accommodation</w:t>
      </w:r>
    </w:p>
    <w:p>
      <w:pPr>
        <w:pStyle w:val="ListBullet"/>
      </w:pPr>
      <w:r>
        <w:t>Eligibility restricted initially to current YNLHN credential/scope records</w:t>
      </w:r>
    </w:p>
    <w:p>
      <w:pPr>
        <w:pStyle w:val="ListBullet"/>
      </w:pPr>
      <w:r>
        <w:t>Doctor preferences for facility, role, availability and minimum acceptable rate</w:t>
      </w:r>
    </w:p>
    <w:p>
      <w:pPr>
        <w:pStyle w:val="ListBullet"/>
      </w:pPr>
      <w:r>
        <w:t>Request-to-book workflow with Medical Workforce confirmation before any future Instant Book mode</w:t>
      </w:r>
    </w:p>
    <w:p>
      <w:pPr>
        <w:pStyle w:val="ListBullet"/>
      </w:pPr>
      <w:r>
        <w:t>Push/email/SMS notifications and structured shift briefing</w:t>
      </w:r>
    </w:p>
    <w:p>
      <w:pPr>
        <w:pStyle w:val="ListBullet"/>
      </w:pPr>
      <w:r>
        <w:t>Digital orientation pack and site-specific arrival/escalation information</w:t>
      </w:r>
    </w:p>
    <w:p>
      <w:pPr>
        <w:pStyle w:val="ListBullet"/>
      </w:pPr>
      <w:r>
        <w:t>Cancellation and replacement workflow</w:t>
      </w:r>
    </w:p>
    <w:p>
      <w:pPr>
        <w:pStyle w:val="ListBullet"/>
      </w:pPr>
      <w:r>
        <w:t>Complete audit trail</w:t>
      </w:r>
    </w:p>
    <w:p>
      <w:pPr>
        <w:pStyle w:val="Heading2"/>
      </w:pPr>
      <w:r>
        <w:t>6.4 Stage 1D - Agency-first sourcing</w:t>
      </w:r>
    </w:p>
    <w:p>
      <w:r>
        <w:t>Only agencies eligible under the applicable SA Health agency/panel arrangement should participate in the protected agency tier. Commission and other commercial terms are variable and must be stored as versioned agreement data, not as a fixed percentage on the doctor.</w:t>
      </w:r>
    </w:p>
    <w:tbl>
      <w:tblPr>
        <w:tblStyle w:val="TableGrid"/>
        <w:tblW w:type="auto" w:w="0"/>
        <w:jc w:val="center"/>
        <w:tblLook w:firstColumn="1" w:firstRow="1" w:lastColumn="0" w:lastRow="0" w:noHBand="0" w:noVBand="1" w:val="04A0"/>
      </w:tblPr>
      <w:tblGrid>
        <w:gridCol w:w="3360"/>
        <w:gridCol w:w="3360"/>
        <w:gridCol w:w="3360"/>
      </w:tblGrid>
      <w:tr>
        <w:tc>
          <w:tcPr>
            <w:tcW w:type="dxa" w:w="1008"/>
            <w:vAlign w:val="center"/>
            <w:shd w:fill="17365D"/>
          </w:tcPr>
          <w:p>
            <w:r/>
            <w:r>
              <w:rPr>
                <w:rFonts w:ascii="Aptos" w:hAnsi="Aptos"/>
                <w:b/>
                <w:color w:val="FFFFFF"/>
                <w:sz w:val="17"/>
              </w:rPr>
              <w:t>Tier</w:t>
            </w:r>
          </w:p>
        </w:tc>
        <w:tc>
          <w:tcPr>
            <w:tcW w:type="dxa" w:w="3312"/>
            <w:vAlign w:val="center"/>
            <w:shd w:fill="17365D"/>
          </w:tcPr>
          <w:p>
            <w:r/>
            <w:r>
              <w:rPr>
                <w:rFonts w:ascii="Aptos" w:hAnsi="Aptos"/>
                <w:b/>
                <w:color w:val="FFFFFF"/>
                <w:sz w:val="17"/>
              </w:rPr>
              <w:t>Default concept</w:t>
            </w:r>
          </w:p>
        </w:tc>
        <w:tc>
          <w:tcPr>
            <w:tcW w:type="dxa" w:w="6048"/>
            <w:vAlign w:val="center"/>
            <w:shd w:fill="17365D"/>
          </w:tcPr>
          <w:p>
            <w:r/>
            <w:r>
              <w:rPr>
                <w:rFonts w:ascii="Aptos" w:hAnsi="Aptos"/>
                <w:b/>
                <w:color w:val="FFFFFF"/>
                <w:sz w:val="17"/>
              </w:rPr>
              <w:t>Notes</w:t>
            </w:r>
          </w:p>
        </w:tc>
      </w:tr>
      <w:tr>
        <w:tc>
          <w:tcPr>
            <w:tcW w:type="dxa" w:w="1008"/>
            <w:vAlign w:val="center"/>
          </w:tcPr>
          <w:p>
            <w:r/>
            <w:r>
              <w:rPr>
                <w:rFonts w:ascii="Aptos" w:hAnsi="Aptos"/>
                <w:b w:val="0"/>
                <w:sz w:val="16"/>
              </w:rPr>
              <w:t>1</w:t>
            </w:r>
          </w:p>
        </w:tc>
        <w:tc>
          <w:tcPr>
            <w:tcW w:type="dxa" w:w="3312"/>
            <w:vAlign w:val="center"/>
          </w:tcPr>
          <w:p>
            <w:r/>
            <w:r>
              <w:rPr>
                <w:rFonts w:ascii="Aptos" w:hAnsi="Aptos"/>
                <w:b w:val="0"/>
                <w:sz w:val="16"/>
              </w:rPr>
              <w:t>Internal/existing workforce</w:t>
            </w:r>
          </w:p>
        </w:tc>
        <w:tc>
          <w:tcPr>
            <w:tcW w:type="dxa" w:w="6048"/>
            <w:vAlign w:val="center"/>
          </w:tcPr>
          <w:p>
            <w:r/>
            <w:r>
              <w:rPr>
                <w:rFonts w:ascii="Aptos" w:hAnsi="Aptos"/>
                <w:b w:val="0"/>
                <w:sz w:val="16"/>
              </w:rPr>
              <w:t>Configured according to YNLHN/SA Health policy and industrial requirements</w:t>
            </w:r>
          </w:p>
        </w:tc>
      </w:tr>
      <w:tr>
        <w:tc>
          <w:tcPr>
            <w:tcW w:type="dxa" w:w="1008"/>
            <w:vAlign w:val="center"/>
            <w:shd w:fill="F3F6FA"/>
          </w:tcPr>
          <w:p>
            <w:r/>
            <w:r>
              <w:rPr>
                <w:rFonts w:ascii="Aptos" w:hAnsi="Aptos"/>
                <w:b w:val="0"/>
                <w:sz w:val="16"/>
              </w:rPr>
              <w:t>2</w:t>
            </w:r>
          </w:p>
        </w:tc>
        <w:tc>
          <w:tcPr>
            <w:tcW w:type="dxa" w:w="3312"/>
            <w:vAlign w:val="center"/>
            <w:shd w:fill="F3F6FA"/>
          </w:tcPr>
          <w:p>
            <w:r/>
            <w:r>
              <w:rPr>
                <w:rFonts w:ascii="Aptos" w:hAnsi="Aptos"/>
                <w:b w:val="0"/>
                <w:sz w:val="16"/>
              </w:rPr>
              <w:t>Eligible SA Health panel agencies</w:t>
            </w:r>
          </w:p>
        </w:tc>
        <w:tc>
          <w:tcPr>
            <w:tcW w:type="dxa" w:w="6048"/>
            <w:vAlign w:val="center"/>
            <w:shd w:fill="F3F6FA"/>
          </w:tcPr>
          <w:p>
            <w:r/>
            <w:r>
              <w:rPr>
                <w:rFonts w:ascii="Aptos" w:hAnsi="Aptos"/>
                <w:b w:val="0"/>
                <w:sz w:val="16"/>
              </w:rPr>
              <w:t>Protected advertising window and structured agency proposals</w:t>
            </w:r>
          </w:p>
        </w:tc>
      </w:tr>
      <w:tr>
        <w:tc>
          <w:tcPr>
            <w:tcW w:type="dxa" w:w="1008"/>
            <w:vAlign w:val="center"/>
          </w:tcPr>
          <w:p>
            <w:r/>
            <w:r>
              <w:rPr>
                <w:rFonts w:ascii="Aptos" w:hAnsi="Aptos"/>
                <w:b w:val="0"/>
                <w:sz w:val="16"/>
              </w:rPr>
              <w:t>3</w:t>
            </w:r>
          </w:p>
        </w:tc>
        <w:tc>
          <w:tcPr>
            <w:tcW w:type="dxa" w:w="3312"/>
            <w:vAlign w:val="center"/>
          </w:tcPr>
          <w:p>
            <w:r/>
            <w:r>
              <w:rPr>
                <w:rFonts w:ascii="Aptos" w:hAnsi="Aptos"/>
                <w:b w:val="0"/>
                <w:sz w:val="16"/>
              </w:rPr>
              <w:t>Permitted direct credentialled pool</w:t>
            </w:r>
          </w:p>
        </w:tc>
        <w:tc>
          <w:tcPr>
            <w:tcW w:type="dxa" w:w="6048"/>
            <w:vAlign w:val="center"/>
          </w:tcPr>
          <w:p>
            <w:r/>
            <w:r>
              <w:rPr>
                <w:rFonts w:ascii="Aptos" w:hAnsi="Aptos"/>
                <w:b w:val="0"/>
                <w:sz w:val="16"/>
              </w:rPr>
              <w:t>Released only when policy/contract permits and prior tier is unfilled</w:t>
            </w:r>
          </w:p>
        </w:tc>
      </w:tr>
      <w:tr>
        <w:tc>
          <w:tcPr>
            <w:tcW w:type="dxa" w:w="1008"/>
            <w:vAlign w:val="center"/>
            <w:shd w:fill="F3F6FA"/>
          </w:tcPr>
          <w:p>
            <w:r/>
            <w:r>
              <w:rPr>
                <w:rFonts w:ascii="Aptos" w:hAnsi="Aptos"/>
                <w:b w:val="0"/>
                <w:sz w:val="16"/>
              </w:rPr>
              <w:t>4</w:t>
            </w:r>
          </w:p>
        </w:tc>
        <w:tc>
          <w:tcPr>
            <w:tcW w:type="dxa" w:w="3312"/>
            <w:vAlign w:val="center"/>
            <w:shd w:fill="F3F6FA"/>
          </w:tcPr>
          <w:p>
            <w:r/>
            <w:r>
              <w:rPr>
                <w:rFonts w:ascii="Aptos" w:hAnsi="Aptos"/>
                <w:b w:val="0"/>
                <w:sz w:val="16"/>
              </w:rPr>
              <w:t>Wider eligible marketplace</w:t>
            </w:r>
          </w:p>
        </w:tc>
        <w:tc>
          <w:tcPr>
            <w:tcW w:type="dxa" w:w="6048"/>
            <w:vAlign w:val="center"/>
            <w:shd w:fill="F3F6FA"/>
          </w:tcPr>
          <w:p>
            <w:r/>
            <w:r>
              <w:rPr>
                <w:rFonts w:ascii="Aptos" w:hAnsi="Aptos"/>
                <w:b w:val="0"/>
                <w:sz w:val="16"/>
              </w:rPr>
              <w:t>Future capability, subject to governance and procurement</w:t>
            </w:r>
          </w:p>
        </w:tc>
      </w:tr>
      <w:tr>
        <w:tc>
          <w:tcPr>
            <w:tcW w:type="dxa" w:w="1008"/>
            <w:vAlign w:val="center"/>
          </w:tcPr>
          <w:p>
            <w:r/>
            <w:r>
              <w:rPr>
                <w:rFonts w:ascii="Aptos" w:hAnsi="Aptos"/>
                <w:b w:val="0"/>
                <w:sz w:val="16"/>
              </w:rPr>
              <w:t>5</w:t>
            </w:r>
          </w:p>
        </w:tc>
        <w:tc>
          <w:tcPr>
            <w:tcW w:type="dxa" w:w="3312"/>
            <w:vAlign w:val="center"/>
          </w:tcPr>
          <w:p>
            <w:r/>
            <w:r>
              <w:rPr>
                <w:rFonts w:ascii="Aptos" w:hAnsi="Aptos"/>
                <w:b w:val="0"/>
                <w:sz w:val="16"/>
              </w:rPr>
              <w:t>Urgent escalation</w:t>
            </w:r>
          </w:p>
        </w:tc>
        <w:tc>
          <w:tcPr>
            <w:tcW w:type="dxa" w:w="6048"/>
            <w:vAlign w:val="center"/>
          </w:tcPr>
          <w:p>
            <w:r/>
            <w:r>
              <w:rPr>
                <w:rFonts w:ascii="Aptos" w:hAnsi="Aptos"/>
                <w:b w:val="0"/>
                <w:sz w:val="16"/>
              </w:rPr>
              <w:t>Rate/delegate escalation with reason and audit</w:t>
            </w:r>
          </w:p>
        </w:tc>
      </w:tr>
    </w:tbl>
    <w:p/>
    <w:p>
      <w:pPr>
        <w:pStyle w:val="Heading2"/>
      </w:pPr>
      <w:r>
        <w:t>6.5 Stage 1E - Digital timesheets</w:t>
      </w:r>
    </w:p>
    <w:p>
      <w:pPr>
        <w:pStyle w:val="ListBullet"/>
      </w:pPr>
      <w:r>
        <w:t>Doctor submits actual hours against booked shift</w:t>
      </w:r>
    </w:p>
    <w:p>
      <w:pPr>
        <w:pStyle w:val="ListBullet"/>
      </w:pPr>
      <w:r>
        <w:t>Approver may be preconfigured or nominated</w:t>
      </w:r>
    </w:p>
    <w:p>
      <w:pPr>
        <w:pStyle w:val="ListBullet"/>
      </w:pPr>
      <w:r>
        <w:t>Approver does not require a platform account</w:t>
      </w:r>
    </w:p>
    <w:p>
      <w:pPr>
        <w:pStyle w:val="ListBullet"/>
      </w:pPr>
      <w:r>
        <w:t>Secure expiring approval link with OTP where required</w:t>
      </w:r>
    </w:p>
    <w:p>
      <w:pPr>
        <w:pStyle w:val="ListBullet"/>
      </w:pPr>
      <w:r>
        <w:t>Approve, amend or reject</w:t>
      </w:r>
    </w:p>
    <w:p>
      <w:pPr>
        <w:pStyle w:val="ListBullet"/>
      </w:pPr>
      <w:r>
        <w:t>Capture approver identity, authentication method, timestamp and timesheet version</w:t>
      </w:r>
    </w:p>
    <w:p>
      <w:pPr>
        <w:pStyle w:val="ListBullet"/>
      </w:pPr>
      <w:r>
        <w:t>Immutable audit record and export to existing payment/agency process</w:t>
      </w:r>
    </w:p>
    <w:p>
      <w:pPr>
        <w:pStyle w:val="ListBullet"/>
      </w:pPr>
      <w:r>
        <w:t>No payroll replacement in Stage 1</w:t>
      </w:r>
    </w:p>
    <w:p>
      <w:pPr>
        <w:pStyle w:val="Heading1"/>
      </w:pPr>
      <w:r>
        <w:t>7. Stage 2: YNLHN digital credentialling</w:t>
      </w:r>
    </w:p>
    <w:p>
      <w:r>
        <w:t>Once doctors are maintaining credential wallets and the organisation is consuming those records, YNLHN can progressively move from viewing credential status to conducting credentialling workflows within the platform.</w:t>
      </w:r>
    </w:p>
    <w:p>
      <w:pPr>
        <w:pStyle w:val="ListBullet"/>
      </w:pPr>
      <w:r>
        <w:t>Credential requirement templates by role and scope</w:t>
      </w:r>
    </w:p>
    <w:p>
      <w:pPr>
        <w:pStyle w:val="ListBullet"/>
      </w:pPr>
      <w:r>
        <w:t>Application for new or renewed scope</w:t>
      </w:r>
    </w:p>
    <w:p>
      <w:pPr>
        <w:pStyle w:val="ListBullet"/>
      </w:pPr>
      <w:r>
        <w:t>Reuse of existing wallet evidence rather than repeated upload</w:t>
      </w:r>
    </w:p>
    <w:p>
      <w:pPr>
        <w:pStyle w:val="ListBullet"/>
      </w:pPr>
      <w:r>
        <w:t>Identification of missing/expired requirements</w:t>
      </w:r>
    </w:p>
    <w:p>
      <w:pPr>
        <w:pStyle w:val="ListBullet"/>
      </w:pPr>
      <w:r>
        <w:t>Credential officer verification workflow</w:t>
      </w:r>
    </w:p>
    <w:p>
      <w:pPr>
        <w:pStyle w:val="ListBullet"/>
      </w:pPr>
      <w:r>
        <w:t>Referee request and response workflow</w:t>
      </w:r>
    </w:p>
    <w:p>
      <w:pPr>
        <w:pStyle w:val="ListBullet"/>
      </w:pPr>
      <w:r>
        <w:t>Committee/delegate decision record</w:t>
      </w:r>
    </w:p>
    <w:p>
      <w:pPr>
        <w:pStyle w:val="ListBullet"/>
      </w:pPr>
      <w:r>
        <w:t>Scope grant with effective date, expiry, restrictions and facility applicability</w:t>
      </w:r>
    </w:p>
    <w:p>
      <w:pPr>
        <w:pStyle w:val="ListBullet"/>
      </w:pPr>
      <w:r>
        <w:t>Temporary credentialling pathway with explicit safeguards and review date</w:t>
      </w:r>
    </w:p>
    <w:p>
      <w:pPr>
        <w:pStyle w:val="ListBullet"/>
      </w:pPr>
      <w:r>
        <w:t>Recredentialling reminders and evidence refresh</w:t>
      </w:r>
    </w:p>
    <w:p>
      <w:pPr>
        <w:pStyle w:val="ListBullet"/>
      </w:pPr>
      <w:r>
        <w:t>Organisation-issued attestations returned to the practitioner's passport</w:t>
      </w:r>
    </w:p>
    <w:p>
      <w:pPr>
        <w:pStyle w:val="ListBullet"/>
      </w:pPr>
      <w:r>
        <w:t>Audit, reporting and governance dashboards</w:t>
      </w:r>
    </w:p>
    <w:p>
      <w:pPr>
        <w:pStyle w:val="Heading1"/>
      </w:pPr>
      <w:r>
        <w:t>8. Stage 3: second LHN and portability proof</w:t>
      </w:r>
    </w:p>
    <w:p>
      <w:r>
        <w:t>The second-LHN implementation is the critical test of portability. Success is not that the second organisation accepts YNLHN's scope automatically. Success is that the practitioner does not have to reconstruct their professional identity and evidence from the beginning.</w:t>
      </w:r>
    </w:p>
    <w:tbl>
      <w:tblPr>
        <w:tblStyle w:val="TableGrid"/>
        <w:tblW w:type="auto" w:w="0"/>
        <w:tblLook w:firstColumn="1" w:firstRow="1" w:lastColumn="0" w:lastRow="0" w:noHBand="0" w:noVBand="1" w:val="04A0"/>
      </w:tblPr>
      <w:tblGrid>
        <w:gridCol w:w="10080"/>
      </w:tblGrid>
      <w:tr>
        <w:tc>
          <w:tcPr>
            <w:tcW w:type="dxa" w:w="10080"/>
            <w:shd w:fill="EAF0F8"/>
          </w:tcPr>
          <w:p>
            <w:r/>
            <w:r>
              <w:rPr>
                <w:rFonts w:ascii="Aptos" w:hAnsi="Aptos"/>
                <w:b/>
                <w:color w:val="17365D"/>
                <w:sz w:val="21"/>
              </w:rPr>
              <w:t>Target user experience: '21 of 24 requirements already satisfied. Three organisation-specific requirements remain.'</w:t>
            </w:r>
          </w:p>
        </w:tc>
      </w:tr>
    </w:tbl>
    <w:p/>
    <w:p>
      <w:pPr>
        <w:pStyle w:val="ListBullet"/>
      </w:pPr>
      <w:r>
        <w:t>Shared credential ontology and evidence semantics</w:t>
      </w:r>
    </w:p>
    <w:p>
      <w:pPr>
        <w:pStyle w:val="ListBullet"/>
      </w:pPr>
      <w:r>
        <w:t>Organisation-specific requirement overlays</w:t>
      </w:r>
    </w:p>
    <w:p>
      <w:pPr>
        <w:pStyle w:val="ListBullet"/>
      </w:pPr>
      <w:r>
        <w:t>Independent scope decision by the receiving LHN</w:t>
      </w:r>
    </w:p>
    <w:p>
      <w:pPr>
        <w:pStyle w:val="ListBullet"/>
      </w:pPr>
      <w:r>
        <w:t>Permissioned reuse of verified evidence</w:t>
      </w:r>
    </w:p>
    <w:p>
      <w:pPr>
        <w:pStyle w:val="ListBullet"/>
      </w:pPr>
      <w:r>
        <w:t>Provenance retained for each verification</w:t>
      </w:r>
    </w:p>
    <w:p>
      <w:pPr>
        <w:pStyle w:val="ListBullet"/>
      </w:pPr>
      <w:r>
        <w:t>Organisation-specific restrictions and expiry retained separately</w:t>
      </w:r>
    </w:p>
    <w:p>
      <w:pPr>
        <w:pStyle w:val="ListBullet"/>
      </w:pPr>
      <w:r>
        <w:t>Cross-LHN analytics without exposing confidential commercial data</w:t>
      </w:r>
    </w:p>
    <w:p>
      <w:pPr>
        <w:pStyle w:val="Heading1"/>
      </w:pPr>
      <w:r>
        <w:t>9. Stage 4: South Australian Medical Workforce Exchange</w:t>
      </w:r>
    </w:p>
    <w:p>
      <w:r>
        <w:t>At statewide scale, the platform becomes a collaborative workforce exchange rather than a single-LHN locum tool. The state layer should standardise what benefits from standardisation while preserving LHN authority over employment, scope, local service capability and operational decisions.</w:t>
      </w:r>
    </w:p>
    <w:p>
      <w:pPr>
        <w:pStyle w:val="ListBullet"/>
      </w:pPr>
      <w:r>
        <w:t>Statewide credential taxonomy and verification standards</w:t>
      </w:r>
    </w:p>
    <w:p>
      <w:pPr>
        <w:pStyle w:val="ListBullet"/>
      </w:pPr>
      <w:r>
        <w:t>Common role templates where clinically appropriate</w:t>
      </w:r>
    </w:p>
    <w:p>
      <w:pPr>
        <w:pStyle w:val="ListBullet"/>
      </w:pPr>
      <w:r>
        <w:t>LHN-specific requirement overlays</w:t>
      </w:r>
    </w:p>
    <w:p>
      <w:pPr>
        <w:pStyle w:val="ListBullet"/>
      </w:pPr>
      <w:r>
        <w:t>Statewide panel agency interface</w:t>
      </w:r>
    </w:p>
    <w:p>
      <w:pPr>
        <w:pStyle w:val="ListBullet"/>
      </w:pPr>
      <w:r>
        <w:t>Common sourcing-policy framework with local configuration</w:t>
      </w:r>
    </w:p>
    <w:p>
      <w:pPr>
        <w:pStyle w:val="ListBullet"/>
      </w:pPr>
      <w:r>
        <w:t>Cross-LHN practitioner availability and preferences</w:t>
      </w:r>
    </w:p>
    <w:p>
      <w:pPr>
        <w:pStyle w:val="ListBullet"/>
      </w:pPr>
      <w:r>
        <w:t>Statewide workforce demand and supply intelligence</w:t>
      </w:r>
    </w:p>
    <w:p>
      <w:pPr>
        <w:pStyle w:val="ListBullet"/>
      </w:pPr>
      <w:r>
        <w:t>Locum experience benchmarking with anonymity thresholds</w:t>
      </w:r>
    </w:p>
    <w:p>
      <w:pPr>
        <w:pStyle w:val="ListBullet"/>
      </w:pPr>
      <w:r>
        <w:t>Credential reuse and reduced duplication</w:t>
      </w:r>
    </w:p>
    <w:p>
      <w:pPr>
        <w:pStyle w:val="ListBullet"/>
      </w:pPr>
      <w:r>
        <w:t>Statewide reporting on panel performance, fill, cost and rural retention</w:t>
      </w:r>
    </w:p>
    <w:p>
      <w:pPr>
        <w:pStyle w:val="Heading1"/>
      </w:pPr>
      <w:r>
        <w:t>10. Stage 5: national credential interoperability</w:t>
      </w:r>
    </w:p>
    <w:p>
      <w:r>
        <w:t>The national proposition is a credential and workforce mobility infrastructure layer, not a Commonwealth-operated locum agency. The programme should seek partnership with Commonwealth agencies and jurisdictions around identity, standards, interoperability, credential semantics and trusted exchange.</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17365D"/>
          </w:tcPr>
          <w:p>
            <w:r/>
            <w:r>
              <w:rPr>
                <w:rFonts w:ascii="Aptos" w:hAnsi="Aptos"/>
                <w:b/>
                <w:color w:val="FFFFFF"/>
                <w:sz w:val="17"/>
              </w:rPr>
              <w:t>Layer</w:t>
            </w:r>
          </w:p>
        </w:tc>
        <w:tc>
          <w:tcPr>
            <w:tcW w:type="dxa" w:w="3168"/>
            <w:vAlign w:val="center"/>
            <w:shd w:fill="17365D"/>
          </w:tcPr>
          <w:p>
            <w:r/>
            <w:r>
              <w:rPr>
                <w:rFonts w:ascii="Aptos" w:hAnsi="Aptos"/>
                <w:b/>
                <w:color w:val="FFFFFF"/>
                <w:sz w:val="17"/>
              </w:rPr>
              <w:t>Question answered</w:t>
            </w:r>
          </w:p>
        </w:tc>
        <w:tc>
          <w:tcPr>
            <w:tcW w:type="dxa" w:w="5040"/>
            <w:vAlign w:val="center"/>
            <w:shd w:fill="17365D"/>
          </w:tcPr>
          <w:p>
            <w:r/>
            <w:r>
              <w:rPr>
                <w:rFonts w:ascii="Aptos" w:hAnsi="Aptos"/>
                <w:b/>
                <w:color w:val="FFFFFF"/>
                <w:sz w:val="17"/>
              </w:rPr>
              <w:t>Potential national foundation</w:t>
            </w:r>
          </w:p>
        </w:tc>
      </w:tr>
      <w:tr>
        <w:tc>
          <w:tcPr>
            <w:tcW w:type="dxa" w:w="2160"/>
            <w:vAlign w:val="center"/>
          </w:tcPr>
          <w:p>
            <w:r/>
            <w:r>
              <w:rPr>
                <w:rFonts w:ascii="Aptos" w:hAnsi="Aptos"/>
                <w:b w:val="0"/>
                <w:sz w:val="16"/>
              </w:rPr>
              <w:t>Identity</w:t>
            </w:r>
          </w:p>
        </w:tc>
        <w:tc>
          <w:tcPr>
            <w:tcW w:type="dxa" w:w="3168"/>
            <w:vAlign w:val="center"/>
          </w:tcPr>
          <w:p>
            <w:r/>
            <w:r>
              <w:rPr>
                <w:rFonts w:ascii="Aptos" w:hAnsi="Aptos"/>
                <w:b w:val="0"/>
                <w:sz w:val="16"/>
              </w:rPr>
              <w:t>Who is this practitioner?</w:t>
            </w:r>
          </w:p>
        </w:tc>
        <w:tc>
          <w:tcPr>
            <w:tcW w:type="dxa" w:w="5040"/>
            <w:vAlign w:val="center"/>
          </w:tcPr>
          <w:p>
            <w:r/>
            <w:r>
              <w:rPr>
                <w:rFonts w:ascii="Aptos" w:hAnsi="Aptos"/>
                <w:b w:val="0"/>
                <w:sz w:val="16"/>
              </w:rPr>
              <w:t>Ahpra registration and HPI-I</w:t>
            </w:r>
          </w:p>
        </w:tc>
      </w:tr>
      <w:tr>
        <w:tc>
          <w:tcPr>
            <w:tcW w:type="dxa" w:w="2160"/>
            <w:vAlign w:val="center"/>
            <w:shd w:fill="F3F6FA"/>
          </w:tcPr>
          <w:p>
            <w:r/>
            <w:r>
              <w:rPr>
                <w:rFonts w:ascii="Aptos" w:hAnsi="Aptos"/>
                <w:b w:val="0"/>
                <w:sz w:val="16"/>
              </w:rPr>
              <w:t>Organisation identity</w:t>
            </w:r>
          </w:p>
        </w:tc>
        <w:tc>
          <w:tcPr>
            <w:tcW w:type="dxa" w:w="3168"/>
            <w:vAlign w:val="center"/>
            <w:shd w:fill="F3F6FA"/>
          </w:tcPr>
          <w:p>
            <w:r/>
            <w:r>
              <w:rPr>
                <w:rFonts w:ascii="Aptos" w:hAnsi="Aptos"/>
                <w:b w:val="0"/>
                <w:sz w:val="16"/>
              </w:rPr>
              <w:t>Which health service is this?</w:t>
            </w:r>
          </w:p>
        </w:tc>
        <w:tc>
          <w:tcPr>
            <w:tcW w:type="dxa" w:w="5040"/>
            <w:vAlign w:val="center"/>
            <w:shd w:fill="F3F6FA"/>
          </w:tcPr>
          <w:p>
            <w:r/>
            <w:r>
              <w:rPr>
                <w:rFonts w:ascii="Aptos" w:hAnsi="Aptos"/>
                <w:b w:val="0"/>
                <w:sz w:val="16"/>
              </w:rPr>
              <w:t>HPI-O</w:t>
            </w:r>
          </w:p>
        </w:tc>
      </w:tr>
      <w:tr>
        <w:tc>
          <w:tcPr>
            <w:tcW w:type="dxa" w:w="2160"/>
            <w:vAlign w:val="center"/>
          </w:tcPr>
          <w:p>
            <w:r/>
            <w:r>
              <w:rPr>
                <w:rFonts w:ascii="Aptos" w:hAnsi="Aptos"/>
                <w:b w:val="0"/>
                <w:sz w:val="16"/>
              </w:rPr>
              <w:t>Credential evidence</w:t>
            </w:r>
          </w:p>
        </w:tc>
        <w:tc>
          <w:tcPr>
            <w:tcW w:type="dxa" w:w="3168"/>
            <w:vAlign w:val="center"/>
          </w:tcPr>
          <w:p>
            <w:r/>
            <w:r>
              <w:rPr>
                <w:rFonts w:ascii="Aptos" w:hAnsi="Aptos"/>
                <w:b w:val="0"/>
                <w:sz w:val="16"/>
              </w:rPr>
              <w:t>What evidence does the practitioner hold?</w:t>
            </w:r>
          </w:p>
        </w:tc>
        <w:tc>
          <w:tcPr>
            <w:tcW w:type="dxa" w:w="5040"/>
            <w:vAlign w:val="center"/>
          </w:tcPr>
          <w:p>
            <w:r/>
            <w:r>
              <w:rPr>
                <w:rFonts w:ascii="Aptos" w:hAnsi="Aptos"/>
                <w:b w:val="0"/>
                <w:sz w:val="16"/>
              </w:rPr>
              <w:t>Credential Passport and verification provenance</w:t>
            </w:r>
          </w:p>
        </w:tc>
      </w:tr>
      <w:tr>
        <w:tc>
          <w:tcPr>
            <w:tcW w:type="dxa" w:w="2160"/>
            <w:vAlign w:val="center"/>
            <w:shd w:fill="F3F6FA"/>
          </w:tcPr>
          <w:p>
            <w:r/>
            <w:r>
              <w:rPr>
                <w:rFonts w:ascii="Aptos" w:hAnsi="Aptos"/>
                <w:b w:val="0"/>
                <w:sz w:val="16"/>
              </w:rPr>
              <w:t>Capability</w:t>
            </w:r>
          </w:p>
        </w:tc>
        <w:tc>
          <w:tcPr>
            <w:tcW w:type="dxa" w:w="3168"/>
            <w:vAlign w:val="center"/>
            <w:shd w:fill="F3F6FA"/>
          </w:tcPr>
          <w:p>
            <w:r/>
            <w:r>
              <w:rPr>
                <w:rFonts w:ascii="Aptos" w:hAnsi="Aptos"/>
                <w:b w:val="0"/>
                <w:sz w:val="16"/>
              </w:rPr>
              <w:t>What can the evidence support?</w:t>
            </w:r>
          </w:p>
        </w:tc>
        <w:tc>
          <w:tcPr>
            <w:tcW w:type="dxa" w:w="5040"/>
            <w:vAlign w:val="center"/>
            <w:shd w:fill="F3F6FA"/>
          </w:tcPr>
          <w:p>
            <w:r/>
            <w:r>
              <w:rPr>
                <w:rFonts w:ascii="Aptos" w:hAnsi="Aptos"/>
                <w:b w:val="0"/>
                <w:sz w:val="16"/>
              </w:rPr>
              <w:t>Future ScopeGraph/capability ontology</w:t>
            </w:r>
          </w:p>
        </w:tc>
      </w:tr>
      <w:tr>
        <w:tc>
          <w:tcPr>
            <w:tcW w:type="dxa" w:w="2160"/>
            <w:vAlign w:val="center"/>
          </w:tcPr>
          <w:p>
            <w:r/>
            <w:r>
              <w:rPr>
                <w:rFonts w:ascii="Aptos" w:hAnsi="Aptos"/>
                <w:b w:val="0"/>
                <w:sz w:val="16"/>
              </w:rPr>
              <w:t>Authorisation</w:t>
            </w:r>
          </w:p>
        </w:tc>
        <w:tc>
          <w:tcPr>
            <w:tcW w:type="dxa" w:w="3168"/>
            <w:vAlign w:val="center"/>
          </w:tcPr>
          <w:p>
            <w:r/>
            <w:r>
              <w:rPr>
                <w:rFonts w:ascii="Aptos" w:hAnsi="Aptos"/>
                <w:b w:val="0"/>
                <w:sz w:val="16"/>
              </w:rPr>
              <w:t>What has this organisation authorised?</w:t>
            </w:r>
          </w:p>
        </w:tc>
        <w:tc>
          <w:tcPr>
            <w:tcW w:type="dxa" w:w="5040"/>
            <w:vAlign w:val="center"/>
          </w:tcPr>
          <w:p>
            <w:r/>
            <w:r>
              <w:rPr>
                <w:rFonts w:ascii="Aptos" w:hAnsi="Aptos"/>
                <w:b w:val="0"/>
                <w:sz w:val="16"/>
              </w:rPr>
              <w:t>Organisation-specific SoCP</w:t>
            </w:r>
          </w:p>
        </w:tc>
      </w:tr>
      <w:tr>
        <w:tc>
          <w:tcPr>
            <w:tcW w:type="dxa" w:w="2160"/>
            <w:vAlign w:val="center"/>
            <w:shd w:fill="F3F6FA"/>
          </w:tcPr>
          <w:p>
            <w:r/>
            <w:r>
              <w:rPr>
                <w:rFonts w:ascii="Aptos" w:hAnsi="Aptos"/>
                <w:b w:val="0"/>
                <w:sz w:val="16"/>
              </w:rPr>
              <w:t>Workforce</w:t>
            </w:r>
          </w:p>
        </w:tc>
        <w:tc>
          <w:tcPr>
            <w:tcW w:type="dxa" w:w="3168"/>
            <w:vAlign w:val="center"/>
            <w:shd w:fill="F3F6FA"/>
          </w:tcPr>
          <w:p>
            <w:r/>
            <w:r>
              <w:rPr>
                <w:rFonts w:ascii="Aptos" w:hAnsi="Aptos"/>
                <w:b w:val="0"/>
                <w:sz w:val="16"/>
              </w:rPr>
              <w:t>Where is authorised capability needed?</w:t>
            </w:r>
          </w:p>
        </w:tc>
        <w:tc>
          <w:tcPr>
            <w:tcW w:type="dxa" w:w="5040"/>
            <w:vAlign w:val="center"/>
            <w:shd w:fill="F3F6FA"/>
          </w:tcPr>
          <w:p>
            <w:r/>
            <w:r>
              <w:rPr>
                <w:rFonts w:ascii="Aptos" w:hAnsi="Aptos"/>
                <w:b w:val="0"/>
                <w:sz w:val="16"/>
              </w:rPr>
              <w:t>Exchange</w:t>
            </w:r>
          </w:p>
        </w:tc>
      </w:tr>
    </w:tbl>
    <w:p/>
    <w:p>
      <w:r>
        <w:t>National design should align with the Healthcare Identifiers Service, Provider Connect Australia, the National Healthcare Interoperability Plan and relevant Australian Digital Health Agency implementation standards where applicable.</w:t>
      </w:r>
    </w:p>
    <w:p>
      <w:pPr>
        <w:pStyle w:val="Heading1"/>
      </w:pPr>
      <w:r>
        <w:t>11. Stage 6: national workforce exchange</w:t>
      </w:r>
    </w:p>
    <w:p>
      <w:pPr>
        <w:pStyle w:val="ListBullet"/>
      </w:pPr>
      <w:r>
        <w:t>Jurisdiction-specific procurement and credentialling rules</w:t>
      </w:r>
    </w:p>
    <w:p>
      <w:pPr>
        <w:pStyle w:val="ListBullet"/>
      </w:pPr>
      <w:r>
        <w:t>Interstate doctor preferences and travel/block-work settings</w:t>
      </w:r>
    </w:p>
    <w:p>
      <w:pPr>
        <w:pStyle w:val="ListBullet"/>
      </w:pPr>
      <w:r>
        <w:t>Organisation-specific scope decisions retained</w:t>
      </w:r>
    </w:p>
    <w:p>
      <w:pPr>
        <w:pStyle w:val="ListBullet"/>
      </w:pPr>
      <w:r>
        <w:t>National role/capability mapping without forcing identical local service models</w:t>
      </w:r>
    </w:p>
    <w:p>
      <w:pPr>
        <w:pStyle w:val="ListBullet"/>
      </w:pPr>
      <w:r>
        <w:t>Rural and remote workforce matching</w:t>
      </w:r>
    </w:p>
    <w:p>
      <w:pPr>
        <w:pStyle w:val="ListBullet"/>
      </w:pPr>
      <w:r>
        <w:t>Cross-jurisdiction credential evidence reuse</w:t>
      </w:r>
    </w:p>
    <w:p>
      <w:pPr>
        <w:pStyle w:val="ListBullet"/>
      </w:pPr>
      <w:r>
        <w:t>National workforce supply/demand analytics subject to data governance</w:t>
      </w:r>
    </w:p>
    <w:p>
      <w:pPr>
        <w:pStyle w:val="ListBullet"/>
      </w:pPr>
      <w:r>
        <w:t>Potential extension to other regulated health professions only after the medical model is mature</w:t>
      </w:r>
    </w:p>
    <w:p>
      <w:pPr>
        <w:pStyle w:val="Heading1"/>
      </w:pPr>
      <w:r>
        <w:t>12. Core data model</w:t>
      </w:r>
    </w:p>
    <w:p>
      <w:r>
        <w:t>The conceptual model should be stable from Stage 1 even when later modules are not yet implemented.</w:t>
      </w:r>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17365D"/>
          </w:tcPr>
          <w:p>
            <w:r/>
            <w:r>
              <w:rPr>
                <w:rFonts w:ascii="Aptos" w:hAnsi="Aptos"/>
                <w:b/>
                <w:color w:val="FFFFFF"/>
                <w:sz w:val="17"/>
              </w:rPr>
              <w:t>Entity</w:t>
            </w:r>
          </w:p>
        </w:tc>
        <w:tc>
          <w:tcPr>
            <w:tcW w:type="dxa" w:w="7200"/>
            <w:vAlign w:val="center"/>
            <w:shd w:fill="17365D"/>
          </w:tcPr>
          <w:p>
            <w:r/>
            <w:r>
              <w:rPr>
                <w:rFonts w:ascii="Aptos" w:hAnsi="Aptos"/>
                <w:b/>
                <w:color w:val="FFFFFF"/>
                <w:sz w:val="17"/>
              </w:rPr>
              <w:t>Purpose</w:t>
            </w:r>
          </w:p>
        </w:tc>
      </w:tr>
      <w:tr>
        <w:tc>
          <w:tcPr>
            <w:tcW w:type="dxa" w:w="3168"/>
            <w:vAlign w:val="center"/>
          </w:tcPr>
          <w:p>
            <w:r/>
            <w:r>
              <w:rPr>
                <w:rFonts w:ascii="Aptos" w:hAnsi="Aptos"/>
                <w:b w:val="0"/>
                <w:sz w:val="16"/>
              </w:rPr>
              <w:t>Practitioner</w:t>
            </w:r>
          </w:p>
        </w:tc>
        <w:tc>
          <w:tcPr>
            <w:tcW w:type="dxa" w:w="7200"/>
            <w:vAlign w:val="center"/>
          </w:tcPr>
          <w:p>
            <w:r/>
            <w:r>
              <w:rPr>
                <w:rFonts w:ascii="Aptos" w:hAnsi="Aptos"/>
                <w:b w:val="0"/>
                <w:sz w:val="16"/>
              </w:rPr>
              <w:t>Person-level professional identity and contact record</w:t>
            </w:r>
          </w:p>
        </w:tc>
      </w:tr>
      <w:tr>
        <w:tc>
          <w:tcPr>
            <w:tcW w:type="dxa" w:w="3168"/>
            <w:vAlign w:val="center"/>
            <w:shd w:fill="F3F6FA"/>
          </w:tcPr>
          <w:p>
            <w:r/>
            <w:r>
              <w:rPr>
                <w:rFonts w:ascii="Aptos" w:hAnsi="Aptos"/>
                <w:b w:val="0"/>
                <w:sz w:val="16"/>
              </w:rPr>
              <w:t>Organisation</w:t>
            </w:r>
          </w:p>
        </w:tc>
        <w:tc>
          <w:tcPr>
            <w:tcW w:type="dxa" w:w="7200"/>
            <w:vAlign w:val="center"/>
            <w:shd w:fill="F3F6FA"/>
          </w:tcPr>
          <w:p>
            <w:r/>
            <w:r>
              <w:rPr>
                <w:rFonts w:ascii="Aptos" w:hAnsi="Aptos"/>
                <w:b w:val="0"/>
                <w:sz w:val="16"/>
              </w:rPr>
              <w:t>Legal/operational healthcare organisation</w:t>
            </w:r>
          </w:p>
        </w:tc>
      </w:tr>
      <w:tr>
        <w:tc>
          <w:tcPr>
            <w:tcW w:type="dxa" w:w="3168"/>
            <w:vAlign w:val="center"/>
          </w:tcPr>
          <w:p>
            <w:r/>
            <w:r>
              <w:rPr>
                <w:rFonts w:ascii="Aptos" w:hAnsi="Aptos"/>
                <w:b w:val="0"/>
                <w:sz w:val="16"/>
              </w:rPr>
              <w:t>Facility</w:t>
            </w:r>
          </w:p>
        </w:tc>
        <w:tc>
          <w:tcPr>
            <w:tcW w:type="dxa" w:w="7200"/>
            <w:vAlign w:val="center"/>
          </w:tcPr>
          <w:p>
            <w:r/>
            <w:r>
              <w:rPr>
                <w:rFonts w:ascii="Aptos" w:hAnsi="Aptos"/>
                <w:b w:val="0"/>
                <w:sz w:val="16"/>
              </w:rPr>
              <w:t>Physical or virtual service location</w:t>
            </w:r>
          </w:p>
        </w:tc>
      </w:tr>
      <w:tr>
        <w:tc>
          <w:tcPr>
            <w:tcW w:type="dxa" w:w="3168"/>
            <w:vAlign w:val="center"/>
            <w:shd w:fill="F3F6FA"/>
          </w:tcPr>
          <w:p>
            <w:r/>
            <w:r>
              <w:rPr>
                <w:rFonts w:ascii="Aptos" w:hAnsi="Aptos"/>
                <w:b w:val="0"/>
                <w:sz w:val="16"/>
              </w:rPr>
              <w:t>Department</w:t>
            </w:r>
          </w:p>
        </w:tc>
        <w:tc>
          <w:tcPr>
            <w:tcW w:type="dxa" w:w="7200"/>
            <w:vAlign w:val="center"/>
            <w:shd w:fill="F3F6FA"/>
          </w:tcPr>
          <w:p>
            <w:r/>
            <w:r>
              <w:rPr>
                <w:rFonts w:ascii="Aptos" w:hAnsi="Aptos"/>
                <w:b w:val="0"/>
                <w:sz w:val="16"/>
              </w:rPr>
              <w:t>Organisational unit within a facility</w:t>
            </w:r>
          </w:p>
        </w:tc>
      </w:tr>
      <w:tr>
        <w:tc>
          <w:tcPr>
            <w:tcW w:type="dxa" w:w="3168"/>
            <w:vAlign w:val="center"/>
          </w:tcPr>
          <w:p>
            <w:r/>
            <w:r>
              <w:rPr>
                <w:rFonts w:ascii="Aptos" w:hAnsi="Aptos"/>
                <w:b w:val="0"/>
                <w:sz w:val="16"/>
              </w:rPr>
              <w:t>CredentialType</w:t>
            </w:r>
          </w:p>
        </w:tc>
        <w:tc>
          <w:tcPr>
            <w:tcW w:type="dxa" w:w="7200"/>
            <w:vAlign w:val="center"/>
          </w:tcPr>
          <w:p>
            <w:r/>
            <w:r>
              <w:rPr>
                <w:rFonts w:ascii="Aptos" w:hAnsi="Aptos"/>
                <w:b w:val="0"/>
                <w:sz w:val="16"/>
              </w:rPr>
              <w:t>Definition of a credential class</w:t>
            </w:r>
          </w:p>
        </w:tc>
      </w:tr>
      <w:tr>
        <w:tc>
          <w:tcPr>
            <w:tcW w:type="dxa" w:w="3168"/>
            <w:vAlign w:val="center"/>
            <w:shd w:fill="F3F6FA"/>
          </w:tcPr>
          <w:p>
            <w:r/>
            <w:r>
              <w:rPr>
                <w:rFonts w:ascii="Aptos" w:hAnsi="Aptos"/>
                <w:b w:val="0"/>
                <w:sz w:val="16"/>
              </w:rPr>
              <w:t>Credential</w:t>
            </w:r>
          </w:p>
        </w:tc>
        <w:tc>
          <w:tcPr>
            <w:tcW w:type="dxa" w:w="7200"/>
            <w:vAlign w:val="center"/>
            <w:shd w:fill="F3F6FA"/>
          </w:tcPr>
          <w:p>
            <w:r/>
            <w:r>
              <w:rPr>
                <w:rFonts w:ascii="Aptos" w:hAnsi="Aptos"/>
                <w:b w:val="0"/>
                <w:sz w:val="16"/>
              </w:rPr>
              <w:t>Practitioner-specific structured credential</w:t>
            </w:r>
          </w:p>
        </w:tc>
      </w:tr>
      <w:tr>
        <w:tc>
          <w:tcPr>
            <w:tcW w:type="dxa" w:w="3168"/>
            <w:vAlign w:val="center"/>
          </w:tcPr>
          <w:p>
            <w:r/>
            <w:r>
              <w:rPr>
                <w:rFonts w:ascii="Aptos" w:hAnsi="Aptos"/>
                <w:b w:val="0"/>
                <w:sz w:val="16"/>
              </w:rPr>
              <w:t>CredentialEvidence</w:t>
            </w:r>
          </w:p>
        </w:tc>
        <w:tc>
          <w:tcPr>
            <w:tcW w:type="dxa" w:w="7200"/>
            <w:vAlign w:val="center"/>
          </w:tcPr>
          <w:p>
            <w:r/>
            <w:r>
              <w:rPr>
                <w:rFonts w:ascii="Aptos" w:hAnsi="Aptos"/>
                <w:b w:val="0"/>
                <w:sz w:val="16"/>
              </w:rPr>
              <w:t>Document or source supporting a credential</w:t>
            </w:r>
          </w:p>
        </w:tc>
      </w:tr>
      <w:tr>
        <w:tc>
          <w:tcPr>
            <w:tcW w:type="dxa" w:w="3168"/>
            <w:vAlign w:val="center"/>
            <w:shd w:fill="F3F6FA"/>
          </w:tcPr>
          <w:p>
            <w:r/>
            <w:r>
              <w:rPr>
                <w:rFonts w:ascii="Aptos" w:hAnsi="Aptos"/>
                <w:b w:val="0"/>
                <w:sz w:val="16"/>
              </w:rPr>
              <w:t>CredentialVerification</w:t>
            </w:r>
          </w:p>
        </w:tc>
        <w:tc>
          <w:tcPr>
            <w:tcW w:type="dxa" w:w="7200"/>
            <w:vAlign w:val="center"/>
            <w:shd w:fill="F3F6FA"/>
          </w:tcPr>
          <w:p>
            <w:r/>
            <w:r>
              <w:rPr>
                <w:rFonts w:ascii="Aptos" w:hAnsi="Aptos"/>
                <w:b w:val="0"/>
                <w:sz w:val="16"/>
              </w:rPr>
              <w:t>Who verified what, when, by what method and to what assurance level</w:t>
            </w:r>
          </w:p>
        </w:tc>
      </w:tr>
      <w:tr>
        <w:tc>
          <w:tcPr>
            <w:tcW w:type="dxa" w:w="3168"/>
            <w:vAlign w:val="center"/>
          </w:tcPr>
          <w:p>
            <w:r/>
            <w:r>
              <w:rPr>
                <w:rFonts w:ascii="Aptos" w:hAnsi="Aptos"/>
                <w:b w:val="0"/>
                <w:sz w:val="16"/>
              </w:rPr>
              <w:t>Role</w:t>
            </w:r>
          </w:p>
        </w:tc>
        <w:tc>
          <w:tcPr>
            <w:tcW w:type="dxa" w:w="7200"/>
            <w:vAlign w:val="center"/>
          </w:tcPr>
          <w:p>
            <w:r/>
            <w:r>
              <w:rPr>
                <w:rFonts w:ascii="Aptos" w:hAnsi="Aptos"/>
                <w:b w:val="0"/>
                <w:sz w:val="16"/>
              </w:rPr>
              <w:t>Workforce role template</w:t>
            </w:r>
          </w:p>
        </w:tc>
      </w:tr>
      <w:tr>
        <w:tc>
          <w:tcPr>
            <w:tcW w:type="dxa" w:w="3168"/>
            <w:vAlign w:val="center"/>
            <w:shd w:fill="F3F6FA"/>
          </w:tcPr>
          <w:p>
            <w:r/>
            <w:r>
              <w:rPr>
                <w:rFonts w:ascii="Aptos" w:hAnsi="Aptos"/>
                <w:b w:val="0"/>
                <w:sz w:val="16"/>
              </w:rPr>
              <w:t>Capability</w:t>
            </w:r>
          </w:p>
        </w:tc>
        <w:tc>
          <w:tcPr>
            <w:tcW w:type="dxa" w:w="7200"/>
            <w:vAlign w:val="center"/>
            <w:shd w:fill="F3F6FA"/>
          </w:tcPr>
          <w:p>
            <w:r/>
            <w:r>
              <w:rPr>
                <w:rFonts w:ascii="Aptos" w:hAnsi="Aptos"/>
                <w:b w:val="0"/>
                <w:sz w:val="16"/>
              </w:rPr>
              <w:t>Future granular clinical/professional capability</w:t>
            </w:r>
          </w:p>
        </w:tc>
      </w:tr>
      <w:tr>
        <w:tc>
          <w:tcPr>
            <w:tcW w:type="dxa" w:w="3168"/>
            <w:vAlign w:val="center"/>
          </w:tcPr>
          <w:p>
            <w:r/>
            <w:r>
              <w:rPr>
                <w:rFonts w:ascii="Aptos" w:hAnsi="Aptos"/>
                <w:b w:val="0"/>
                <w:sz w:val="16"/>
              </w:rPr>
              <w:t>RoleRequirement</w:t>
            </w:r>
          </w:p>
        </w:tc>
        <w:tc>
          <w:tcPr>
            <w:tcW w:type="dxa" w:w="7200"/>
            <w:vAlign w:val="center"/>
          </w:tcPr>
          <w:p>
            <w:r/>
            <w:r>
              <w:rPr>
                <w:rFonts w:ascii="Aptos" w:hAnsi="Aptos"/>
                <w:b w:val="0"/>
                <w:sz w:val="16"/>
              </w:rPr>
              <w:t>Credential/capability requirements for a role</w:t>
            </w:r>
          </w:p>
        </w:tc>
      </w:tr>
      <w:tr>
        <w:tc>
          <w:tcPr>
            <w:tcW w:type="dxa" w:w="3168"/>
            <w:vAlign w:val="center"/>
            <w:shd w:fill="F3F6FA"/>
          </w:tcPr>
          <w:p>
            <w:r/>
            <w:r>
              <w:rPr>
                <w:rFonts w:ascii="Aptos" w:hAnsi="Aptos"/>
                <w:b w:val="0"/>
                <w:sz w:val="16"/>
              </w:rPr>
              <w:t>OrganisationAffiliation</w:t>
            </w:r>
          </w:p>
        </w:tc>
        <w:tc>
          <w:tcPr>
            <w:tcW w:type="dxa" w:w="7200"/>
            <w:vAlign w:val="center"/>
            <w:shd w:fill="F3F6FA"/>
          </w:tcPr>
          <w:p>
            <w:r/>
            <w:r>
              <w:rPr>
                <w:rFonts w:ascii="Aptos" w:hAnsi="Aptos"/>
                <w:b w:val="0"/>
                <w:sz w:val="16"/>
              </w:rPr>
              <w:t>Relationship between practitioner and organisation</w:t>
            </w:r>
          </w:p>
        </w:tc>
      </w:tr>
      <w:tr>
        <w:tc>
          <w:tcPr>
            <w:tcW w:type="dxa" w:w="3168"/>
            <w:vAlign w:val="center"/>
          </w:tcPr>
          <w:p>
            <w:r/>
            <w:r>
              <w:rPr>
                <w:rFonts w:ascii="Aptos" w:hAnsi="Aptos"/>
                <w:b w:val="0"/>
                <w:sz w:val="16"/>
              </w:rPr>
              <w:t>ScopeGrant</w:t>
            </w:r>
          </w:p>
        </w:tc>
        <w:tc>
          <w:tcPr>
            <w:tcW w:type="dxa" w:w="7200"/>
            <w:vAlign w:val="center"/>
          </w:tcPr>
          <w:p>
            <w:r/>
            <w:r>
              <w:rPr>
                <w:rFonts w:ascii="Aptos" w:hAnsi="Aptos"/>
                <w:b w:val="0"/>
                <w:sz w:val="16"/>
              </w:rPr>
              <w:t>Organisation decision authorising defined practice</w:t>
            </w:r>
          </w:p>
        </w:tc>
      </w:tr>
      <w:tr>
        <w:tc>
          <w:tcPr>
            <w:tcW w:type="dxa" w:w="3168"/>
            <w:vAlign w:val="center"/>
            <w:shd w:fill="F3F6FA"/>
          </w:tcPr>
          <w:p>
            <w:r/>
            <w:r>
              <w:rPr>
                <w:rFonts w:ascii="Aptos" w:hAnsi="Aptos"/>
                <w:b w:val="0"/>
                <w:sz w:val="16"/>
              </w:rPr>
              <w:t>Agency</w:t>
            </w:r>
          </w:p>
        </w:tc>
        <w:tc>
          <w:tcPr>
            <w:tcW w:type="dxa" w:w="7200"/>
            <w:vAlign w:val="center"/>
            <w:shd w:fill="F3F6FA"/>
          </w:tcPr>
          <w:p>
            <w:r/>
            <w:r>
              <w:rPr>
                <w:rFonts w:ascii="Aptos" w:hAnsi="Aptos"/>
                <w:b w:val="0"/>
                <w:sz w:val="16"/>
              </w:rPr>
              <w:t>Supplier organisation</w:t>
            </w:r>
          </w:p>
        </w:tc>
      </w:tr>
      <w:tr>
        <w:tc>
          <w:tcPr>
            <w:tcW w:type="dxa" w:w="3168"/>
            <w:vAlign w:val="center"/>
          </w:tcPr>
          <w:p>
            <w:r/>
            <w:r>
              <w:rPr>
                <w:rFonts w:ascii="Aptos" w:hAnsi="Aptos"/>
                <w:b w:val="0"/>
                <w:sz w:val="16"/>
              </w:rPr>
              <w:t>AgencyAgreement</w:t>
            </w:r>
          </w:p>
        </w:tc>
        <w:tc>
          <w:tcPr>
            <w:tcW w:type="dxa" w:w="7200"/>
            <w:vAlign w:val="center"/>
          </w:tcPr>
          <w:p>
            <w:r/>
            <w:r>
              <w:rPr>
                <w:rFonts w:ascii="Aptos" w:hAnsi="Aptos"/>
                <w:b w:val="0"/>
                <w:sz w:val="16"/>
              </w:rPr>
              <w:t>Versioned panel/commercial agreement</w:t>
            </w:r>
          </w:p>
        </w:tc>
      </w:tr>
      <w:tr>
        <w:tc>
          <w:tcPr>
            <w:tcW w:type="dxa" w:w="3168"/>
            <w:vAlign w:val="center"/>
            <w:shd w:fill="F3F6FA"/>
          </w:tcPr>
          <w:p>
            <w:r/>
            <w:r>
              <w:rPr>
                <w:rFonts w:ascii="Aptos" w:hAnsi="Aptos"/>
                <w:b w:val="0"/>
                <w:sz w:val="16"/>
              </w:rPr>
              <w:t>PractitionerAgencyRelationship</w:t>
            </w:r>
          </w:p>
        </w:tc>
        <w:tc>
          <w:tcPr>
            <w:tcW w:type="dxa" w:w="7200"/>
            <w:vAlign w:val="center"/>
            <w:shd w:fill="F3F6FA"/>
          </w:tcPr>
          <w:p>
            <w:r/>
            <w:r>
              <w:rPr>
                <w:rFonts w:ascii="Aptos" w:hAnsi="Aptos"/>
                <w:b w:val="0"/>
                <w:sz w:val="16"/>
              </w:rPr>
              <w:t>Doctor-supplier relationship</w:t>
            </w:r>
          </w:p>
        </w:tc>
      </w:tr>
      <w:tr>
        <w:tc>
          <w:tcPr>
            <w:tcW w:type="dxa" w:w="3168"/>
            <w:vAlign w:val="center"/>
          </w:tcPr>
          <w:p>
            <w:r/>
            <w:r>
              <w:rPr>
                <w:rFonts w:ascii="Aptos" w:hAnsi="Aptos"/>
                <w:b w:val="0"/>
                <w:sz w:val="16"/>
              </w:rPr>
              <w:t>SourcingPolicy</w:t>
            </w:r>
          </w:p>
        </w:tc>
        <w:tc>
          <w:tcPr>
            <w:tcW w:type="dxa" w:w="7200"/>
            <w:vAlign w:val="center"/>
          </w:tcPr>
          <w:p>
            <w:r/>
            <w:r>
              <w:rPr>
                <w:rFonts w:ascii="Aptos" w:hAnsi="Aptos"/>
                <w:b w:val="0"/>
                <w:sz w:val="16"/>
              </w:rPr>
              <w:t>Ordered sourcing tiers and escalation rules</w:t>
            </w:r>
          </w:p>
        </w:tc>
      </w:tr>
      <w:tr>
        <w:tc>
          <w:tcPr>
            <w:tcW w:type="dxa" w:w="3168"/>
            <w:vAlign w:val="center"/>
            <w:shd w:fill="F3F6FA"/>
          </w:tcPr>
          <w:p>
            <w:r/>
            <w:r>
              <w:rPr>
                <w:rFonts w:ascii="Aptos" w:hAnsi="Aptos"/>
                <w:b w:val="0"/>
                <w:sz w:val="16"/>
              </w:rPr>
              <w:t>Shift</w:t>
            </w:r>
          </w:p>
        </w:tc>
        <w:tc>
          <w:tcPr>
            <w:tcW w:type="dxa" w:w="7200"/>
            <w:vAlign w:val="center"/>
            <w:shd w:fill="F3F6FA"/>
          </w:tcPr>
          <w:p>
            <w:r/>
            <w:r>
              <w:rPr>
                <w:rFonts w:ascii="Aptos" w:hAnsi="Aptos"/>
                <w:b w:val="0"/>
                <w:sz w:val="16"/>
              </w:rPr>
              <w:t>Vacancy/shift record</w:t>
            </w:r>
          </w:p>
        </w:tc>
      </w:tr>
      <w:tr>
        <w:tc>
          <w:tcPr>
            <w:tcW w:type="dxa" w:w="3168"/>
            <w:vAlign w:val="center"/>
          </w:tcPr>
          <w:p>
            <w:r/>
            <w:r>
              <w:rPr>
                <w:rFonts w:ascii="Aptos" w:hAnsi="Aptos"/>
                <w:b w:val="0"/>
                <w:sz w:val="16"/>
              </w:rPr>
              <w:t>ShiftApplication/Proposal</w:t>
            </w:r>
          </w:p>
        </w:tc>
        <w:tc>
          <w:tcPr>
            <w:tcW w:type="dxa" w:w="7200"/>
            <w:vAlign w:val="center"/>
          </w:tcPr>
          <w:p>
            <w:r/>
            <w:r>
              <w:rPr>
                <w:rFonts w:ascii="Aptos" w:hAnsi="Aptos"/>
                <w:b w:val="0"/>
                <w:sz w:val="16"/>
              </w:rPr>
              <w:t>Doctor or agency response to vacancy</w:t>
            </w:r>
          </w:p>
        </w:tc>
      </w:tr>
      <w:tr>
        <w:tc>
          <w:tcPr>
            <w:tcW w:type="dxa" w:w="3168"/>
            <w:vAlign w:val="center"/>
            <w:shd w:fill="F3F6FA"/>
          </w:tcPr>
          <w:p>
            <w:r/>
            <w:r>
              <w:rPr>
                <w:rFonts w:ascii="Aptos" w:hAnsi="Aptos"/>
                <w:b w:val="0"/>
                <w:sz w:val="16"/>
              </w:rPr>
              <w:t>Booking</w:t>
            </w:r>
          </w:p>
        </w:tc>
        <w:tc>
          <w:tcPr>
            <w:tcW w:type="dxa" w:w="7200"/>
            <w:vAlign w:val="center"/>
            <w:shd w:fill="F3F6FA"/>
          </w:tcPr>
          <w:p>
            <w:r/>
            <w:r>
              <w:rPr>
                <w:rFonts w:ascii="Aptos" w:hAnsi="Aptos"/>
                <w:b w:val="0"/>
                <w:sz w:val="16"/>
              </w:rPr>
              <w:t>Confirmed engagement with commercial snapshot</w:t>
            </w:r>
          </w:p>
        </w:tc>
      </w:tr>
      <w:tr>
        <w:tc>
          <w:tcPr>
            <w:tcW w:type="dxa" w:w="3168"/>
            <w:vAlign w:val="center"/>
          </w:tcPr>
          <w:p>
            <w:r/>
            <w:r>
              <w:rPr>
                <w:rFonts w:ascii="Aptos" w:hAnsi="Aptos"/>
                <w:b w:val="0"/>
                <w:sz w:val="16"/>
              </w:rPr>
              <w:t>Timesheet</w:t>
            </w:r>
          </w:p>
        </w:tc>
        <w:tc>
          <w:tcPr>
            <w:tcW w:type="dxa" w:w="7200"/>
            <w:vAlign w:val="center"/>
          </w:tcPr>
          <w:p>
            <w:r/>
            <w:r>
              <w:rPr>
                <w:rFonts w:ascii="Aptos" w:hAnsi="Aptos"/>
                <w:b w:val="0"/>
                <w:sz w:val="16"/>
              </w:rPr>
              <w:t>Claimed hours</w:t>
            </w:r>
          </w:p>
        </w:tc>
      </w:tr>
      <w:tr>
        <w:tc>
          <w:tcPr>
            <w:tcW w:type="dxa" w:w="3168"/>
            <w:vAlign w:val="center"/>
            <w:shd w:fill="F3F6FA"/>
          </w:tcPr>
          <w:p>
            <w:r/>
            <w:r>
              <w:rPr>
                <w:rFonts w:ascii="Aptos" w:hAnsi="Aptos"/>
                <w:b w:val="0"/>
                <w:sz w:val="16"/>
              </w:rPr>
              <w:t>TimesheetApproval</w:t>
            </w:r>
          </w:p>
        </w:tc>
        <w:tc>
          <w:tcPr>
            <w:tcW w:type="dxa" w:w="7200"/>
            <w:vAlign w:val="center"/>
            <w:shd w:fill="F3F6FA"/>
          </w:tcPr>
          <w:p>
            <w:r/>
            <w:r>
              <w:rPr>
                <w:rFonts w:ascii="Aptos" w:hAnsi="Aptos"/>
                <w:b w:val="0"/>
                <w:sz w:val="16"/>
              </w:rPr>
              <w:t>Approval/amendment/rejection event</w:t>
            </w:r>
          </w:p>
        </w:tc>
      </w:tr>
      <w:tr>
        <w:tc>
          <w:tcPr>
            <w:tcW w:type="dxa" w:w="3168"/>
            <w:vAlign w:val="center"/>
          </w:tcPr>
          <w:p>
            <w:r/>
            <w:r>
              <w:rPr>
                <w:rFonts w:ascii="Aptos" w:hAnsi="Aptos"/>
                <w:b w:val="0"/>
                <w:sz w:val="16"/>
              </w:rPr>
              <w:t>ExperienceResponse</w:t>
            </w:r>
          </w:p>
        </w:tc>
        <w:tc>
          <w:tcPr>
            <w:tcW w:type="dxa" w:w="7200"/>
            <w:vAlign w:val="center"/>
          </w:tcPr>
          <w:p>
            <w:r/>
            <w:r>
              <w:rPr>
                <w:rFonts w:ascii="Aptos" w:hAnsi="Aptos"/>
                <w:b w:val="0"/>
                <w:sz w:val="16"/>
              </w:rPr>
              <w:t>Confidential post-shift response</w:t>
            </w:r>
          </w:p>
        </w:tc>
      </w:tr>
      <w:tr>
        <w:tc>
          <w:tcPr>
            <w:tcW w:type="dxa" w:w="3168"/>
            <w:vAlign w:val="center"/>
            <w:shd w:fill="F3F6FA"/>
          </w:tcPr>
          <w:p>
            <w:r/>
            <w:r>
              <w:rPr>
                <w:rFonts w:ascii="Aptos" w:hAnsi="Aptos"/>
                <w:b w:val="0"/>
                <w:sz w:val="16"/>
              </w:rPr>
              <w:t>CredentialShare</w:t>
            </w:r>
          </w:p>
        </w:tc>
        <w:tc>
          <w:tcPr>
            <w:tcW w:type="dxa" w:w="7200"/>
            <w:vAlign w:val="center"/>
            <w:shd w:fill="F3F6FA"/>
          </w:tcPr>
          <w:p>
            <w:r/>
            <w:r>
              <w:rPr>
                <w:rFonts w:ascii="Aptos" w:hAnsi="Aptos"/>
                <w:b w:val="0"/>
                <w:sz w:val="16"/>
              </w:rPr>
              <w:t>Permissioned external sharing event</w:t>
            </w:r>
          </w:p>
        </w:tc>
      </w:tr>
      <w:tr>
        <w:tc>
          <w:tcPr>
            <w:tcW w:type="dxa" w:w="3168"/>
            <w:vAlign w:val="center"/>
          </w:tcPr>
          <w:p>
            <w:r/>
            <w:r>
              <w:rPr>
                <w:rFonts w:ascii="Aptos" w:hAnsi="Aptos"/>
                <w:b w:val="0"/>
                <w:sz w:val="16"/>
              </w:rPr>
              <w:t>AuditEvent</w:t>
            </w:r>
          </w:p>
        </w:tc>
        <w:tc>
          <w:tcPr>
            <w:tcW w:type="dxa" w:w="7200"/>
            <w:vAlign w:val="center"/>
          </w:tcPr>
          <w:p>
            <w:r/>
            <w:r>
              <w:rPr>
                <w:rFonts w:ascii="Aptos" w:hAnsi="Aptos"/>
                <w:b w:val="0"/>
                <w:sz w:val="16"/>
              </w:rPr>
              <w:t>Immutable record of significant actions</w:t>
            </w:r>
          </w:p>
        </w:tc>
      </w:tr>
    </w:tbl>
    <w:p/>
    <w:p>
      <w:pPr>
        <w:pStyle w:val="Heading1"/>
      </w:pPr>
      <w:r>
        <w:t>13. Critical data rules</w:t>
      </w:r>
    </w:p>
    <w:p>
      <w:pPr>
        <w:pStyle w:val="ListBullet"/>
      </w:pPr>
      <w:r>
        <w:t>A credential belongs to a practitioner.</w:t>
      </w:r>
    </w:p>
    <w:p>
      <w:pPr>
        <w:pStyle w:val="ListBullet"/>
      </w:pPr>
      <w:r>
        <w:t>Evidence supports a credential but is not itself the credential.</w:t>
      </w:r>
    </w:p>
    <w:p>
      <w:pPr>
        <w:pStyle w:val="ListBullet"/>
      </w:pPr>
      <w:r>
        <w:t>Verification belongs to the verifier and must retain provenance.</w:t>
      </w:r>
    </w:p>
    <w:p>
      <w:pPr>
        <w:pStyle w:val="ListBullet"/>
      </w:pPr>
      <w:r>
        <w:t>Scope belongs to the organisation granting it.</w:t>
      </w:r>
    </w:p>
    <w:p>
      <w:pPr>
        <w:pStyle w:val="ListBullet"/>
      </w:pPr>
      <w:r>
        <w:t>A role requirement is versioned and time-bounded.</w:t>
      </w:r>
    </w:p>
    <w:p>
      <w:pPr>
        <w:pStyle w:val="ListBullet"/>
      </w:pPr>
      <w:r>
        <w:t>Eligibility is calculated at a point in time and should not be stored as an eternal truth.</w:t>
      </w:r>
    </w:p>
    <w:p>
      <w:pPr>
        <w:pStyle w:val="ListBullet"/>
      </w:pPr>
      <w:r>
        <w:t>Agency commercial terms are versioned and booking costs are snapshotted at engagement.</w:t>
      </w:r>
    </w:p>
    <w:p>
      <w:pPr>
        <w:pStyle w:val="ListBullet"/>
      </w:pPr>
      <w:r>
        <w:t>Confidential experience responses are logically separated from operational booking identity for routine reporting.</w:t>
      </w:r>
    </w:p>
    <w:p>
      <w:pPr>
        <w:pStyle w:val="ListBullet"/>
      </w:pPr>
      <w:r>
        <w:t>Historical records must remain interpretable after policies, rates or requirements change.</w:t>
      </w:r>
    </w:p>
    <w:p>
      <w:pPr>
        <w:pStyle w:val="Heading1"/>
      </w:pPr>
      <w:r>
        <w:t>14. Credential model</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17365D"/>
          </w:tcPr>
          <w:p>
            <w:r/>
            <w:r>
              <w:rPr>
                <w:rFonts w:ascii="Aptos" w:hAnsi="Aptos"/>
                <w:b/>
                <w:color w:val="FFFFFF"/>
                <w:sz w:val="17"/>
              </w:rPr>
              <w:t>Credential category</w:t>
            </w:r>
          </w:p>
        </w:tc>
        <w:tc>
          <w:tcPr>
            <w:tcW w:type="dxa" w:w="3456"/>
            <w:vAlign w:val="center"/>
            <w:shd w:fill="17365D"/>
          </w:tcPr>
          <w:p>
            <w:r/>
            <w:r>
              <w:rPr>
                <w:rFonts w:ascii="Aptos" w:hAnsi="Aptos"/>
                <w:b/>
                <w:color w:val="FFFFFF"/>
                <w:sz w:val="17"/>
              </w:rPr>
              <w:t>Examples</w:t>
            </w:r>
          </w:p>
        </w:tc>
        <w:tc>
          <w:tcPr>
            <w:tcW w:type="dxa" w:w="4752"/>
            <w:vAlign w:val="center"/>
            <w:shd w:fill="17365D"/>
          </w:tcPr>
          <w:p>
            <w:r/>
            <w:r>
              <w:rPr>
                <w:rFonts w:ascii="Aptos" w:hAnsi="Aptos"/>
                <w:b/>
                <w:color w:val="FFFFFF"/>
                <w:sz w:val="17"/>
              </w:rPr>
              <w:t>Typical fields</w:t>
            </w:r>
          </w:p>
        </w:tc>
      </w:tr>
      <w:tr>
        <w:tc>
          <w:tcPr>
            <w:tcW w:type="dxa" w:w="2160"/>
            <w:vAlign w:val="center"/>
          </w:tcPr>
          <w:p>
            <w:r/>
            <w:r>
              <w:rPr>
                <w:rFonts w:ascii="Aptos" w:hAnsi="Aptos"/>
                <w:b w:val="0"/>
                <w:sz w:val="16"/>
              </w:rPr>
              <w:t>Registration</w:t>
            </w:r>
          </w:p>
        </w:tc>
        <w:tc>
          <w:tcPr>
            <w:tcW w:type="dxa" w:w="3456"/>
            <w:vAlign w:val="center"/>
          </w:tcPr>
          <w:p>
            <w:r/>
            <w:r>
              <w:rPr>
                <w:rFonts w:ascii="Aptos" w:hAnsi="Aptos"/>
                <w:b w:val="0"/>
                <w:sz w:val="16"/>
              </w:rPr>
              <w:t>Ahpra registration</w:t>
            </w:r>
          </w:p>
        </w:tc>
        <w:tc>
          <w:tcPr>
            <w:tcW w:type="dxa" w:w="4752"/>
            <w:vAlign w:val="center"/>
          </w:tcPr>
          <w:p>
            <w:r/>
            <w:r>
              <w:rPr>
                <w:rFonts w:ascii="Aptos" w:hAnsi="Aptos"/>
                <w:b w:val="0"/>
                <w:sz w:val="16"/>
              </w:rPr>
              <w:t>Number, profession, registration type, status, expiry</w:t>
            </w:r>
          </w:p>
        </w:tc>
      </w:tr>
      <w:tr>
        <w:tc>
          <w:tcPr>
            <w:tcW w:type="dxa" w:w="2160"/>
            <w:vAlign w:val="center"/>
            <w:shd w:fill="F3F6FA"/>
          </w:tcPr>
          <w:p>
            <w:r/>
            <w:r>
              <w:rPr>
                <w:rFonts w:ascii="Aptos" w:hAnsi="Aptos"/>
                <w:b w:val="0"/>
                <w:sz w:val="16"/>
              </w:rPr>
              <w:t>Qualification</w:t>
            </w:r>
          </w:p>
        </w:tc>
        <w:tc>
          <w:tcPr>
            <w:tcW w:type="dxa" w:w="3456"/>
            <w:vAlign w:val="center"/>
            <w:shd w:fill="F3F6FA"/>
          </w:tcPr>
          <w:p>
            <w:r/>
            <w:r>
              <w:rPr>
                <w:rFonts w:ascii="Aptos" w:hAnsi="Aptos"/>
                <w:b w:val="0"/>
                <w:sz w:val="16"/>
              </w:rPr>
              <w:t>MBBS, fellowship, diploma</w:t>
            </w:r>
          </w:p>
        </w:tc>
        <w:tc>
          <w:tcPr>
            <w:tcW w:type="dxa" w:w="4752"/>
            <w:vAlign w:val="center"/>
            <w:shd w:fill="F3F6FA"/>
          </w:tcPr>
          <w:p>
            <w:r/>
            <w:r>
              <w:rPr>
                <w:rFonts w:ascii="Aptos" w:hAnsi="Aptos"/>
                <w:b w:val="0"/>
                <w:sz w:val="16"/>
              </w:rPr>
              <w:t>Award, institution, country, award date</w:t>
            </w:r>
          </w:p>
        </w:tc>
      </w:tr>
      <w:tr>
        <w:tc>
          <w:tcPr>
            <w:tcW w:type="dxa" w:w="2160"/>
            <w:vAlign w:val="center"/>
          </w:tcPr>
          <w:p>
            <w:r/>
            <w:r>
              <w:rPr>
                <w:rFonts w:ascii="Aptos" w:hAnsi="Aptos"/>
                <w:b w:val="0"/>
                <w:sz w:val="16"/>
              </w:rPr>
              <w:t>Training</w:t>
            </w:r>
          </w:p>
        </w:tc>
        <w:tc>
          <w:tcPr>
            <w:tcW w:type="dxa" w:w="3456"/>
            <w:vAlign w:val="center"/>
          </w:tcPr>
          <w:p>
            <w:r/>
            <w:r>
              <w:rPr>
                <w:rFonts w:ascii="Aptos" w:hAnsi="Aptos"/>
                <w:b w:val="0"/>
                <w:sz w:val="16"/>
              </w:rPr>
              <w:t>ALS2, APLS, EMST</w:t>
            </w:r>
          </w:p>
        </w:tc>
        <w:tc>
          <w:tcPr>
            <w:tcW w:type="dxa" w:w="4752"/>
            <w:vAlign w:val="center"/>
          </w:tcPr>
          <w:p>
            <w:r/>
            <w:r>
              <w:rPr>
                <w:rFonts w:ascii="Aptos" w:hAnsi="Aptos"/>
                <w:b w:val="0"/>
                <w:sz w:val="16"/>
              </w:rPr>
              <w:t>Issuer, completion date, expiry</w:t>
            </w:r>
          </w:p>
        </w:tc>
      </w:tr>
      <w:tr>
        <w:tc>
          <w:tcPr>
            <w:tcW w:type="dxa" w:w="2160"/>
            <w:vAlign w:val="center"/>
            <w:shd w:fill="F3F6FA"/>
          </w:tcPr>
          <w:p>
            <w:r/>
            <w:r>
              <w:rPr>
                <w:rFonts w:ascii="Aptos" w:hAnsi="Aptos"/>
                <w:b w:val="0"/>
                <w:sz w:val="16"/>
              </w:rPr>
              <w:t>Checks</w:t>
            </w:r>
          </w:p>
        </w:tc>
        <w:tc>
          <w:tcPr>
            <w:tcW w:type="dxa" w:w="3456"/>
            <w:vAlign w:val="center"/>
            <w:shd w:fill="F3F6FA"/>
          </w:tcPr>
          <w:p>
            <w:r/>
            <w:r>
              <w:rPr>
                <w:rFonts w:ascii="Aptos" w:hAnsi="Aptos"/>
                <w:b w:val="0"/>
                <w:sz w:val="16"/>
              </w:rPr>
              <w:t>Police check, WWCC</w:t>
            </w:r>
          </w:p>
        </w:tc>
        <w:tc>
          <w:tcPr>
            <w:tcW w:type="dxa" w:w="4752"/>
            <w:vAlign w:val="center"/>
            <w:shd w:fill="F3F6FA"/>
          </w:tcPr>
          <w:p>
            <w:r/>
            <w:r>
              <w:rPr>
                <w:rFonts w:ascii="Aptos" w:hAnsi="Aptos"/>
                <w:b w:val="0"/>
                <w:sz w:val="16"/>
              </w:rPr>
              <w:t>Jurisdiction, identifier, issue/expiry</w:t>
            </w:r>
          </w:p>
        </w:tc>
      </w:tr>
      <w:tr>
        <w:tc>
          <w:tcPr>
            <w:tcW w:type="dxa" w:w="2160"/>
            <w:vAlign w:val="center"/>
          </w:tcPr>
          <w:p>
            <w:r/>
            <w:r>
              <w:rPr>
                <w:rFonts w:ascii="Aptos" w:hAnsi="Aptos"/>
                <w:b w:val="0"/>
                <w:sz w:val="16"/>
              </w:rPr>
              <w:t>Employment/experience</w:t>
            </w:r>
          </w:p>
        </w:tc>
        <w:tc>
          <w:tcPr>
            <w:tcW w:type="dxa" w:w="3456"/>
            <w:vAlign w:val="center"/>
          </w:tcPr>
          <w:p>
            <w:r/>
            <w:r>
              <w:rPr>
                <w:rFonts w:ascii="Aptos" w:hAnsi="Aptos"/>
                <w:b w:val="0"/>
                <w:sz w:val="16"/>
              </w:rPr>
              <w:t>Previous appointments</w:t>
            </w:r>
          </w:p>
        </w:tc>
        <w:tc>
          <w:tcPr>
            <w:tcW w:type="dxa" w:w="4752"/>
            <w:vAlign w:val="center"/>
          </w:tcPr>
          <w:p>
            <w:r/>
            <w:r>
              <w:rPr>
                <w:rFonts w:ascii="Aptos" w:hAnsi="Aptos"/>
                <w:b w:val="0"/>
                <w:sz w:val="16"/>
              </w:rPr>
              <w:t>Organisation, role, dates, FTE</w:t>
            </w:r>
          </w:p>
        </w:tc>
      </w:tr>
      <w:tr>
        <w:tc>
          <w:tcPr>
            <w:tcW w:type="dxa" w:w="2160"/>
            <w:vAlign w:val="center"/>
            <w:shd w:fill="F3F6FA"/>
          </w:tcPr>
          <w:p>
            <w:r/>
            <w:r>
              <w:rPr>
                <w:rFonts w:ascii="Aptos" w:hAnsi="Aptos"/>
                <w:b w:val="0"/>
                <w:sz w:val="16"/>
              </w:rPr>
              <w:t>Organisation attestation</w:t>
            </w:r>
          </w:p>
        </w:tc>
        <w:tc>
          <w:tcPr>
            <w:tcW w:type="dxa" w:w="3456"/>
            <w:vAlign w:val="center"/>
            <w:shd w:fill="F3F6FA"/>
          </w:tcPr>
          <w:p>
            <w:r/>
            <w:r>
              <w:rPr>
                <w:rFonts w:ascii="Aptos" w:hAnsi="Aptos"/>
                <w:b w:val="0"/>
                <w:sz w:val="16"/>
              </w:rPr>
              <w:t>YNLHN SoCP</w:t>
            </w:r>
          </w:p>
        </w:tc>
        <w:tc>
          <w:tcPr>
            <w:tcW w:type="dxa" w:w="4752"/>
            <w:vAlign w:val="center"/>
            <w:shd w:fill="F3F6FA"/>
          </w:tcPr>
          <w:p>
            <w:r/>
            <w:r>
              <w:rPr>
                <w:rFonts w:ascii="Aptos" w:hAnsi="Aptos"/>
                <w:b w:val="0"/>
                <w:sz w:val="16"/>
              </w:rPr>
              <w:t>Organisation, role/scope, sites, restrictions, effective/expiry</w:t>
            </w:r>
          </w:p>
        </w:tc>
      </w:tr>
      <w:tr>
        <w:tc>
          <w:tcPr>
            <w:tcW w:type="dxa" w:w="2160"/>
            <w:vAlign w:val="center"/>
          </w:tcPr>
          <w:p>
            <w:r/>
            <w:r>
              <w:rPr>
                <w:rFonts w:ascii="Aptos" w:hAnsi="Aptos"/>
                <w:b w:val="0"/>
                <w:sz w:val="16"/>
              </w:rPr>
              <w:t>Identity/work rights</w:t>
            </w:r>
          </w:p>
        </w:tc>
        <w:tc>
          <w:tcPr>
            <w:tcW w:type="dxa" w:w="3456"/>
            <w:vAlign w:val="center"/>
          </w:tcPr>
          <w:p>
            <w:r/>
            <w:r>
              <w:rPr>
                <w:rFonts w:ascii="Aptos" w:hAnsi="Aptos"/>
                <w:b w:val="0"/>
                <w:sz w:val="16"/>
              </w:rPr>
              <w:t>Passport/visa evidence</w:t>
            </w:r>
          </w:p>
        </w:tc>
        <w:tc>
          <w:tcPr>
            <w:tcW w:type="dxa" w:w="4752"/>
            <w:vAlign w:val="center"/>
          </w:tcPr>
          <w:p>
            <w:r/>
            <w:r>
              <w:rPr>
                <w:rFonts w:ascii="Aptos" w:hAnsi="Aptos"/>
                <w:b w:val="0"/>
                <w:sz w:val="16"/>
              </w:rPr>
              <w:t>High-sensitivity evidence with restricted sharing</w:t>
            </w:r>
          </w:p>
        </w:tc>
      </w:tr>
      <w:tr>
        <w:tc>
          <w:tcPr>
            <w:tcW w:type="dxa" w:w="2160"/>
            <w:vAlign w:val="center"/>
            <w:shd w:fill="F3F6FA"/>
          </w:tcPr>
          <w:p>
            <w:r/>
            <w:r>
              <w:rPr>
                <w:rFonts w:ascii="Aptos" w:hAnsi="Aptos"/>
                <w:b w:val="0"/>
                <w:sz w:val="16"/>
              </w:rPr>
              <w:t>Mandatory learning</w:t>
            </w:r>
          </w:p>
        </w:tc>
        <w:tc>
          <w:tcPr>
            <w:tcW w:type="dxa" w:w="3456"/>
            <w:vAlign w:val="center"/>
            <w:shd w:fill="F3F6FA"/>
          </w:tcPr>
          <w:p>
            <w:r/>
            <w:r>
              <w:rPr>
                <w:rFonts w:ascii="Aptos" w:hAnsi="Aptos"/>
                <w:b w:val="0"/>
                <w:sz w:val="16"/>
              </w:rPr>
              <w:t>Local training</w:t>
            </w:r>
          </w:p>
        </w:tc>
        <w:tc>
          <w:tcPr>
            <w:tcW w:type="dxa" w:w="4752"/>
            <w:vAlign w:val="center"/>
            <w:shd w:fill="F3F6FA"/>
          </w:tcPr>
          <w:p>
            <w:r/>
            <w:r>
              <w:rPr>
                <w:rFonts w:ascii="Aptos" w:hAnsi="Aptos"/>
                <w:b w:val="0"/>
                <w:sz w:val="16"/>
              </w:rPr>
              <w:t>Module, organisation, completion/expiry</w:t>
            </w:r>
          </w:p>
        </w:tc>
      </w:tr>
    </w:tbl>
    <w:p/>
    <w:p>
      <w:pPr>
        <w:pStyle w:val="Heading2"/>
      </w:pPr>
      <w:r>
        <w:t>14.1 Assurance states</w:t>
      </w:r>
    </w:p>
    <w:p>
      <w:pPr>
        <w:pStyle w:val="ListBullet"/>
      </w:pPr>
      <w:r>
        <w:t>Self-supplied: entered/uploaded by practitioner, not independently checked.</w:t>
      </w:r>
    </w:p>
    <w:p>
      <w:pPr>
        <w:pStyle w:val="ListBullet"/>
      </w:pPr>
      <w:r>
        <w:t>Organisation-verified: checked by a named organisation using its credentialling process.</w:t>
      </w:r>
    </w:p>
    <w:p>
      <w:pPr>
        <w:pStyle w:val="ListBullet"/>
      </w:pPr>
      <w:r>
        <w:t>Primary-source verified: checked against an authoritative source where supported.</w:t>
      </w:r>
    </w:p>
    <w:p>
      <w:pPr>
        <w:pStyle w:val="ListBullet"/>
      </w:pPr>
      <w:r>
        <w:t>Expired: validity period has passed.</w:t>
      </w:r>
    </w:p>
    <w:p>
      <w:pPr>
        <w:pStyle w:val="ListBullet"/>
      </w:pPr>
      <w:r>
        <w:t>Superseded: replaced by a newer record.</w:t>
      </w:r>
    </w:p>
    <w:p>
      <w:pPr>
        <w:pStyle w:val="ListBullet"/>
      </w:pPr>
      <w:r>
        <w:t>Revoked/invalidated: no longer relied upon and reason recorded.</w:t>
      </w:r>
    </w:p>
    <w:p>
      <w:pPr>
        <w:pStyle w:val="Heading1"/>
      </w:pPr>
      <w:r>
        <w:t>15. ScopeGraph future model</w:t>
      </w:r>
    </w:p>
    <w:p>
      <w:r>
        <w:t>ScopeGraph is the proposed future rules layer connecting credentials, capabilities, organisational scope, facility capability, role requirements and shift eligibility. It should not be required for the first YNLHN release, but the data model must avoid blocking its later introduction.</w:t>
      </w:r>
    </w:p>
    <w:tbl>
      <w:tblPr>
        <w:tblStyle w:val="TableGrid"/>
        <w:tblW w:type="auto" w:w="0"/>
        <w:tblLook w:firstColumn="1" w:firstRow="1" w:lastColumn="0" w:lastRow="0" w:noHBand="0" w:noVBand="1" w:val="04A0"/>
      </w:tblPr>
      <w:tblGrid>
        <w:gridCol w:w="10080"/>
      </w:tblGrid>
      <w:tr>
        <w:tc>
          <w:tcPr>
            <w:tcW w:type="dxa" w:w="10080"/>
            <w:shd w:fill="EAF0F8"/>
          </w:tcPr>
          <w:p>
            <w:r/>
            <w:r>
              <w:rPr>
                <w:rFonts w:ascii="Aptos" w:hAnsi="Aptos"/>
                <w:b/>
                <w:color w:val="17365D"/>
                <w:sz w:val="21"/>
              </w:rPr>
              <w:t>Practitioner evidence → demonstrated capability → organisation scope → role/facility requirements → point-in-time eligibility.</w:t>
            </w:r>
          </w:p>
        </w:tc>
      </w:tr>
    </w:tbl>
    <w:p/>
    <w:p>
      <w:r>
        <w:t>The engine should always be explainable. If a practitioner is not eligible, the system should be able to identify the missing, expired or restricted requirement rather than returning an opaque score.</w:t>
      </w:r>
    </w:p>
    <w:p>
      <w:pPr>
        <w:pStyle w:val="Heading1"/>
      </w:pPr>
      <w:r>
        <w:t>16. Matching and marketplace logic</w:t>
      </w:r>
    </w:p>
    <w:p>
      <w:pPr>
        <w:pStyle w:val="Heading2"/>
      </w:pPr>
      <w:r>
        <w:t>16.1 Eligibility gate</w:t>
      </w:r>
    </w:p>
    <w:p>
      <w:pPr>
        <w:pStyle w:val="ListBullet"/>
      </w:pPr>
      <w:r>
        <w:t>Current organisational affiliation</w:t>
      </w:r>
    </w:p>
    <w:p>
      <w:pPr>
        <w:pStyle w:val="ListBullet"/>
      </w:pPr>
      <w:r>
        <w:t>Required organisational scope</w:t>
      </w:r>
    </w:p>
    <w:p>
      <w:pPr>
        <w:pStyle w:val="ListBullet"/>
      </w:pPr>
      <w:r>
        <w:t>Facility/department applicability</w:t>
      </w:r>
    </w:p>
    <w:p>
      <w:pPr>
        <w:pStyle w:val="ListBullet"/>
      </w:pPr>
      <w:r>
        <w:t>No blocking restriction</w:t>
      </w:r>
    </w:p>
    <w:p>
      <w:pPr>
        <w:pStyle w:val="ListBullet"/>
      </w:pPr>
      <w:r>
        <w:t>Required credential status and expiry</w:t>
      </w:r>
    </w:p>
    <w:p>
      <w:pPr>
        <w:pStyle w:val="ListBullet"/>
      </w:pPr>
      <w:r>
        <w:t>Applicable sourcing/procurement rules</w:t>
      </w:r>
    </w:p>
    <w:p>
      <w:pPr>
        <w:pStyle w:val="Heading2"/>
      </w:pPr>
      <w:r>
        <w:t>16.2 Preference/ranking layer</w:t>
      </w:r>
    </w:p>
    <w:p>
      <w:r>
        <w:t>Only eligible practitioners enter preference matching. Potential factors include availability, facility preference, role preference, minimum rate, travel willingness, accommodation requirement, previous site experience, continuity and prior return behaviour. Doctor reservation prices should remain private.</w:t>
      </w:r>
    </w:p>
    <w:p>
      <w:pPr>
        <w:pStyle w:val="Heading1"/>
      </w:pPr>
      <w:r>
        <w:t>17. Agency and procurement model</w:t>
      </w:r>
    </w:p>
    <w:p>
      <w:r>
        <w:t>Agency participation is a first-class domain. The initial strategy is to improve the operation and auditability of the existing SA Health panel arrangement, not to bypass it.</w:t>
      </w:r>
    </w:p>
    <w:tbl>
      <w:tblPr>
        <w:tblStyle w:val="TableGrid"/>
        <w:tblW w:type="auto" w:w="0"/>
        <w:jc w:val="center"/>
        <w:tblLook w:firstColumn="1" w:firstRow="1" w:lastColumn="0" w:lastRow="0" w:noHBand="0" w:noVBand="1" w:val="04A0"/>
      </w:tblPr>
      <w:tblGrid>
        <w:gridCol w:w="5040"/>
        <w:gridCol w:w="5040"/>
      </w:tblGrid>
      <w:tr>
        <w:tc>
          <w:tcPr>
            <w:tcW w:type="dxa" w:w="3024"/>
            <w:vAlign w:val="center"/>
            <w:shd w:fill="17365D"/>
          </w:tcPr>
          <w:p>
            <w:r/>
            <w:r>
              <w:rPr>
                <w:rFonts w:ascii="Aptos" w:hAnsi="Aptos"/>
                <w:b/>
                <w:color w:val="FFFFFF"/>
                <w:sz w:val="17"/>
              </w:rPr>
              <w:t>Object</w:t>
            </w:r>
          </w:p>
        </w:tc>
        <w:tc>
          <w:tcPr>
            <w:tcW w:type="dxa" w:w="7344"/>
            <w:vAlign w:val="center"/>
            <w:shd w:fill="17365D"/>
          </w:tcPr>
          <w:p>
            <w:r/>
            <w:r>
              <w:rPr>
                <w:rFonts w:ascii="Aptos" w:hAnsi="Aptos"/>
                <w:b/>
                <w:color w:val="FFFFFF"/>
                <w:sz w:val="17"/>
              </w:rPr>
              <w:t>Required attributes</w:t>
            </w:r>
          </w:p>
        </w:tc>
      </w:tr>
      <w:tr>
        <w:tc>
          <w:tcPr>
            <w:tcW w:type="dxa" w:w="3024"/>
            <w:vAlign w:val="center"/>
          </w:tcPr>
          <w:p>
            <w:r/>
            <w:r>
              <w:rPr>
                <w:rFonts w:ascii="Aptos" w:hAnsi="Aptos"/>
                <w:b w:val="0"/>
                <w:sz w:val="16"/>
              </w:rPr>
              <w:t>Agency</w:t>
            </w:r>
          </w:p>
        </w:tc>
        <w:tc>
          <w:tcPr>
            <w:tcW w:type="dxa" w:w="7344"/>
            <w:vAlign w:val="center"/>
          </w:tcPr>
          <w:p>
            <w:r/>
            <w:r>
              <w:rPr>
                <w:rFonts w:ascii="Aptos" w:hAnsi="Aptos"/>
                <w:b w:val="0"/>
                <w:sz w:val="16"/>
              </w:rPr>
              <w:t>Name, identifiers, panel status, approved categories, active dates</w:t>
            </w:r>
          </w:p>
        </w:tc>
      </w:tr>
      <w:tr>
        <w:tc>
          <w:tcPr>
            <w:tcW w:type="dxa" w:w="3024"/>
            <w:vAlign w:val="center"/>
            <w:shd w:fill="F3F6FA"/>
          </w:tcPr>
          <w:p>
            <w:r/>
            <w:r>
              <w:rPr>
                <w:rFonts w:ascii="Aptos" w:hAnsi="Aptos"/>
                <w:b w:val="0"/>
                <w:sz w:val="16"/>
              </w:rPr>
              <w:t>AgencyAgreement</w:t>
            </w:r>
          </w:p>
        </w:tc>
        <w:tc>
          <w:tcPr>
            <w:tcW w:type="dxa" w:w="7344"/>
            <w:vAlign w:val="center"/>
            <w:shd w:fill="F3F6FA"/>
          </w:tcPr>
          <w:p>
            <w:r/>
            <w:r>
              <w:rPr>
                <w:rFonts w:ascii="Aptos" w:hAnsi="Aptos"/>
                <w:b w:val="0"/>
                <w:sz w:val="16"/>
              </w:rPr>
              <w:t>Effective dates, commission type/value, GST treatment, rate rules, contract reference</w:t>
            </w:r>
          </w:p>
        </w:tc>
      </w:tr>
      <w:tr>
        <w:tc>
          <w:tcPr>
            <w:tcW w:type="dxa" w:w="3024"/>
            <w:vAlign w:val="center"/>
          </w:tcPr>
          <w:p>
            <w:r/>
            <w:r>
              <w:rPr>
                <w:rFonts w:ascii="Aptos" w:hAnsi="Aptos"/>
                <w:b w:val="0"/>
                <w:sz w:val="16"/>
              </w:rPr>
              <w:t>Doctor-agency relationship</w:t>
            </w:r>
          </w:p>
        </w:tc>
        <w:tc>
          <w:tcPr>
            <w:tcW w:type="dxa" w:w="7344"/>
            <w:vAlign w:val="center"/>
          </w:tcPr>
          <w:p>
            <w:r/>
            <w:r>
              <w:rPr>
                <w:rFonts w:ascii="Aptos" w:hAnsi="Aptos"/>
                <w:b w:val="0"/>
                <w:sz w:val="16"/>
              </w:rPr>
              <w:t>Doctor, agency, effective dates, category/restrictions, verification</w:t>
            </w:r>
          </w:p>
        </w:tc>
      </w:tr>
      <w:tr>
        <w:tc>
          <w:tcPr>
            <w:tcW w:type="dxa" w:w="3024"/>
            <w:vAlign w:val="center"/>
            <w:shd w:fill="F3F6FA"/>
          </w:tcPr>
          <w:p>
            <w:r/>
            <w:r>
              <w:rPr>
                <w:rFonts w:ascii="Aptos" w:hAnsi="Aptos"/>
                <w:b w:val="0"/>
                <w:sz w:val="16"/>
              </w:rPr>
              <w:t>Agency proposal</w:t>
            </w:r>
          </w:p>
        </w:tc>
        <w:tc>
          <w:tcPr>
            <w:tcW w:type="dxa" w:w="7344"/>
            <w:vAlign w:val="center"/>
            <w:shd w:fill="F3F6FA"/>
          </w:tcPr>
          <w:p>
            <w:r/>
            <w:r>
              <w:rPr>
                <w:rFonts w:ascii="Aptos" w:hAnsi="Aptos"/>
                <w:b w:val="0"/>
                <w:sz w:val="16"/>
              </w:rPr>
              <w:t>Vacancy, proposed doctor, quoted rate/terms, timestamp, status</w:t>
            </w:r>
          </w:p>
        </w:tc>
      </w:tr>
      <w:tr>
        <w:tc>
          <w:tcPr>
            <w:tcW w:type="dxa" w:w="3024"/>
            <w:vAlign w:val="center"/>
          </w:tcPr>
          <w:p>
            <w:r/>
            <w:r>
              <w:rPr>
                <w:rFonts w:ascii="Aptos" w:hAnsi="Aptos"/>
                <w:b w:val="0"/>
                <w:sz w:val="16"/>
              </w:rPr>
              <w:t>Booking commercial snapshot</w:t>
            </w:r>
          </w:p>
        </w:tc>
        <w:tc>
          <w:tcPr>
            <w:tcW w:type="dxa" w:w="7344"/>
            <w:vAlign w:val="center"/>
          </w:tcPr>
          <w:p>
            <w:r/>
            <w:r>
              <w:rPr>
                <w:rFonts w:ascii="Aptos" w:hAnsi="Aptos"/>
                <w:b w:val="0"/>
                <w:sz w:val="16"/>
              </w:rPr>
              <w:t>Rate, commission, travel/accommodation and applicable agreement version</w:t>
            </w:r>
          </w:p>
        </w:tc>
      </w:tr>
    </w:tbl>
    <w:p/>
    <w:p>
      <w:r>
        <w:t>The platform should be able to demonstrate whether a vacancy followed the configured sourcing sequence and record authorised exceptions. Commercial data must be permissioned so that agencies cannot see competitors' terms.</w:t>
      </w:r>
    </w:p>
    <w:p>
      <w:pPr>
        <w:pStyle w:val="Heading1"/>
      </w:pPr>
      <w:r>
        <w:t>18. Locum Experience and retention framework</w:t>
      </w:r>
    </w:p>
    <w:p>
      <w:r>
        <w:t>The Experience module should generate actionable service-improvement information while maintaining clinician trust. Hospital-level scores should be displayed only when minimum response thresholds are met. Small-site reporting may require longer aggregation periods or thematic reporting.</w:t>
      </w:r>
    </w:p>
    <w:p>
      <w:pPr>
        <w:pStyle w:val="Heading2"/>
      </w:pPr>
      <w:r>
        <w:t>18.1 Behavioural measures</w:t>
      </w:r>
    </w:p>
    <w:p>
      <w:pPr>
        <w:pStyle w:val="ListBullet"/>
      </w:pPr>
      <w:r>
        <w:t>90-day repeat locum rate</w:t>
      </w:r>
    </w:p>
    <w:p>
      <w:pPr>
        <w:pStyle w:val="ListBullet"/>
      </w:pPr>
      <w:r>
        <w:t>12-month repeat locum rate</w:t>
      </w:r>
    </w:p>
    <w:p>
      <w:pPr>
        <w:pStyle w:val="ListBullet"/>
      </w:pPr>
      <w:r>
        <w:t>Eligible return rate: returned after receiving a reasonable subsequent opportunity</w:t>
      </w:r>
    </w:p>
    <w:p>
      <w:pPr>
        <w:pStyle w:val="ListBullet"/>
      </w:pPr>
      <w:r>
        <w:t>Median subsequent shifts per returning locum</w:t>
      </w:r>
    </w:p>
    <w:p>
      <w:pPr>
        <w:pStyle w:val="ListBullet"/>
      </w:pPr>
      <w:r>
        <w:t>Median time to return</w:t>
      </w:r>
    </w:p>
    <w:p>
      <w:pPr>
        <w:pStyle w:val="ListBullet"/>
      </w:pPr>
      <w:r>
        <w:t>Cancellation rate</w:t>
      </w:r>
    </w:p>
    <w:p>
      <w:pPr>
        <w:pStyle w:val="ListBullet"/>
      </w:pPr>
      <w:r>
        <w:t>Site preference changes over time</w:t>
      </w:r>
    </w:p>
    <w:p>
      <w:pPr>
        <w:pStyle w:val="Heading2"/>
      </w:pPr>
      <w:r>
        <w:t>18.2 Improvement loop</w:t>
      </w:r>
    </w:p>
    <w:p>
      <w:r>
        <w:t>The doctor-facing app should periodically provide 'You said / We did' updates. This closes the feedback loop and supports survey participation by demonstrating that feedback leads to visible changes.</w:t>
      </w:r>
    </w:p>
    <w:p>
      <w:pPr>
        <w:pStyle w:val="Heading1"/>
      </w:pPr>
      <w:r>
        <w:t>19. Security, privacy and trust</w:t>
      </w:r>
    </w:p>
    <w:p>
      <w:pPr>
        <w:pStyle w:val="ListBullet"/>
      </w:pPr>
      <w:r>
        <w:t>Multi-factor authentication for practitioner and organisational accounts</w:t>
      </w:r>
    </w:p>
    <w:p>
      <w:pPr>
        <w:pStyle w:val="ListBullet"/>
      </w:pPr>
      <w:r>
        <w:t>Role-based and attribute-based access controls</w:t>
      </w:r>
    </w:p>
    <w:p>
      <w:pPr>
        <w:pStyle w:val="ListBullet"/>
      </w:pPr>
      <w:r>
        <w:t>Encryption in transit and at rest</w:t>
      </w:r>
    </w:p>
    <w:p>
      <w:pPr>
        <w:pStyle w:val="ListBullet"/>
      </w:pPr>
      <w:r>
        <w:t>Separation of highly sensitive identity evidence from routine credential data</w:t>
      </w:r>
    </w:p>
    <w:p>
      <w:pPr>
        <w:pStyle w:val="ListBullet"/>
      </w:pPr>
      <w:r>
        <w:t>Explicit practitioner consent/authorisation for external credential sharing</w:t>
      </w:r>
    </w:p>
    <w:p>
      <w:pPr>
        <w:pStyle w:val="ListBullet"/>
      </w:pPr>
      <w:r>
        <w:t>Time-limited share links with revocation and access logging</w:t>
      </w:r>
    </w:p>
    <w:p>
      <w:pPr>
        <w:pStyle w:val="ListBullet"/>
      </w:pPr>
      <w:r>
        <w:t>Minimum necessary disclosure when creating credential packs</w:t>
      </w:r>
    </w:p>
    <w:p>
      <w:pPr>
        <w:pStyle w:val="ListBullet"/>
      </w:pPr>
      <w:r>
        <w:t>Logical separation and restricted access for confidential experience responses</w:t>
      </w:r>
    </w:p>
    <w:p>
      <w:pPr>
        <w:pStyle w:val="ListBullet"/>
      </w:pPr>
      <w:r>
        <w:t>Immutable audit of verification, scope, booking and approval events</w:t>
      </w:r>
    </w:p>
    <w:p>
      <w:pPr>
        <w:pStyle w:val="ListBullet"/>
      </w:pPr>
      <w:r>
        <w:t>Retention and disposal schedules aligned to applicable law/policy</w:t>
      </w:r>
    </w:p>
    <w:p>
      <w:pPr>
        <w:pStyle w:val="ListBullet"/>
      </w:pPr>
      <w:r>
        <w:t>Security testing, incident response and breach-management processes</w:t>
      </w:r>
    </w:p>
    <w:p>
      <w:pPr>
        <w:pStyle w:val="ListBullet"/>
      </w:pPr>
      <w:r>
        <w:t>Australian hosting/data residency requirements to be confirmed through procurement and privacy assessment</w:t>
      </w:r>
    </w:p>
    <w:p>
      <w:pPr>
        <w:pStyle w:val="ListBullet"/>
      </w:pPr>
      <w:r>
        <w:t>Privacy Impact Assessment before production pilot</w:t>
      </w:r>
    </w:p>
    <w:p>
      <w:pPr>
        <w:pStyle w:val="Heading1"/>
      </w:pPr>
      <w:r>
        <w:t>20. Roles and permissions</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17365D"/>
          </w:tcPr>
          <w:p>
            <w:r/>
            <w:r>
              <w:rPr>
                <w:rFonts w:ascii="Aptos" w:hAnsi="Aptos"/>
                <w:b/>
                <w:color w:val="FFFFFF"/>
                <w:sz w:val="17"/>
              </w:rPr>
              <w:t>Role</w:t>
            </w:r>
          </w:p>
        </w:tc>
        <w:tc>
          <w:tcPr>
            <w:tcW w:type="dxa" w:w="7920"/>
            <w:vAlign w:val="center"/>
            <w:shd w:fill="17365D"/>
          </w:tcPr>
          <w:p>
            <w:r/>
            <w:r>
              <w:rPr>
                <w:rFonts w:ascii="Aptos" w:hAnsi="Aptos"/>
                <w:b/>
                <w:color w:val="FFFFFF"/>
                <w:sz w:val="17"/>
              </w:rPr>
              <w:t>Key permissions</w:t>
            </w:r>
          </w:p>
        </w:tc>
      </w:tr>
      <w:tr>
        <w:tc>
          <w:tcPr>
            <w:tcW w:type="dxa" w:w="2448"/>
            <w:vAlign w:val="center"/>
          </w:tcPr>
          <w:p>
            <w:r/>
            <w:r>
              <w:rPr>
                <w:rFonts w:ascii="Aptos" w:hAnsi="Aptos"/>
                <w:b w:val="0"/>
                <w:sz w:val="16"/>
              </w:rPr>
              <w:t>Practitioner</w:t>
            </w:r>
          </w:p>
        </w:tc>
        <w:tc>
          <w:tcPr>
            <w:tcW w:type="dxa" w:w="7920"/>
            <w:vAlign w:val="center"/>
          </w:tcPr>
          <w:p>
            <w:r/>
            <w:r>
              <w:rPr>
                <w:rFonts w:ascii="Aptos" w:hAnsi="Aptos"/>
                <w:b w:val="0"/>
                <w:sz w:val="16"/>
              </w:rPr>
              <w:t>Maintain own profile/credentials, share packs, set preferences, apply for shifts, submit timesheets, provide feedback</w:t>
            </w:r>
          </w:p>
        </w:tc>
      </w:tr>
      <w:tr>
        <w:tc>
          <w:tcPr>
            <w:tcW w:type="dxa" w:w="2448"/>
            <w:vAlign w:val="center"/>
            <w:shd w:fill="F3F6FA"/>
          </w:tcPr>
          <w:p>
            <w:r/>
            <w:r>
              <w:rPr>
                <w:rFonts w:ascii="Aptos" w:hAnsi="Aptos"/>
                <w:b w:val="0"/>
                <w:sz w:val="16"/>
              </w:rPr>
              <w:t>Medical Workforce</w:t>
            </w:r>
          </w:p>
        </w:tc>
        <w:tc>
          <w:tcPr>
            <w:tcW w:type="dxa" w:w="7920"/>
            <w:vAlign w:val="center"/>
            <w:shd w:fill="F3F6FA"/>
          </w:tcPr>
          <w:p>
            <w:r/>
            <w:r>
              <w:rPr>
                <w:rFonts w:ascii="Aptos" w:hAnsi="Aptos"/>
                <w:b w:val="0"/>
                <w:sz w:val="16"/>
              </w:rPr>
              <w:t>Create/publish shifts, manage applications/bookings, view authorised credential/scope status, request updates</w:t>
            </w:r>
          </w:p>
        </w:tc>
      </w:tr>
      <w:tr>
        <w:tc>
          <w:tcPr>
            <w:tcW w:type="dxa" w:w="2448"/>
            <w:vAlign w:val="center"/>
          </w:tcPr>
          <w:p>
            <w:r/>
            <w:r>
              <w:rPr>
                <w:rFonts w:ascii="Aptos" w:hAnsi="Aptos"/>
                <w:b w:val="0"/>
                <w:sz w:val="16"/>
              </w:rPr>
              <w:t>Credentialling Officer</w:t>
            </w:r>
          </w:p>
        </w:tc>
        <w:tc>
          <w:tcPr>
            <w:tcW w:type="dxa" w:w="7920"/>
            <w:vAlign w:val="center"/>
          </w:tcPr>
          <w:p>
            <w:r/>
            <w:r>
              <w:rPr>
                <w:rFonts w:ascii="Aptos" w:hAnsi="Aptos"/>
                <w:b w:val="0"/>
                <w:sz w:val="16"/>
              </w:rPr>
              <w:t>Verify evidence, manage applications, prepare scope decisions</w:t>
            </w:r>
          </w:p>
        </w:tc>
      </w:tr>
      <w:tr>
        <w:tc>
          <w:tcPr>
            <w:tcW w:type="dxa" w:w="2448"/>
            <w:vAlign w:val="center"/>
            <w:shd w:fill="F3F6FA"/>
          </w:tcPr>
          <w:p>
            <w:r/>
            <w:r>
              <w:rPr>
                <w:rFonts w:ascii="Aptos" w:hAnsi="Aptos"/>
                <w:b w:val="0"/>
                <w:sz w:val="16"/>
              </w:rPr>
              <w:t>Credentialling Delegate/Committee</w:t>
            </w:r>
          </w:p>
        </w:tc>
        <w:tc>
          <w:tcPr>
            <w:tcW w:type="dxa" w:w="7920"/>
            <w:vAlign w:val="center"/>
            <w:shd w:fill="F3F6FA"/>
          </w:tcPr>
          <w:p>
            <w:r/>
            <w:r>
              <w:rPr>
                <w:rFonts w:ascii="Aptos" w:hAnsi="Aptos"/>
                <w:b w:val="0"/>
                <w:sz w:val="16"/>
              </w:rPr>
              <w:t>Record/approve scope decisions according to delegation</w:t>
            </w:r>
          </w:p>
        </w:tc>
      </w:tr>
      <w:tr>
        <w:tc>
          <w:tcPr>
            <w:tcW w:type="dxa" w:w="2448"/>
            <w:vAlign w:val="center"/>
          </w:tcPr>
          <w:p>
            <w:r/>
            <w:r>
              <w:rPr>
                <w:rFonts w:ascii="Aptos" w:hAnsi="Aptos"/>
                <w:b w:val="0"/>
                <w:sz w:val="16"/>
              </w:rPr>
              <w:t>Agency User</w:t>
            </w:r>
          </w:p>
        </w:tc>
        <w:tc>
          <w:tcPr>
            <w:tcW w:type="dxa" w:w="7920"/>
            <w:vAlign w:val="center"/>
          </w:tcPr>
          <w:p>
            <w:r/>
            <w:r>
              <w:rPr>
                <w:rFonts w:ascii="Aptos" w:hAnsi="Aptos"/>
                <w:b w:val="0"/>
                <w:sz w:val="16"/>
              </w:rPr>
              <w:t>View eligible vacancies, propose represented doctors, view own proposals/bookings</w:t>
            </w:r>
          </w:p>
        </w:tc>
      </w:tr>
      <w:tr>
        <w:tc>
          <w:tcPr>
            <w:tcW w:type="dxa" w:w="2448"/>
            <w:vAlign w:val="center"/>
            <w:shd w:fill="F3F6FA"/>
          </w:tcPr>
          <w:p>
            <w:r/>
            <w:r>
              <w:rPr>
                <w:rFonts w:ascii="Aptos" w:hAnsi="Aptos"/>
                <w:b w:val="0"/>
                <w:sz w:val="16"/>
              </w:rPr>
              <w:t>Timesheet Approver</w:t>
            </w:r>
          </w:p>
        </w:tc>
        <w:tc>
          <w:tcPr>
            <w:tcW w:type="dxa" w:w="7920"/>
            <w:vAlign w:val="center"/>
            <w:shd w:fill="F3F6FA"/>
          </w:tcPr>
          <w:p>
            <w:r/>
            <w:r>
              <w:rPr>
                <w:rFonts w:ascii="Aptos" w:hAnsi="Aptos"/>
                <w:b w:val="0"/>
                <w:sz w:val="16"/>
              </w:rPr>
              <w:t>Approve/amend/reject a specific timesheet via secure limited-purpose link</w:t>
            </w:r>
          </w:p>
        </w:tc>
      </w:tr>
      <w:tr>
        <w:tc>
          <w:tcPr>
            <w:tcW w:type="dxa" w:w="2448"/>
            <w:vAlign w:val="center"/>
          </w:tcPr>
          <w:p>
            <w:r/>
            <w:r>
              <w:rPr>
                <w:rFonts w:ascii="Aptos" w:hAnsi="Aptos"/>
                <w:b w:val="0"/>
                <w:sz w:val="16"/>
              </w:rPr>
              <w:t>Service Manager</w:t>
            </w:r>
          </w:p>
        </w:tc>
        <w:tc>
          <w:tcPr>
            <w:tcW w:type="dxa" w:w="7920"/>
            <w:vAlign w:val="center"/>
          </w:tcPr>
          <w:p>
            <w:r/>
            <w:r>
              <w:rPr>
                <w:rFonts w:ascii="Aptos" w:hAnsi="Aptos"/>
                <w:b w:val="0"/>
                <w:sz w:val="16"/>
              </w:rPr>
              <w:t>View aggregated site experience and workforce analytics</w:t>
            </w:r>
          </w:p>
        </w:tc>
      </w:tr>
      <w:tr>
        <w:tc>
          <w:tcPr>
            <w:tcW w:type="dxa" w:w="2448"/>
            <w:vAlign w:val="center"/>
            <w:shd w:fill="F3F6FA"/>
          </w:tcPr>
          <w:p>
            <w:r/>
            <w:r>
              <w:rPr>
                <w:rFonts w:ascii="Aptos" w:hAnsi="Aptos"/>
                <w:b w:val="0"/>
                <w:sz w:val="16"/>
              </w:rPr>
              <w:t>System Administrator</w:t>
            </w:r>
          </w:p>
        </w:tc>
        <w:tc>
          <w:tcPr>
            <w:tcW w:type="dxa" w:w="7920"/>
            <w:vAlign w:val="center"/>
            <w:shd w:fill="F3F6FA"/>
          </w:tcPr>
          <w:p>
            <w:r/>
            <w:r>
              <w:rPr>
                <w:rFonts w:ascii="Aptos" w:hAnsi="Aptos"/>
                <w:b w:val="0"/>
                <w:sz w:val="16"/>
              </w:rPr>
              <w:t>Manage configuration without routine access to confidential clinical/workforce feedback content</w:t>
            </w:r>
          </w:p>
        </w:tc>
      </w:tr>
      <w:tr>
        <w:tc>
          <w:tcPr>
            <w:tcW w:type="dxa" w:w="2448"/>
            <w:vAlign w:val="center"/>
          </w:tcPr>
          <w:p>
            <w:r/>
            <w:r>
              <w:rPr>
                <w:rFonts w:ascii="Aptos" w:hAnsi="Aptos"/>
                <w:b w:val="0"/>
                <w:sz w:val="16"/>
              </w:rPr>
              <w:t>Auditor</w:t>
            </w:r>
          </w:p>
        </w:tc>
        <w:tc>
          <w:tcPr>
            <w:tcW w:type="dxa" w:w="7920"/>
            <w:vAlign w:val="center"/>
          </w:tcPr>
          <w:p>
            <w:r/>
            <w:r>
              <w:rPr>
                <w:rFonts w:ascii="Aptos" w:hAnsi="Aptos"/>
                <w:b w:val="0"/>
                <w:sz w:val="16"/>
              </w:rPr>
              <w:t>Read-only access to authorised audit and compliance records</w:t>
            </w:r>
          </w:p>
        </w:tc>
      </w:tr>
    </w:tbl>
    <w:p/>
    <w:p>
      <w:pPr>
        <w:pStyle w:val="Heading1"/>
      </w:pPr>
      <w:r>
        <w:t>21. Technical architecture principles</w:t>
      </w:r>
    </w:p>
    <w:p>
      <w:pPr>
        <w:pStyle w:val="ListBullet"/>
      </w:pPr>
      <w:r>
        <w:t>Responsive web/PWA first for pilot, with native mobile application considered after workflow validation</w:t>
      </w:r>
    </w:p>
    <w:p>
      <w:pPr>
        <w:pStyle w:val="ListBullet"/>
      </w:pPr>
      <w:r>
        <w:t>Modular monolith initially rather than premature microservices</w:t>
      </w:r>
    </w:p>
    <w:p>
      <w:pPr>
        <w:pStyle w:val="ListBullet"/>
      </w:pPr>
      <w:r>
        <w:t>API-first domain boundaries</w:t>
      </w:r>
    </w:p>
    <w:p>
      <w:pPr>
        <w:pStyle w:val="ListBullet"/>
      </w:pPr>
      <w:r>
        <w:t>PostgreSQL relational core with object storage for evidence files</w:t>
      </w:r>
    </w:p>
    <w:p>
      <w:pPr>
        <w:pStyle w:val="ListBullet"/>
      </w:pPr>
      <w:r>
        <w:t>OIDC/OAuth2 identity model and enterprise federation where appropriate</w:t>
      </w:r>
    </w:p>
    <w:p>
      <w:pPr>
        <w:pStyle w:val="ListBullet"/>
      </w:pPr>
      <w:r>
        <w:t>Event/audit model for significant state transitions</w:t>
      </w:r>
    </w:p>
    <w:p>
      <w:pPr>
        <w:pStyle w:val="ListBullet"/>
      </w:pPr>
      <w:r>
        <w:t>Configuration rather than code for jurisdiction, organisation, sourcing and requirement rules</w:t>
      </w:r>
    </w:p>
    <w:p>
      <w:pPr>
        <w:pStyle w:val="ListBullet"/>
      </w:pPr>
      <w:r>
        <w:t>Standards-based identifiers and future FHIR-compatible interoperability where appropriate</w:t>
      </w:r>
    </w:p>
    <w:p>
      <w:pPr>
        <w:pStyle w:val="ListBullet"/>
      </w:pPr>
      <w:r>
        <w:t>Analytics access through governed APIs/data products rather than direct uncontrolled database extracts</w:t>
      </w:r>
    </w:p>
    <w:p>
      <w:pPr>
        <w:pStyle w:val="Heading1"/>
      </w:pPr>
      <w:r>
        <w:t>22. Integration roadmap</w:t>
      </w:r>
    </w:p>
    <w:tbl>
      <w:tblPr>
        <w:tblStyle w:val="TableGrid"/>
        <w:tblW w:type="auto" w:w="0"/>
        <w:jc w:val="center"/>
        <w:tblLook w:firstColumn="1" w:firstRow="1" w:lastColumn="0" w:lastRow="0" w:noHBand="0" w:noVBand="1" w:val="04A0"/>
      </w:tblPr>
      <w:tblGrid>
        <w:gridCol w:w="3360"/>
        <w:gridCol w:w="3360"/>
        <w:gridCol w:w="3360"/>
      </w:tblGrid>
      <w:tr>
        <w:tc>
          <w:tcPr>
            <w:tcW w:type="dxa" w:w="3600"/>
            <w:vAlign w:val="center"/>
            <w:shd w:fill="17365D"/>
          </w:tcPr>
          <w:p>
            <w:r/>
            <w:r>
              <w:rPr>
                <w:rFonts w:ascii="Aptos" w:hAnsi="Aptos"/>
                <w:b/>
                <w:color w:val="FFFFFF"/>
                <w:sz w:val="17"/>
              </w:rPr>
              <w:t>Integration</w:t>
            </w:r>
          </w:p>
        </w:tc>
        <w:tc>
          <w:tcPr>
            <w:tcW w:type="dxa" w:w="1152"/>
            <w:vAlign w:val="center"/>
            <w:shd w:fill="17365D"/>
          </w:tcPr>
          <w:p>
            <w:r/>
            <w:r>
              <w:rPr>
                <w:rFonts w:ascii="Aptos" w:hAnsi="Aptos"/>
                <w:b/>
                <w:color w:val="FFFFFF"/>
                <w:sz w:val="17"/>
              </w:rPr>
              <w:t>Stage</w:t>
            </w:r>
          </w:p>
        </w:tc>
        <w:tc>
          <w:tcPr>
            <w:tcW w:type="dxa" w:w="5616"/>
            <w:vAlign w:val="center"/>
            <w:shd w:fill="17365D"/>
          </w:tcPr>
          <w:p>
            <w:r/>
            <w:r>
              <w:rPr>
                <w:rFonts w:ascii="Aptos" w:hAnsi="Aptos"/>
                <w:b/>
                <w:color w:val="FFFFFF"/>
                <w:sz w:val="17"/>
              </w:rPr>
              <w:t>Purpose</w:t>
            </w:r>
          </w:p>
        </w:tc>
      </w:tr>
      <w:tr>
        <w:tc>
          <w:tcPr>
            <w:tcW w:type="dxa" w:w="3600"/>
            <w:vAlign w:val="center"/>
          </w:tcPr>
          <w:p>
            <w:r/>
            <w:r>
              <w:rPr>
                <w:rFonts w:ascii="Aptos" w:hAnsi="Aptos"/>
                <w:b w:val="0"/>
                <w:sz w:val="16"/>
              </w:rPr>
              <w:t>YNLHN practitioner/credential source import</w:t>
            </w:r>
          </w:p>
        </w:tc>
        <w:tc>
          <w:tcPr>
            <w:tcW w:type="dxa" w:w="1152"/>
            <w:vAlign w:val="center"/>
          </w:tcPr>
          <w:p>
            <w:r/>
            <w:r>
              <w:rPr>
                <w:rFonts w:ascii="Aptos" w:hAnsi="Aptos"/>
                <w:b w:val="0"/>
                <w:sz w:val="16"/>
              </w:rPr>
              <w:t>1</w:t>
            </w:r>
          </w:p>
        </w:tc>
        <w:tc>
          <w:tcPr>
            <w:tcW w:type="dxa" w:w="5616"/>
            <w:vAlign w:val="center"/>
          </w:tcPr>
          <w:p>
            <w:r/>
            <w:r>
              <w:rPr>
                <w:rFonts w:ascii="Aptos" w:hAnsi="Aptos"/>
                <w:b w:val="0"/>
                <w:sz w:val="16"/>
              </w:rPr>
              <w:t>Seed existing authorised locum population</w:t>
            </w:r>
          </w:p>
        </w:tc>
      </w:tr>
      <w:tr>
        <w:tc>
          <w:tcPr>
            <w:tcW w:type="dxa" w:w="3600"/>
            <w:vAlign w:val="center"/>
            <w:shd w:fill="F3F6FA"/>
          </w:tcPr>
          <w:p>
            <w:r/>
            <w:r>
              <w:rPr>
                <w:rFonts w:ascii="Aptos" w:hAnsi="Aptos"/>
                <w:b w:val="0"/>
                <w:sz w:val="16"/>
              </w:rPr>
              <w:t>Email/SMS/push service</w:t>
            </w:r>
          </w:p>
        </w:tc>
        <w:tc>
          <w:tcPr>
            <w:tcW w:type="dxa" w:w="1152"/>
            <w:vAlign w:val="center"/>
            <w:shd w:fill="F3F6FA"/>
          </w:tcPr>
          <w:p>
            <w:r/>
            <w:r>
              <w:rPr>
                <w:rFonts w:ascii="Aptos" w:hAnsi="Aptos"/>
                <w:b w:val="0"/>
                <w:sz w:val="16"/>
              </w:rPr>
              <w:t>1</w:t>
            </w:r>
          </w:p>
        </w:tc>
        <w:tc>
          <w:tcPr>
            <w:tcW w:type="dxa" w:w="5616"/>
            <w:vAlign w:val="center"/>
            <w:shd w:fill="F3F6FA"/>
          </w:tcPr>
          <w:p>
            <w:r/>
            <w:r>
              <w:rPr>
                <w:rFonts w:ascii="Aptos" w:hAnsi="Aptos"/>
                <w:b w:val="0"/>
                <w:sz w:val="16"/>
              </w:rPr>
              <w:t>Invitations, reminders, approvals and vacancy notifications</w:t>
            </w:r>
          </w:p>
        </w:tc>
      </w:tr>
      <w:tr>
        <w:tc>
          <w:tcPr>
            <w:tcW w:type="dxa" w:w="3600"/>
            <w:vAlign w:val="center"/>
          </w:tcPr>
          <w:p>
            <w:r/>
            <w:r>
              <w:rPr>
                <w:rFonts w:ascii="Aptos" w:hAnsi="Aptos"/>
                <w:b w:val="0"/>
                <w:sz w:val="16"/>
              </w:rPr>
              <w:t>Document/object storage</w:t>
            </w:r>
          </w:p>
        </w:tc>
        <w:tc>
          <w:tcPr>
            <w:tcW w:type="dxa" w:w="1152"/>
            <w:vAlign w:val="center"/>
          </w:tcPr>
          <w:p>
            <w:r/>
            <w:r>
              <w:rPr>
                <w:rFonts w:ascii="Aptos" w:hAnsi="Aptos"/>
                <w:b w:val="0"/>
                <w:sz w:val="16"/>
              </w:rPr>
              <w:t>1</w:t>
            </w:r>
          </w:p>
        </w:tc>
        <w:tc>
          <w:tcPr>
            <w:tcW w:type="dxa" w:w="5616"/>
            <w:vAlign w:val="center"/>
          </w:tcPr>
          <w:p>
            <w:r/>
            <w:r>
              <w:rPr>
                <w:rFonts w:ascii="Aptos" w:hAnsi="Aptos"/>
                <w:b w:val="0"/>
                <w:sz w:val="16"/>
              </w:rPr>
              <w:t>Credential evidence</w:t>
            </w:r>
          </w:p>
        </w:tc>
      </w:tr>
      <w:tr>
        <w:tc>
          <w:tcPr>
            <w:tcW w:type="dxa" w:w="3600"/>
            <w:vAlign w:val="center"/>
            <w:shd w:fill="F3F6FA"/>
          </w:tcPr>
          <w:p>
            <w:r/>
            <w:r>
              <w:rPr>
                <w:rFonts w:ascii="Aptos" w:hAnsi="Aptos"/>
                <w:b w:val="0"/>
                <w:sz w:val="16"/>
              </w:rPr>
              <w:t>YNLHN roster/workforce systems</w:t>
            </w:r>
          </w:p>
        </w:tc>
        <w:tc>
          <w:tcPr>
            <w:tcW w:type="dxa" w:w="1152"/>
            <w:vAlign w:val="center"/>
            <w:shd w:fill="F3F6FA"/>
          </w:tcPr>
          <w:p>
            <w:r/>
            <w:r>
              <w:rPr>
                <w:rFonts w:ascii="Aptos" w:hAnsi="Aptos"/>
                <w:b w:val="0"/>
                <w:sz w:val="16"/>
              </w:rPr>
              <w:t>1–2</w:t>
            </w:r>
          </w:p>
        </w:tc>
        <w:tc>
          <w:tcPr>
            <w:tcW w:type="dxa" w:w="5616"/>
            <w:vAlign w:val="center"/>
            <w:shd w:fill="F3F6FA"/>
          </w:tcPr>
          <w:p>
            <w:r/>
            <w:r>
              <w:rPr>
                <w:rFonts w:ascii="Aptos" w:hAnsi="Aptos"/>
                <w:b w:val="0"/>
                <w:sz w:val="16"/>
              </w:rPr>
              <w:t>Reduce duplicate shift entry</w:t>
            </w:r>
          </w:p>
        </w:tc>
      </w:tr>
      <w:tr>
        <w:tc>
          <w:tcPr>
            <w:tcW w:type="dxa" w:w="3600"/>
            <w:vAlign w:val="center"/>
          </w:tcPr>
          <w:p>
            <w:r/>
            <w:r>
              <w:rPr>
                <w:rFonts w:ascii="Aptos" w:hAnsi="Aptos"/>
                <w:b w:val="0"/>
                <w:sz w:val="16"/>
              </w:rPr>
              <w:t>SA Health agency/panel reference data</w:t>
            </w:r>
          </w:p>
        </w:tc>
        <w:tc>
          <w:tcPr>
            <w:tcW w:type="dxa" w:w="1152"/>
            <w:vAlign w:val="center"/>
          </w:tcPr>
          <w:p>
            <w:r/>
            <w:r>
              <w:rPr>
                <w:rFonts w:ascii="Aptos" w:hAnsi="Aptos"/>
                <w:b w:val="0"/>
                <w:sz w:val="16"/>
              </w:rPr>
              <w:t>1</w:t>
            </w:r>
          </w:p>
        </w:tc>
        <w:tc>
          <w:tcPr>
            <w:tcW w:type="dxa" w:w="5616"/>
            <w:vAlign w:val="center"/>
          </w:tcPr>
          <w:p>
            <w:r/>
            <w:r>
              <w:rPr>
                <w:rFonts w:ascii="Aptos" w:hAnsi="Aptos"/>
                <w:b w:val="0"/>
                <w:sz w:val="16"/>
              </w:rPr>
              <w:t>Validate eligible suppliers and applicable agreements</w:t>
            </w:r>
          </w:p>
        </w:tc>
      </w:tr>
      <w:tr>
        <w:tc>
          <w:tcPr>
            <w:tcW w:type="dxa" w:w="3600"/>
            <w:vAlign w:val="center"/>
            <w:shd w:fill="F3F6FA"/>
          </w:tcPr>
          <w:p>
            <w:r/>
            <w:r>
              <w:rPr>
                <w:rFonts w:ascii="Aptos" w:hAnsi="Aptos"/>
                <w:b w:val="0"/>
                <w:sz w:val="16"/>
              </w:rPr>
              <w:t>Ahpra/registration verification pathway</w:t>
            </w:r>
          </w:p>
        </w:tc>
        <w:tc>
          <w:tcPr>
            <w:tcW w:type="dxa" w:w="1152"/>
            <w:vAlign w:val="center"/>
            <w:shd w:fill="F3F6FA"/>
          </w:tcPr>
          <w:p>
            <w:r/>
            <w:r>
              <w:rPr>
                <w:rFonts w:ascii="Aptos" w:hAnsi="Aptos"/>
                <w:b w:val="0"/>
                <w:sz w:val="16"/>
              </w:rPr>
              <w:t>2+</w:t>
            </w:r>
          </w:p>
        </w:tc>
        <w:tc>
          <w:tcPr>
            <w:tcW w:type="dxa" w:w="5616"/>
            <w:vAlign w:val="center"/>
            <w:shd w:fill="F3F6FA"/>
          </w:tcPr>
          <w:p>
            <w:r/>
            <w:r>
              <w:rPr>
                <w:rFonts w:ascii="Aptos" w:hAnsi="Aptos"/>
                <w:b w:val="0"/>
                <w:sz w:val="16"/>
              </w:rPr>
              <w:t>Automated or assisted registration validation subject to available services/terms</w:t>
            </w:r>
          </w:p>
        </w:tc>
      </w:tr>
      <w:tr>
        <w:tc>
          <w:tcPr>
            <w:tcW w:type="dxa" w:w="3600"/>
            <w:vAlign w:val="center"/>
          </w:tcPr>
          <w:p>
            <w:r/>
            <w:r>
              <w:rPr>
                <w:rFonts w:ascii="Aptos" w:hAnsi="Aptos"/>
                <w:b w:val="0"/>
                <w:sz w:val="16"/>
              </w:rPr>
              <w:t>HI Service / HPI-I</w:t>
            </w:r>
          </w:p>
        </w:tc>
        <w:tc>
          <w:tcPr>
            <w:tcW w:type="dxa" w:w="1152"/>
            <w:vAlign w:val="center"/>
          </w:tcPr>
          <w:p>
            <w:r/>
            <w:r>
              <w:rPr>
                <w:rFonts w:ascii="Aptos" w:hAnsi="Aptos"/>
                <w:b w:val="0"/>
                <w:sz w:val="16"/>
              </w:rPr>
              <w:t>2+</w:t>
            </w:r>
          </w:p>
        </w:tc>
        <w:tc>
          <w:tcPr>
            <w:tcW w:type="dxa" w:w="5616"/>
            <w:vAlign w:val="center"/>
          </w:tcPr>
          <w:p>
            <w:r/>
            <w:r>
              <w:rPr>
                <w:rFonts w:ascii="Aptos" w:hAnsi="Aptos"/>
                <w:b w:val="0"/>
                <w:sz w:val="16"/>
              </w:rPr>
              <w:t>National practitioner identity alignment</w:t>
            </w:r>
          </w:p>
        </w:tc>
      </w:tr>
      <w:tr>
        <w:tc>
          <w:tcPr>
            <w:tcW w:type="dxa" w:w="3600"/>
            <w:vAlign w:val="center"/>
            <w:shd w:fill="F3F6FA"/>
          </w:tcPr>
          <w:p>
            <w:r/>
            <w:r>
              <w:rPr>
                <w:rFonts w:ascii="Aptos" w:hAnsi="Aptos"/>
                <w:b w:val="0"/>
                <w:sz w:val="16"/>
              </w:rPr>
              <w:t>Provider Connect Australia</w:t>
            </w:r>
          </w:p>
        </w:tc>
        <w:tc>
          <w:tcPr>
            <w:tcW w:type="dxa" w:w="1152"/>
            <w:vAlign w:val="center"/>
            <w:shd w:fill="F3F6FA"/>
          </w:tcPr>
          <w:p>
            <w:r/>
            <w:r>
              <w:rPr>
                <w:rFonts w:ascii="Aptos" w:hAnsi="Aptos"/>
                <w:b w:val="0"/>
                <w:sz w:val="16"/>
              </w:rPr>
              <w:t>3+</w:t>
            </w:r>
          </w:p>
        </w:tc>
        <w:tc>
          <w:tcPr>
            <w:tcW w:type="dxa" w:w="5616"/>
            <w:vAlign w:val="center"/>
            <w:shd w:fill="F3F6FA"/>
          </w:tcPr>
          <w:p>
            <w:r/>
            <w:r>
              <w:rPr>
                <w:rFonts w:ascii="Aptos" w:hAnsi="Aptos"/>
                <w:b w:val="0"/>
                <w:sz w:val="16"/>
              </w:rPr>
              <w:t>Potential provider/service information interoperability</w:t>
            </w:r>
          </w:p>
        </w:tc>
      </w:tr>
      <w:tr>
        <w:tc>
          <w:tcPr>
            <w:tcW w:type="dxa" w:w="3600"/>
            <w:vAlign w:val="center"/>
          </w:tcPr>
          <w:p>
            <w:r/>
            <w:r>
              <w:rPr>
                <w:rFonts w:ascii="Aptos" w:hAnsi="Aptos"/>
                <w:b w:val="0"/>
                <w:sz w:val="16"/>
              </w:rPr>
              <w:t>Payroll/finance</w:t>
            </w:r>
          </w:p>
        </w:tc>
        <w:tc>
          <w:tcPr>
            <w:tcW w:type="dxa" w:w="1152"/>
            <w:vAlign w:val="center"/>
          </w:tcPr>
          <w:p>
            <w:r/>
            <w:r>
              <w:rPr>
                <w:rFonts w:ascii="Aptos" w:hAnsi="Aptos"/>
                <w:b w:val="0"/>
                <w:sz w:val="16"/>
              </w:rPr>
              <w:t>2+</w:t>
            </w:r>
          </w:p>
        </w:tc>
        <w:tc>
          <w:tcPr>
            <w:tcW w:type="dxa" w:w="5616"/>
            <w:vAlign w:val="center"/>
          </w:tcPr>
          <w:p>
            <w:r/>
            <w:r>
              <w:rPr>
                <w:rFonts w:ascii="Aptos" w:hAnsi="Aptos"/>
                <w:b w:val="0"/>
                <w:sz w:val="16"/>
              </w:rPr>
              <w:t>Approved timesheet/export and cost reconciliation</w:t>
            </w:r>
          </w:p>
        </w:tc>
      </w:tr>
      <w:tr>
        <w:tc>
          <w:tcPr>
            <w:tcW w:type="dxa" w:w="3600"/>
            <w:vAlign w:val="center"/>
            <w:shd w:fill="F3F6FA"/>
          </w:tcPr>
          <w:p>
            <w:r/>
            <w:r>
              <w:rPr>
                <w:rFonts w:ascii="Aptos" w:hAnsi="Aptos"/>
                <w:b w:val="0"/>
                <w:sz w:val="16"/>
              </w:rPr>
              <w:t>Other LHN credentialling systems</w:t>
            </w:r>
          </w:p>
        </w:tc>
        <w:tc>
          <w:tcPr>
            <w:tcW w:type="dxa" w:w="1152"/>
            <w:vAlign w:val="center"/>
            <w:shd w:fill="F3F6FA"/>
          </w:tcPr>
          <w:p>
            <w:r/>
            <w:r>
              <w:rPr>
                <w:rFonts w:ascii="Aptos" w:hAnsi="Aptos"/>
                <w:b w:val="0"/>
                <w:sz w:val="16"/>
              </w:rPr>
              <w:t>3+</w:t>
            </w:r>
          </w:p>
        </w:tc>
        <w:tc>
          <w:tcPr>
            <w:tcW w:type="dxa" w:w="5616"/>
            <w:vAlign w:val="center"/>
            <w:shd w:fill="F3F6FA"/>
          </w:tcPr>
          <w:p>
            <w:r/>
            <w:r>
              <w:rPr>
                <w:rFonts w:ascii="Aptos" w:hAnsi="Aptos"/>
                <w:b w:val="0"/>
                <w:sz w:val="16"/>
              </w:rPr>
              <w:t>Migration/interoperability during statewide expansion</w:t>
            </w:r>
          </w:p>
        </w:tc>
      </w:tr>
    </w:tbl>
    <w:p/>
    <w:p>
      <w:pPr>
        <w:pStyle w:val="Heading1"/>
      </w:pPr>
      <w:r>
        <w:t>23. Programme staging and gates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304"/>
            <w:vAlign w:val="center"/>
            <w:shd w:fill="17365D"/>
          </w:tcPr>
          <w:p>
            <w:r/>
            <w:r>
              <w:rPr>
                <w:rFonts w:ascii="Aptos" w:hAnsi="Aptos"/>
                <w:b/>
                <w:color w:val="FFFFFF"/>
                <w:sz w:val="17"/>
              </w:rPr>
              <w:t>Stage</w:t>
            </w:r>
          </w:p>
        </w:tc>
        <w:tc>
          <w:tcPr>
            <w:tcW w:type="dxa" w:w="1584"/>
            <w:vAlign w:val="center"/>
            <w:shd w:fill="17365D"/>
          </w:tcPr>
          <w:p>
            <w:r/>
            <w:r>
              <w:rPr>
                <w:rFonts w:ascii="Aptos" w:hAnsi="Aptos"/>
                <w:b/>
                <w:color w:val="FFFFFF"/>
                <w:sz w:val="17"/>
              </w:rPr>
              <w:t>Indicative timing</w:t>
            </w:r>
          </w:p>
        </w:tc>
        <w:tc>
          <w:tcPr>
            <w:tcW w:type="dxa" w:w="3600"/>
            <w:vAlign w:val="center"/>
            <w:shd w:fill="17365D"/>
          </w:tcPr>
          <w:p>
            <w:r/>
            <w:r>
              <w:rPr>
                <w:rFonts w:ascii="Aptos" w:hAnsi="Aptos"/>
                <w:b/>
                <w:color w:val="FFFFFF"/>
                <w:sz w:val="17"/>
              </w:rPr>
              <w:t>Deliverable</w:t>
            </w:r>
          </w:p>
        </w:tc>
        <w:tc>
          <w:tcPr>
            <w:tcW w:type="dxa" w:w="3600"/>
            <w:vAlign w:val="center"/>
            <w:shd w:fill="17365D"/>
          </w:tcPr>
          <w:p>
            <w:r/>
            <w:r>
              <w:rPr>
                <w:rFonts w:ascii="Aptos" w:hAnsi="Aptos"/>
                <w:b/>
                <w:color w:val="FFFFFF"/>
                <w:sz w:val="17"/>
              </w:rPr>
              <w:t>Gate</w:t>
            </w:r>
          </w:p>
        </w:tc>
      </w:tr>
      <w:tr>
        <w:tc>
          <w:tcPr>
            <w:tcW w:type="dxa" w:w="2304"/>
            <w:vAlign w:val="center"/>
          </w:tcPr>
          <w:p>
            <w:r/>
            <w:r>
              <w:rPr>
                <w:rFonts w:ascii="Aptos" w:hAnsi="Aptos"/>
                <w:b w:val="0"/>
                <w:sz w:val="16"/>
              </w:rPr>
              <w:t>0. Discovery and assurance</w:t>
            </w:r>
          </w:p>
        </w:tc>
        <w:tc>
          <w:tcPr>
            <w:tcW w:type="dxa" w:w="1584"/>
            <w:vAlign w:val="center"/>
          </w:tcPr>
          <w:p>
            <w:r/>
            <w:r>
              <w:rPr>
                <w:rFonts w:ascii="Aptos" w:hAnsi="Aptos"/>
                <w:b w:val="0"/>
                <w:sz w:val="16"/>
              </w:rPr>
              <w:t>0–3 months</w:t>
            </w:r>
          </w:p>
        </w:tc>
        <w:tc>
          <w:tcPr>
            <w:tcW w:type="dxa" w:w="3600"/>
            <w:vAlign w:val="center"/>
          </w:tcPr>
          <w:p>
            <w:r/>
            <w:r>
              <w:rPr>
                <w:rFonts w:ascii="Aptos" w:hAnsi="Aptos"/>
                <w:b w:val="0"/>
                <w:sz w:val="16"/>
              </w:rPr>
              <w:t>Policy, privacy, procurement, legal, architecture and user research complete</w:t>
            </w:r>
          </w:p>
        </w:tc>
        <w:tc>
          <w:tcPr>
            <w:tcW w:type="dxa" w:w="3600"/>
            <w:vAlign w:val="center"/>
          </w:tcPr>
          <w:p>
            <w:r/>
            <w:r>
              <w:rPr>
                <w:rFonts w:ascii="Aptos" w:hAnsi="Aptos"/>
                <w:b w:val="0"/>
                <w:sz w:val="16"/>
              </w:rPr>
              <w:t>Approved pilot scope and governance</w:t>
            </w:r>
          </w:p>
        </w:tc>
      </w:tr>
      <w:tr>
        <w:tc>
          <w:tcPr>
            <w:tcW w:type="dxa" w:w="2304"/>
            <w:vAlign w:val="center"/>
            <w:shd w:fill="F3F6FA"/>
          </w:tcPr>
          <w:p>
            <w:r/>
            <w:r>
              <w:rPr>
                <w:rFonts w:ascii="Aptos" w:hAnsi="Aptos"/>
                <w:b w:val="0"/>
                <w:sz w:val="16"/>
              </w:rPr>
              <w:t>1. YNLHN foundation</w:t>
            </w:r>
          </w:p>
        </w:tc>
        <w:tc>
          <w:tcPr>
            <w:tcW w:type="dxa" w:w="1584"/>
            <w:vAlign w:val="center"/>
            <w:shd w:fill="F3F6FA"/>
          </w:tcPr>
          <w:p>
            <w:r/>
            <w:r>
              <w:rPr>
                <w:rFonts w:ascii="Aptos" w:hAnsi="Aptos"/>
                <w:b w:val="0"/>
                <w:sz w:val="16"/>
              </w:rPr>
              <w:t>3–12 months</w:t>
            </w:r>
          </w:p>
        </w:tc>
        <w:tc>
          <w:tcPr>
            <w:tcW w:type="dxa" w:w="3600"/>
            <w:vAlign w:val="center"/>
            <w:shd w:fill="F3F6FA"/>
          </w:tcPr>
          <w:p>
            <w:r/>
            <w:r>
              <w:rPr>
                <w:rFonts w:ascii="Aptos" w:hAnsi="Aptos"/>
                <w:b w:val="0"/>
                <w:sz w:val="16"/>
              </w:rPr>
              <w:t>Passport, Wallet, Experience, Exchange, Agency Cascade, Timesheets</w:t>
            </w:r>
          </w:p>
        </w:tc>
        <w:tc>
          <w:tcPr>
            <w:tcW w:type="dxa" w:w="3600"/>
            <w:vAlign w:val="center"/>
            <w:shd w:fill="F3F6FA"/>
          </w:tcPr>
          <w:p>
            <w:r/>
            <w:r>
              <w:rPr>
                <w:rFonts w:ascii="Aptos" w:hAnsi="Aptos"/>
                <w:b w:val="0"/>
                <w:sz w:val="16"/>
              </w:rPr>
              <w:t>Adoption, trust, workflow and safety thresholds met</w:t>
            </w:r>
          </w:p>
        </w:tc>
      </w:tr>
      <w:tr>
        <w:tc>
          <w:tcPr>
            <w:tcW w:type="dxa" w:w="2304"/>
            <w:vAlign w:val="center"/>
          </w:tcPr>
          <w:p>
            <w:r/>
            <w:r>
              <w:rPr>
                <w:rFonts w:ascii="Aptos" w:hAnsi="Aptos"/>
                <w:b w:val="0"/>
                <w:sz w:val="16"/>
              </w:rPr>
              <w:t>2. YNLHN digital credentialling</w:t>
            </w:r>
          </w:p>
        </w:tc>
        <w:tc>
          <w:tcPr>
            <w:tcW w:type="dxa" w:w="1584"/>
            <w:vAlign w:val="center"/>
          </w:tcPr>
          <w:p>
            <w:r/>
            <w:r>
              <w:rPr>
                <w:rFonts w:ascii="Aptos" w:hAnsi="Aptos"/>
                <w:b w:val="0"/>
                <w:sz w:val="16"/>
              </w:rPr>
              <w:t>12–18 months</w:t>
            </w:r>
          </w:p>
        </w:tc>
        <w:tc>
          <w:tcPr>
            <w:tcW w:type="dxa" w:w="3600"/>
            <w:vAlign w:val="center"/>
          </w:tcPr>
          <w:p>
            <w:r/>
            <w:r>
              <w:rPr>
                <w:rFonts w:ascii="Aptos" w:hAnsi="Aptos"/>
                <w:b w:val="0"/>
                <w:sz w:val="16"/>
              </w:rPr>
              <w:t>Credential verification and scope workflow</w:t>
            </w:r>
          </w:p>
        </w:tc>
        <w:tc>
          <w:tcPr>
            <w:tcW w:type="dxa" w:w="3600"/>
            <w:vAlign w:val="center"/>
          </w:tcPr>
          <w:p>
            <w:r/>
            <w:r>
              <w:rPr>
                <w:rFonts w:ascii="Aptos" w:hAnsi="Aptos"/>
                <w:b w:val="0"/>
                <w:sz w:val="16"/>
              </w:rPr>
              <w:t>Credential governance and audit validated</w:t>
            </w:r>
          </w:p>
        </w:tc>
      </w:tr>
      <w:tr>
        <w:tc>
          <w:tcPr>
            <w:tcW w:type="dxa" w:w="2304"/>
            <w:vAlign w:val="center"/>
            <w:shd w:fill="F3F6FA"/>
          </w:tcPr>
          <w:p>
            <w:r/>
            <w:r>
              <w:rPr>
                <w:rFonts w:ascii="Aptos" w:hAnsi="Aptos"/>
                <w:b w:val="0"/>
                <w:sz w:val="16"/>
              </w:rPr>
              <w:t>3. Second LHN</w:t>
            </w:r>
          </w:p>
        </w:tc>
        <w:tc>
          <w:tcPr>
            <w:tcW w:type="dxa" w:w="1584"/>
            <w:vAlign w:val="center"/>
            <w:shd w:fill="F3F6FA"/>
          </w:tcPr>
          <w:p>
            <w:r/>
            <w:r>
              <w:rPr>
                <w:rFonts w:ascii="Aptos" w:hAnsi="Aptos"/>
                <w:b w:val="0"/>
                <w:sz w:val="16"/>
              </w:rPr>
              <w:t>18–24 months</w:t>
            </w:r>
          </w:p>
        </w:tc>
        <w:tc>
          <w:tcPr>
            <w:tcW w:type="dxa" w:w="3600"/>
            <w:vAlign w:val="center"/>
            <w:shd w:fill="F3F6FA"/>
          </w:tcPr>
          <w:p>
            <w:r/>
            <w:r>
              <w:rPr>
                <w:rFonts w:ascii="Aptos" w:hAnsi="Aptos"/>
                <w:b w:val="0"/>
                <w:sz w:val="16"/>
              </w:rPr>
              <w:t>Credential reuse with independent receiving-LHN scope</w:t>
            </w:r>
          </w:p>
        </w:tc>
        <w:tc>
          <w:tcPr>
            <w:tcW w:type="dxa" w:w="3600"/>
            <w:vAlign w:val="center"/>
            <w:shd w:fill="F3F6FA"/>
          </w:tcPr>
          <w:p>
            <w:r/>
            <w:r>
              <w:rPr>
                <w:rFonts w:ascii="Aptos" w:hAnsi="Aptos"/>
                <w:b w:val="0"/>
                <w:sz w:val="16"/>
              </w:rPr>
              <w:t>Material reduction in duplicate evidence submission</w:t>
            </w:r>
          </w:p>
        </w:tc>
      </w:tr>
      <w:tr>
        <w:tc>
          <w:tcPr>
            <w:tcW w:type="dxa" w:w="2304"/>
            <w:vAlign w:val="center"/>
          </w:tcPr>
          <w:p>
            <w:r/>
            <w:r>
              <w:rPr>
                <w:rFonts w:ascii="Aptos" w:hAnsi="Aptos"/>
                <w:b w:val="0"/>
                <w:sz w:val="16"/>
              </w:rPr>
              <w:t>4. SA Exchange</w:t>
            </w:r>
          </w:p>
        </w:tc>
        <w:tc>
          <w:tcPr>
            <w:tcW w:type="dxa" w:w="1584"/>
            <w:vAlign w:val="center"/>
          </w:tcPr>
          <w:p>
            <w:r/>
            <w:r>
              <w:rPr>
                <w:rFonts w:ascii="Aptos" w:hAnsi="Aptos"/>
                <w:b w:val="0"/>
                <w:sz w:val="16"/>
              </w:rPr>
              <w:t>24–36 months</w:t>
            </w:r>
          </w:p>
        </w:tc>
        <w:tc>
          <w:tcPr>
            <w:tcW w:type="dxa" w:w="3600"/>
            <w:vAlign w:val="center"/>
          </w:tcPr>
          <w:p>
            <w:r/>
            <w:r>
              <w:rPr>
                <w:rFonts w:ascii="Aptos" w:hAnsi="Aptos"/>
                <w:b w:val="0"/>
                <w:sz w:val="16"/>
              </w:rPr>
              <w:t>Multi-LHN marketplace and common semantics</w:t>
            </w:r>
          </w:p>
        </w:tc>
        <w:tc>
          <w:tcPr>
            <w:tcW w:type="dxa" w:w="3600"/>
            <w:vAlign w:val="center"/>
          </w:tcPr>
          <w:p>
            <w:r/>
            <w:r>
              <w:rPr>
                <w:rFonts w:ascii="Aptos" w:hAnsi="Aptos"/>
                <w:b w:val="0"/>
                <w:sz w:val="16"/>
              </w:rPr>
              <w:t>Statewide governance and benefits case approved</w:t>
            </w:r>
          </w:p>
        </w:tc>
      </w:tr>
      <w:tr>
        <w:tc>
          <w:tcPr>
            <w:tcW w:type="dxa" w:w="2304"/>
            <w:vAlign w:val="center"/>
            <w:shd w:fill="F3F6FA"/>
          </w:tcPr>
          <w:p>
            <w:r/>
            <w:r>
              <w:rPr>
                <w:rFonts w:ascii="Aptos" w:hAnsi="Aptos"/>
                <w:b w:val="0"/>
                <w:sz w:val="16"/>
              </w:rPr>
              <w:t>5. National credential interoperability</w:t>
            </w:r>
          </w:p>
        </w:tc>
        <w:tc>
          <w:tcPr>
            <w:tcW w:type="dxa" w:w="1584"/>
            <w:vAlign w:val="center"/>
            <w:shd w:fill="F3F6FA"/>
          </w:tcPr>
          <w:p>
            <w:r/>
            <w:r>
              <w:rPr>
                <w:rFonts w:ascii="Aptos" w:hAnsi="Aptos"/>
                <w:b w:val="0"/>
                <w:sz w:val="16"/>
              </w:rPr>
              <w:t>36+ months</w:t>
            </w:r>
          </w:p>
        </w:tc>
        <w:tc>
          <w:tcPr>
            <w:tcW w:type="dxa" w:w="3600"/>
            <w:vAlign w:val="center"/>
            <w:shd w:fill="F3F6FA"/>
          </w:tcPr>
          <w:p>
            <w:r/>
            <w:r>
              <w:rPr>
                <w:rFonts w:ascii="Aptos" w:hAnsi="Aptos"/>
                <w:b w:val="0"/>
                <w:sz w:val="16"/>
              </w:rPr>
              <w:t>Standards/identity partnership</w:t>
            </w:r>
          </w:p>
        </w:tc>
        <w:tc>
          <w:tcPr>
            <w:tcW w:type="dxa" w:w="3600"/>
            <w:vAlign w:val="center"/>
            <w:shd w:fill="F3F6FA"/>
          </w:tcPr>
          <w:p>
            <w:r/>
            <w:r>
              <w:rPr>
                <w:rFonts w:ascii="Aptos" w:hAnsi="Aptos"/>
                <w:b w:val="0"/>
                <w:sz w:val="16"/>
              </w:rPr>
              <w:t>Commonwealth/jurisdiction partnership and standards agreement</w:t>
            </w:r>
          </w:p>
        </w:tc>
      </w:tr>
      <w:tr>
        <w:tc>
          <w:tcPr>
            <w:tcW w:type="dxa" w:w="2304"/>
            <w:vAlign w:val="center"/>
          </w:tcPr>
          <w:p>
            <w:r/>
            <w:r>
              <w:rPr>
                <w:rFonts w:ascii="Aptos" w:hAnsi="Aptos"/>
                <w:b w:val="0"/>
                <w:sz w:val="16"/>
              </w:rPr>
              <w:t>6. National workforce exchange</w:t>
            </w:r>
          </w:p>
        </w:tc>
        <w:tc>
          <w:tcPr>
            <w:tcW w:type="dxa" w:w="1584"/>
            <w:vAlign w:val="center"/>
          </w:tcPr>
          <w:p>
            <w:r/>
            <w:r>
              <w:rPr>
                <w:rFonts w:ascii="Aptos" w:hAnsi="Aptos"/>
                <w:b w:val="0"/>
                <w:sz w:val="16"/>
              </w:rPr>
              <w:t>Later</w:t>
            </w:r>
          </w:p>
        </w:tc>
        <w:tc>
          <w:tcPr>
            <w:tcW w:type="dxa" w:w="3600"/>
            <w:vAlign w:val="center"/>
          </w:tcPr>
          <w:p>
            <w:r/>
            <w:r>
              <w:rPr>
                <w:rFonts w:ascii="Aptos" w:hAnsi="Aptos"/>
                <w:b w:val="0"/>
                <w:sz w:val="16"/>
              </w:rPr>
              <w:t>Interstate workforce mobility</w:t>
            </w:r>
          </w:p>
        </w:tc>
        <w:tc>
          <w:tcPr>
            <w:tcW w:type="dxa" w:w="3600"/>
            <w:vAlign w:val="center"/>
          </w:tcPr>
          <w:p>
            <w:r/>
            <w:r>
              <w:rPr>
                <w:rFonts w:ascii="Aptos" w:hAnsi="Aptos"/>
                <w:b w:val="0"/>
                <w:sz w:val="16"/>
              </w:rPr>
              <w:t>Demonstrated safety, interoperability and sustainable operating model</w:t>
            </w:r>
          </w:p>
        </w:tc>
      </w:tr>
    </w:tbl>
    <w:p/>
    <w:p>
      <w:pPr>
        <w:pStyle w:val="Heading1"/>
      </w:pPr>
      <w:r>
        <w:t>24. YNLHN pilot evaluation framework</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00"/>
            <w:vAlign w:val="center"/>
            <w:shd w:fill="17365D"/>
          </w:tcPr>
          <w:p>
            <w:r/>
            <w:r>
              <w:rPr>
                <w:rFonts w:ascii="Aptos" w:hAnsi="Aptos"/>
                <w:b/>
                <w:color w:val="FFFFFF"/>
                <w:sz w:val="17"/>
              </w:rPr>
              <w:t>Domain</w:t>
            </w:r>
          </w:p>
        </w:tc>
        <w:tc>
          <w:tcPr>
            <w:tcW w:type="dxa" w:w="3672"/>
            <w:vAlign w:val="center"/>
            <w:shd w:fill="17365D"/>
          </w:tcPr>
          <w:p>
            <w:r/>
            <w:r>
              <w:rPr>
                <w:rFonts w:ascii="Aptos" w:hAnsi="Aptos"/>
                <w:b/>
                <w:color w:val="FFFFFF"/>
                <w:sz w:val="17"/>
              </w:rPr>
              <w:t>Measure</w:t>
            </w:r>
          </w:p>
        </w:tc>
        <w:tc>
          <w:tcPr>
            <w:tcW w:type="dxa" w:w="2232"/>
            <w:vAlign w:val="center"/>
            <w:shd w:fill="17365D"/>
          </w:tcPr>
          <w:p>
            <w:r/>
            <w:r>
              <w:rPr>
                <w:rFonts w:ascii="Aptos" w:hAnsi="Aptos"/>
                <w:b/>
                <w:color w:val="FFFFFF"/>
                <w:sz w:val="17"/>
              </w:rPr>
              <w:t>Baseline</w:t>
            </w:r>
          </w:p>
        </w:tc>
        <w:tc>
          <w:tcPr>
            <w:tcW w:type="dxa" w:w="3240"/>
            <w:vAlign w:val="center"/>
            <w:shd w:fill="17365D"/>
          </w:tcPr>
          <w:p>
            <w:r/>
            <w:r>
              <w:rPr>
                <w:rFonts w:ascii="Aptos" w:hAnsi="Aptos"/>
                <w:b/>
                <w:color w:val="FFFFFF"/>
                <w:sz w:val="17"/>
              </w:rPr>
              <w:t>Initial intent</w:t>
            </w:r>
          </w:p>
        </w:tc>
      </w:tr>
      <w:tr>
        <w:tc>
          <w:tcPr>
            <w:tcW w:type="dxa" w:w="1800"/>
            <w:vAlign w:val="center"/>
          </w:tcPr>
          <w:p>
            <w:r/>
            <w:r>
              <w:rPr>
                <w:rFonts w:ascii="Aptos" w:hAnsi="Aptos"/>
                <w:b w:val="0"/>
                <w:sz w:val="16"/>
              </w:rPr>
              <w:t>Doctor adoption</w:t>
            </w:r>
          </w:p>
        </w:tc>
        <w:tc>
          <w:tcPr>
            <w:tcW w:type="dxa" w:w="3672"/>
            <w:vAlign w:val="center"/>
          </w:tcPr>
          <w:p>
            <w:r/>
            <w:r>
              <w:rPr>
                <w:rFonts w:ascii="Aptos" w:hAnsi="Aptos"/>
                <w:b w:val="0"/>
                <w:sz w:val="16"/>
              </w:rPr>
              <w:t>% invited locums claiming profile</w:t>
            </w:r>
          </w:p>
        </w:tc>
        <w:tc>
          <w:tcPr>
            <w:tcW w:type="dxa" w:w="2232"/>
            <w:vAlign w:val="center"/>
          </w:tcPr>
          <w:p>
            <w:r/>
            <w:r>
              <w:rPr>
                <w:rFonts w:ascii="Aptos" w:hAnsi="Aptos"/>
                <w:b w:val="0"/>
                <w:sz w:val="16"/>
              </w:rPr>
              <w:t>Baseline n/a</w:t>
            </w:r>
          </w:p>
        </w:tc>
        <w:tc>
          <w:tcPr>
            <w:tcW w:type="dxa" w:w="3240"/>
            <w:vAlign w:val="center"/>
          </w:tcPr>
          <w:p>
            <w:r/>
            <w:r>
              <w:rPr>
                <w:rFonts w:ascii="Aptos" w:hAnsi="Aptos"/>
                <w:b w:val="0"/>
                <w:sz w:val="16"/>
              </w:rPr>
              <w:t>Target set after discovery</w:t>
            </w:r>
          </w:p>
        </w:tc>
      </w:tr>
      <w:tr>
        <w:tc>
          <w:tcPr>
            <w:tcW w:type="dxa" w:w="1800"/>
            <w:vAlign w:val="center"/>
            <w:shd w:fill="F3F6FA"/>
          </w:tcPr>
          <w:p>
            <w:r/>
            <w:r>
              <w:rPr>
                <w:rFonts w:ascii="Aptos" w:hAnsi="Aptos"/>
                <w:b w:val="0"/>
                <w:sz w:val="16"/>
              </w:rPr>
              <w:t>Credential utility</w:t>
            </w:r>
          </w:p>
        </w:tc>
        <w:tc>
          <w:tcPr>
            <w:tcW w:type="dxa" w:w="3672"/>
            <w:vAlign w:val="center"/>
            <w:shd w:fill="F3F6FA"/>
          </w:tcPr>
          <w:p>
            <w:r/>
            <w:r>
              <w:rPr>
                <w:rFonts w:ascii="Aptos" w:hAnsi="Aptos"/>
                <w:b w:val="0"/>
                <w:sz w:val="16"/>
              </w:rPr>
              <w:t>% active doctors storing ≥1 reusable credential; credential-pack shares</w:t>
            </w:r>
          </w:p>
        </w:tc>
        <w:tc>
          <w:tcPr>
            <w:tcW w:type="dxa" w:w="2232"/>
            <w:vAlign w:val="center"/>
            <w:shd w:fill="F3F6FA"/>
          </w:tcPr>
          <w:p>
            <w:r/>
            <w:r>
              <w:rPr>
                <w:rFonts w:ascii="Aptos" w:hAnsi="Aptos"/>
                <w:b w:val="0"/>
                <w:sz w:val="16"/>
              </w:rPr>
              <w:t>Baseline n/a</w:t>
            </w:r>
          </w:p>
        </w:tc>
        <w:tc>
          <w:tcPr>
            <w:tcW w:type="dxa" w:w="3240"/>
            <w:vAlign w:val="center"/>
            <w:shd w:fill="F3F6FA"/>
          </w:tcPr>
          <w:p>
            <w:r/>
            <w:r>
              <w:rPr>
                <w:rFonts w:ascii="Aptos" w:hAnsi="Aptos"/>
                <w:b w:val="0"/>
                <w:sz w:val="16"/>
              </w:rPr>
              <w:t>Demonstrate independent doctor value</w:t>
            </w:r>
          </w:p>
        </w:tc>
      </w:tr>
      <w:tr>
        <w:tc>
          <w:tcPr>
            <w:tcW w:type="dxa" w:w="1800"/>
            <w:vAlign w:val="center"/>
          </w:tcPr>
          <w:p>
            <w:r/>
            <w:r>
              <w:rPr>
                <w:rFonts w:ascii="Aptos" w:hAnsi="Aptos"/>
                <w:b w:val="0"/>
                <w:sz w:val="16"/>
              </w:rPr>
              <w:t>Feedback participation</w:t>
            </w:r>
          </w:p>
        </w:tc>
        <w:tc>
          <w:tcPr>
            <w:tcW w:type="dxa" w:w="3672"/>
            <w:vAlign w:val="center"/>
          </w:tcPr>
          <w:p>
            <w:r/>
            <w:r>
              <w:rPr>
                <w:rFonts w:ascii="Aptos" w:hAnsi="Aptos"/>
                <w:b w:val="0"/>
                <w:sz w:val="16"/>
              </w:rPr>
              <w:t>% completed shifts with survey response</w:t>
            </w:r>
          </w:p>
        </w:tc>
        <w:tc>
          <w:tcPr>
            <w:tcW w:type="dxa" w:w="2232"/>
            <w:vAlign w:val="center"/>
          </w:tcPr>
          <w:p>
            <w:r/>
            <w:r>
              <w:rPr>
                <w:rFonts w:ascii="Aptos" w:hAnsi="Aptos"/>
                <w:b w:val="0"/>
                <w:sz w:val="16"/>
              </w:rPr>
              <w:t>Baseline n/a</w:t>
            </w:r>
          </w:p>
        </w:tc>
        <w:tc>
          <w:tcPr>
            <w:tcW w:type="dxa" w:w="3240"/>
            <w:vAlign w:val="center"/>
          </w:tcPr>
          <w:p>
            <w:r/>
            <w:r>
              <w:rPr>
                <w:rFonts w:ascii="Aptos" w:hAnsi="Aptos"/>
                <w:b w:val="0"/>
                <w:sz w:val="16"/>
              </w:rPr>
              <w:t>Target ≥60% subject to pilot testing</w:t>
            </w:r>
          </w:p>
        </w:tc>
      </w:tr>
      <w:tr>
        <w:tc>
          <w:tcPr>
            <w:tcW w:type="dxa" w:w="1800"/>
            <w:vAlign w:val="center"/>
            <w:shd w:fill="F3F6FA"/>
          </w:tcPr>
          <w:p>
            <w:r/>
            <w:r>
              <w:rPr>
                <w:rFonts w:ascii="Aptos" w:hAnsi="Aptos"/>
                <w:b w:val="0"/>
                <w:sz w:val="16"/>
              </w:rPr>
              <w:t>Vacancy adoption</w:t>
            </w:r>
          </w:p>
        </w:tc>
        <w:tc>
          <w:tcPr>
            <w:tcW w:type="dxa" w:w="3672"/>
            <w:vAlign w:val="center"/>
            <w:shd w:fill="F3F6FA"/>
          </w:tcPr>
          <w:p>
            <w:r/>
            <w:r>
              <w:rPr>
                <w:rFonts w:ascii="Aptos" w:hAnsi="Aptos"/>
                <w:b w:val="0"/>
                <w:sz w:val="16"/>
              </w:rPr>
              <w:t>% eligible locum vacancies advertised through platform</w:t>
            </w:r>
          </w:p>
        </w:tc>
        <w:tc>
          <w:tcPr>
            <w:tcW w:type="dxa" w:w="2232"/>
            <w:vAlign w:val="center"/>
            <w:shd w:fill="F3F6FA"/>
          </w:tcPr>
          <w:p>
            <w:r/>
            <w:r>
              <w:rPr>
                <w:rFonts w:ascii="Aptos" w:hAnsi="Aptos"/>
                <w:b w:val="0"/>
                <w:sz w:val="16"/>
              </w:rPr>
              <w:t>Current baseline to establish</w:t>
            </w:r>
          </w:p>
        </w:tc>
        <w:tc>
          <w:tcPr>
            <w:tcW w:type="dxa" w:w="3240"/>
            <w:vAlign w:val="center"/>
            <w:shd w:fill="F3F6FA"/>
          </w:tcPr>
          <w:p>
            <w:r/>
            <w:r>
              <w:rPr>
                <w:rFonts w:ascii="Aptos" w:hAnsi="Aptos"/>
                <w:b w:val="0"/>
                <w:sz w:val="16"/>
              </w:rPr>
              <w:t>Target ≥70%</w:t>
            </w:r>
          </w:p>
        </w:tc>
      </w:tr>
      <w:tr>
        <w:tc>
          <w:tcPr>
            <w:tcW w:type="dxa" w:w="1800"/>
            <w:vAlign w:val="center"/>
          </w:tcPr>
          <w:p>
            <w:r/>
            <w:r>
              <w:rPr>
                <w:rFonts w:ascii="Aptos" w:hAnsi="Aptos"/>
                <w:b w:val="0"/>
                <w:sz w:val="16"/>
              </w:rPr>
              <w:t>Time to fill</w:t>
            </w:r>
          </w:p>
        </w:tc>
        <w:tc>
          <w:tcPr>
            <w:tcW w:type="dxa" w:w="3672"/>
            <w:vAlign w:val="center"/>
          </w:tcPr>
          <w:p>
            <w:r/>
            <w:r>
              <w:rPr>
                <w:rFonts w:ascii="Aptos" w:hAnsi="Aptos"/>
                <w:b w:val="0"/>
                <w:sz w:val="16"/>
              </w:rPr>
              <w:t>Median vacancy creation to confirmed booking</w:t>
            </w:r>
          </w:p>
        </w:tc>
        <w:tc>
          <w:tcPr>
            <w:tcW w:type="dxa" w:w="2232"/>
            <w:vAlign w:val="center"/>
          </w:tcPr>
          <w:p>
            <w:r/>
            <w:r>
              <w:rPr>
                <w:rFonts w:ascii="Aptos" w:hAnsi="Aptos"/>
                <w:b w:val="0"/>
                <w:sz w:val="16"/>
              </w:rPr>
              <w:t>Establish pre-pilot baseline</w:t>
            </w:r>
          </w:p>
        </w:tc>
        <w:tc>
          <w:tcPr>
            <w:tcW w:type="dxa" w:w="3240"/>
            <w:vAlign w:val="center"/>
          </w:tcPr>
          <w:p>
            <w:r/>
            <w:r>
              <w:rPr>
                <w:rFonts w:ascii="Aptos" w:hAnsi="Aptos"/>
                <w:b w:val="0"/>
                <w:sz w:val="16"/>
              </w:rPr>
              <w:t>Demonstrable reduction</w:t>
            </w:r>
          </w:p>
        </w:tc>
      </w:tr>
      <w:tr>
        <w:tc>
          <w:tcPr>
            <w:tcW w:type="dxa" w:w="1800"/>
            <w:vAlign w:val="center"/>
            <w:shd w:fill="F3F6FA"/>
          </w:tcPr>
          <w:p>
            <w:r/>
            <w:r>
              <w:rPr>
                <w:rFonts w:ascii="Aptos" w:hAnsi="Aptos"/>
                <w:b w:val="0"/>
                <w:sz w:val="16"/>
              </w:rPr>
              <w:t>Admin burden</w:t>
            </w:r>
          </w:p>
        </w:tc>
        <w:tc>
          <w:tcPr>
            <w:tcW w:type="dxa" w:w="3672"/>
            <w:vAlign w:val="center"/>
            <w:shd w:fill="F3F6FA"/>
          </w:tcPr>
          <w:p>
            <w:r/>
            <w:r>
              <w:rPr>
                <w:rFonts w:ascii="Aptos" w:hAnsi="Aptos"/>
                <w:b w:val="0"/>
                <w:sz w:val="16"/>
              </w:rPr>
              <w:t>Manual contacts per filled vacancy</w:t>
            </w:r>
          </w:p>
        </w:tc>
        <w:tc>
          <w:tcPr>
            <w:tcW w:type="dxa" w:w="2232"/>
            <w:vAlign w:val="center"/>
            <w:shd w:fill="F3F6FA"/>
          </w:tcPr>
          <w:p>
            <w:r/>
            <w:r>
              <w:rPr>
                <w:rFonts w:ascii="Aptos" w:hAnsi="Aptos"/>
                <w:b w:val="0"/>
                <w:sz w:val="16"/>
              </w:rPr>
              <w:t>Establish baseline</w:t>
            </w:r>
          </w:p>
        </w:tc>
        <w:tc>
          <w:tcPr>
            <w:tcW w:type="dxa" w:w="3240"/>
            <w:vAlign w:val="center"/>
            <w:shd w:fill="F3F6FA"/>
          </w:tcPr>
          <w:p>
            <w:r/>
            <w:r>
              <w:rPr>
                <w:rFonts w:ascii="Aptos" w:hAnsi="Aptos"/>
                <w:b w:val="0"/>
                <w:sz w:val="16"/>
              </w:rPr>
              <w:t>≥50% reduction aspirational</w:t>
            </w:r>
          </w:p>
        </w:tc>
      </w:tr>
      <w:tr>
        <w:tc>
          <w:tcPr>
            <w:tcW w:type="dxa" w:w="1800"/>
            <w:vAlign w:val="center"/>
          </w:tcPr>
          <w:p>
            <w:r/>
            <w:r>
              <w:rPr>
                <w:rFonts w:ascii="Aptos" w:hAnsi="Aptos"/>
                <w:b w:val="0"/>
                <w:sz w:val="16"/>
              </w:rPr>
              <w:t>Timesheets</w:t>
            </w:r>
          </w:p>
        </w:tc>
        <w:tc>
          <w:tcPr>
            <w:tcW w:type="dxa" w:w="3672"/>
            <w:vAlign w:val="center"/>
          </w:tcPr>
          <w:p>
            <w:r/>
            <w:r>
              <w:rPr>
                <w:rFonts w:ascii="Aptos" w:hAnsi="Aptos"/>
                <w:b w:val="0"/>
                <w:sz w:val="16"/>
              </w:rPr>
              <w:t>% platform bookings digitally approved</w:t>
            </w:r>
          </w:p>
        </w:tc>
        <w:tc>
          <w:tcPr>
            <w:tcW w:type="dxa" w:w="2232"/>
            <w:vAlign w:val="center"/>
          </w:tcPr>
          <w:p>
            <w:r/>
            <w:r>
              <w:rPr>
                <w:rFonts w:ascii="Aptos" w:hAnsi="Aptos"/>
                <w:b w:val="0"/>
                <w:sz w:val="16"/>
              </w:rPr>
              <w:t>Baseline n/a</w:t>
            </w:r>
          </w:p>
        </w:tc>
        <w:tc>
          <w:tcPr>
            <w:tcW w:type="dxa" w:w="3240"/>
            <w:vAlign w:val="center"/>
          </w:tcPr>
          <w:p>
            <w:r/>
            <w:r>
              <w:rPr>
                <w:rFonts w:ascii="Aptos" w:hAnsi="Aptos"/>
                <w:b w:val="0"/>
                <w:sz w:val="16"/>
              </w:rPr>
              <w:t>Target ≥80%</w:t>
            </w:r>
          </w:p>
        </w:tc>
      </w:tr>
      <w:tr>
        <w:tc>
          <w:tcPr>
            <w:tcW w:type="dxa" w:w="1800"/>
            <w:vAlign w:val="center"/>
            <w:shd w:fill="F3F6FA"/>
          </w:tcPr>
          <w:p>
            <w:r/>
            <w:r>
              <w:rPr>
                <w:rFonts w:ascii="Aptos" w:hAnsi="Aptos"/>
                <w:b w:val="0"/>
                <w:sz w:val="16"/>
              </w:rPr>
              <w:t>Agency performance</w:t>
            </w:r>
          </w:p>
        </w:tc>
        <w:tc>
          <w:tcPr>
            <w:tcW w:type="dxa" w:w="3672"/>
            <w:vAlign w:val="center"/>
            <w:shd w:fill="F3F6FA"/>
          </w:tcPr>
          <w:p>
            <w:r/>
            <w:r>
              <w:rPr>
                <w:rFonts w:ascii="Aptos" w:hAnsi="Aptos"/>
                <w:b w:val="0"/>
                <w:sz w:val="16"/>
              </w:rPr>
              <w:t>Response, proposal and fill rates by eligible panel supplier</w:t>
            </w:r>
          </w:p>
        </w:tc>
        <w:tc>
          <w:tcPr>
            <w:tcW w:type="dxa" w:w="2232"/>
            <w:vAlign w:val="center"/>
            <w:shd w:fill="F3F6FA"/>
          </w:tcPr>
          <w:p>
            <w:r/>
            <w:r>
              <w:rPr>
                <w:rFonts w:ascii="Aptos" w:hAnsi="Aptos"/>
                <w:b w:val="0"/>
                <w:sz w:val="16"/>
              </w:rPr>
              <w:t>Currently fragmented</w:t>
            </w:r>
          </w:p>
        </w:tc>
        <w:tc>
          <w:tcPr>
            <w:tcW w:type="dxa" w:w="3240"/>
            <w:vAlign w:val="center"/>
            <w:shd w:fill="F3F6FA"/>
          </w:tcPr>
          <w:p>
            <w:r/>
            <w:r>
              <w:rPr>
                <w:rFonts w:ascii="Aptos" w:hAnsi="Aptos"/>
                <w:b w:val="0"/>
                <w:sz w:val="16"/>
              </w:rPr>
              <w:t>Complete measurable baseline</w:t>
            </w:r>
          </w:p>
        </w:tc>
      </w:tr>
      <w:tr>
        <w:tc>
          <w:tcPr>
            <w:tcW w:type="dxa" w:w="1800"/>
            <w:vAlign w:val="center"/>
          </w:tcPr>
          <w:p>
            <w:r/>
            <w:r>
              <w:rPr>
                <w:rFonts w:ascii="Aptos" w:hAnsi="Aptos"/>
                <w:b w:val="0"/>
                <w:sz w:val="16"/>
              </w:rPr>
              <w:t>Retention</w:t>
            </w:r>
          </w:p>
        </w:tc>
        <w:tc>
          <w:tcPr>
            <w:tcW w:type="dxa" w:w="3672"/>
            <w:vAlign w:val="center"/>
          </w:tcPr>
          <w:p>
            <w:r/>
            <w:r>
              <w:rPr>
                <w:rFonts w:ascii="Aptos" w:hAnsi="Aptos"/>
                <w:b w:val="0"/>
                <w:sz w:val="16"/>
              </w:rPr>
              <w:t>90-day and eligible return rate</w:t>
            </w:r>
          </w:p>
        </w:tc>
        <w:tc>
          <w:tcPr>
            <w:tcW w:type="dxa" w:w="2232"/>
            <w:vAlign w:val="center"/>
          </w:tcPr>
          <w:p>
            <w:r/>
            <w:r>
              <w:rPr>
                <w:rFonts w:ascii="Aptos" w:hAnsi="Aptos"/>
                <w:b w:val="0"/>
                <w:sz w:val="16"/>
              </w:rPr>
              <w:t>Establish retrospective baseline</w:t>
            </w:r>
          </w:p>
        </w:tc>
        <w:tc>
          <w:tcPr>
            <w:tcW w:type="dxa" w:w="3240"/>
            <w:vAlign w:val="center"/>
          </w:tcPr>
          <w:p>
            <w:r/>
            <w:r>
              <w:rPr>
                <w:rFonts w:ascii="Aptos" w:hAnsi="Aptos"/>
                <w:b w:val="0"/>
                <w:sz w:val="16"/>
              </w:rPr>
              <w:t>Improvement over time</w:t>
            </w:r>
          </w:p>
        </w:tc>
      </w:tr>
      <w:tr>
        <w:tc>
          <w:tcPr>
            <w:tcW w:type="dxa" w:w="1800"/>
            <w:vAlign w:val="center"/>
            <w:shd w:fill="F3F6FA"/>
          </w:tcPr>
          <w:p>
            <w:r/>
            <w:r>
              <w:rPr>
                <w:rFonts w:ascii="Aptos" w:hAnsi="Aptos"/>
                <w:b w:val="0"/>
                <w:sz w:val="16"/>
              </w:rPr>
              <w:t>Experience</w:t>
            </w:r>
          </w:p>
        </w:tc>
        <w:tc>
          <w:tcPr>
            <w:tcW w:type="dxa" w:w="3672"/>
            <w:vAlign w:val="center"/>
            <w:shd w:fill="F3F6FA"/>
          </w:tcPr>
          <w:p>
            <w:r/>
            <w:r>
              <w:rPr>
                <w:rFonts w:ascii="Aptos" w:hAnsi="Aptos"/>
                <w:b w:val="0"/>
                <w:sz w:val="16"/>
              </w:rPr>
              <w:t>Culture, confidence, support, orientation and return intention</w:t>
            </w:r>
          </w:p>
        </w:tc>
        <w:tc>
          <w:tcPr>
            <w:tcW w:type="dxa" w:w="2232"/>
            <w:vAlign w:val="center"/>
            <w:shd w:fill="F3F6FA"/>
          </w:tcPr>
          <w:p>
            <w:r/>
            <w:r>
              <w:rPr>
                <w:rFonts w:ascii="Aptos" w:hAnsi="Aptos"/>
                <w:b w:val="0"/>
                <w:sz w:val="16"/>
              </w:rPr>
              <w:t>Establish baseline</w:t>
            </w:r>
          </w:p>
        </w:tc>
        <w:tc>
          <w:tcPr>
            <w:tcW w:type="dxa" w:w="3240"/>
            <w:vAlign w:val="center"/>
            <w:shd w:fill="F3F6FA"/>
          </w:tcPr>
          <w:p>
            <w:r/>
            <w:r>
              <w:rPr>
                <w:rFonts w:ascii="Aptos" w:hAnsi="Aptos"/>
                <w:b w:val="0"/>
                <w:sz w:val="16"/>
              </w:rPr>
              <w:t>Improvement and closed-loop actions</w:t>
            </w:r>
          </w:p>
        </w:tc>
      </w:tr>
      <w:tr>
        <w:tc>
          <w:tcPr>
            <w:tcW w:type="dxa" w:w="1800"/>
            <w:vAlign w:val="center"/>
          </w:tcPr>
          <w:p>
            <w:r/>
            <w:r>
              <w:rPr>
                <w:rFonts w:ascii="Aptos" w:hAnsi="Aptos"/>
                <w:b w:val="0"/>
                <w:sz w:val="16"/>
              </w:rPr>
              <w:t>Cost</w:t>
            </w:r>
          </w:p>
        </w:tc>
        <w:tc>
          <w:tcPr>
            <w:tcW w:type="dxa" w:w="3672"/>
            <w:vAlign w:val="center"/>
          </w:tcPr>
          <w:p>
            <w:r/>
            <w:r>
              <w:rPr>
                <w:rFonts w:ascii="Aptos" w:hAnsi="Aptos"/>
                <w:b w:val="0"/>
                <w:sz w:val="16"/>
              </w:rPr>
              <w:t>Total locum cost and commission visibility</w:t>
            </w:r>
          </w:p>
        </w:tc>
        <w:tc>
          <w:tcPr>
            <w:tcW w:type="dxa" w:w="2232"/>
            <w:vAlign w:val="center"/>
          </w:tcPr>
          <w:p>
            <w:r/>
            <w:r>
              <w:rPr>
                <w:rFonts w:ascii="Aptos" w:hAnsi="Aptos"/>
                <w:b w:val="0"/>
                <w:sz w:val="16"/>
              </w:rPr>
              <w:t>Establish baseline</w:t>
            </w:r>
          </w:p>
        </w:tc>
        <w:tc>
          <w:tcPr>
            <w:tcW w:type="dxa" w:w="3240"/>
            <w:vAlign w:val="center"/>
          </w:tcPr>
          <w:p>
            <w:r/>
            <w:r>
              <w:rPr>
                <w:rFonts w:ascii="Aptos" w:hAnsi="Aptos"/>
                <w:b w:val="0"/>
                <w:sz w:val="16"/>
              </w:rPr>
              <w:t>Accurate cost attribution before savings claims</w:t>
            </w:r>
          </w:p>
        </w:tc>
      </w:tr>
    </w:tbl>
    <w:p/>
    <w:p>
      <w:pPr>
        <w:pStyle w:val="Heading1"/>
      </w:pPr>
      <w:r>
        <w:t>25. Benefits framework</w:t>
      </w:r>
    </w:p>
    <w:p>
      <w:pPr>
        <w:pStyle w:val="Heading2"/>
      </w:pPr>
      <w:r>
        <w:t>25.1 Doctor benefits</w:t>
      </w:r>
    </w:p>
    <w:p>
      <w:pPr>
        <w:pStyle w:val="ListBullet"/>
      </w:pPr>
      <w:r>
        <w:t>Single credential portfolio with expiry tracking</w:t>
      </w:r>
    </w:p>
    <w:p>
      <w:pPr>
        <w:pStyle w:val="ListBullet"/>
      </w:pPr>
      <w:r>
        <w:t>Less repetitive credential paperwork</w:t>
      </w:r>
    </w:p>
    <w:p>
      <w:pPr>
        <w:pStyle w:val="ListBullet"/>
      </w:pPr>
      <w:r>
        <w:t>Secure credential sharing with any organisation</w:t>
      </w:r>
    </w:p>
    <w:p>
      <w:pPr>
        <w:pStyle w:val="ListBullet"/>
      </w:pPr>
      <w:r>
        <w:t>Clearer visibility of authorised roles and sites</w:t>
      </w:r>
    </w:p>
    <w:p>
      <w:pPr>
        <w:pStyle w:val="ListBullet"/>
      </w:pPr>
      <w:r>
        <w:t>Simpler vacancy discovery and timesheets</w:t>
      </w:r>
    </w:p>
    <w:p>
      <w:pPr>
        <w:pStyle w:val="ListBullet"/>
      </w:pPr>
      <w:r>
        <w:t>Greater control over location, role, availability and rate preferences</w:t>
      </w:r>
    </w:p>
    <w:p>
      <w:pPr>
        <w:pStyle w:val="ListBullet"/>
      </w:pPr>
      <w:r>
        <w:t>Confidential mechanism to influence hospital culture and locum experience</w:t>
      </w:r>
    </w:p>
    <w:p>
      <w:pPr>
        <w:pStyle w:val="Heading2"/>
      </w:pPr>
      <w:r>
        <w:t>25.2 Health service benefits</w:t>
      </w:r>
    </w:p>
    <w:p>
      <w:pPr>
        <w:pStyle w:val="ListBullet"/>
      </w:pPr>
      <w:r>
        <w:t>Improved vacancy visibility and fill workflow</w:t>
      </w:r>
    </w:p>
    <w:p>
      <w:pPr>
        <w:pStyle w:val="ListBullet"/>
      </w:pPr>
      <w:r>
        <w:t>Better compliance evidence for sourcing and credential status</w:t>
      </w:r>
    </w:p>
    <w:p>
      <w:pPr>
        <w:pStyle w:val="ListBullet"/>
      </w:pPr>
      <w:r>
        <w:t>Reduced administrative contacts and manual timesheet processing</w:t>
      </w:r>
    </w:p>
    <w:p>
      <w:pPr>
        <w:pStyle w:val="ListBullet"/>
      </w:pPr>
      <w:r>
        <w:t>Structured agency performance and cost data</w:t>
      </w:r>
    </w:p>
    <w:p>
      <w:pPr>
        <w:pStyle w:val="ListBullet"/>
      </w:pPr>
      <w:r>
        <w:t>Better locum retention intelligence</w:t>
      </w:r>
    </w:p>
    <w:p>
      <w:pPr>
        <w:pStyle w:val="ListBullet"/>
      </w:pPr>
      <w:r>
        <w:t>Earlier visibility of credential expiry</w:t>
      </w:r>
    </w:p>
    <w:p>
      <w:pPr>
        <w:pStyle w:val="ListBullet"/>
      </w:pPr>
      <w:r>
        <w:t>Potential reduction in duplicated credentialling and future agency dependency</w:t>
      </w:r>
    </w:p>
    <w:p>
      <w:pPr>
        <w:pStyle w:val="ListBullet"/>
      </w:pPr>
      <w:r>
        <w:t>Actionable culture/orientation/support improvement data</w:t>
      </w:r>
    </w:p>
    <w:p>
      <w:pPr>
        <w:pStyle w:val="Heading2"/>
      </w:pPr>
      <w:r>
        <w:t>25.3 System benefits</w:t>
      </w:r>
    </w:p>
    <w:p>
      <w:pPr>
        <w:pStyle w:val="ListBullet"/>
      </w:pPr>
      <w:r>
        <w:t>Greater workforce mobility</w:t>
      </w:r>
    </w:p>
    <w:p>
      <w:pPr>
        <w:pStyle w:val="ListBullet"/>
      </w:pPr>
      <w:r>
        <w:t>Reusable verified credential evidence</w:t>
      </w:r>
    </w:p>
    <w:p>
      <w:pPr>
        <w:pStyle w:val="ListBullet"/>
      </w:pPr>
      <w:r>
        <w:t>Improved rural workforce responsiveness</w:t>
      </w:r>
    </w:p>
    <w:p>
      <w:pPr>
        <w:pStyle w:val="ListBullet"/>
      </w:pPr>
      <w:r>
        <w:t>Common credential and capability semantics</w:t>
      </w:r>
    </w:p>
    <w:p>
      <w:pPr>
        <w:pStyle w:val="ListBullet"/>
      </w:pPr>
      <w:r>
        <w:t>Better workforce supply/demand data</w:t>
      </w:r>
    </w:p>
    <w:p>
      <w:pPr>
        <w:pStyle w:val="ListBullet"/>
      </w:pPr>
      <w:r>
        <w:t>Potential national interoperability layer complementary to existing provider identity infrastructure</w:t>
      </w:r>
    </w:p>
    <w:p>
      <w:pPr>
        <w:pStyle w:val="Heading1"/>
      </w:pPr>
      <w:r>
        <w:t>26. Risks and controls</w:t>
      </w:r>
    </w:p>
    <w:tbl>
      <w:tblPr>
        <w:tblStyle w:val="TableGrid"/>
        <w:tblW w:type="auto" w:w="0"/>
        <w:jc w:val="center"/>
        <w:tblLook w:firstColumn="1" w:firstRow="1" w:lastColumn="0" w:lastRow="0" w:noHBand="0" w:noVBand="1" w:val="04A0"/>
      </w:tblPr>
      <w:tblGrid>
        <w:gridCol w:w="3360"/>
        <w:gridCol w:w="3360"/>
        <w:gridCol w:w="3360"/>
      </w:tblGrid>
      <w:tr>
        <w:tc>
          <w:tcPr>
            <w:tcW w:type="dxa" w:w="3168"/>
            <w:vAlign w:val="center"/>
            <w:shd w:fill="17365D"/>
          </w:tcPr>
          <w:p>
            <w:r/>
            <w:r>
              <w:rPr>
                <w:rFonts w:ascii="Aptos" w:hAnsi="Aptos"/>
                <w:b/>
                <w:color w:val="FFFFFF"/>
                <w:sz w:val="17"/>
              </w:rPr>
              <w:t>Risk</w:t>
            </w:r>
          </w:p>
        </w:tc>
        <w:tc>
          <w:tcPr>
            <w:tcW w:type="dxa" w:w="2304"/>
            <w:vAlign w:val="center"/>
            <w:shd w:fill="17365D"/>
          </w:tcPr>
          <w:p>
            <w:r/>
            <w:r>
              <w:rPr>
                <w:rFonts w:ascii="Aptos" w:hAnsi="Aptos"/>
                <w:b/>
                <w:color w:val="FFFFFF"/>
                <w:sz w:val="17"/>
              </w:rPr>
              <w:t>Consequence</w:t>
            </w:r>
          </w:p>
        </w:tc>
        <w:tc>
          <w:tcPr>
            <w:tcW w:type="dxa" w:w="5184"/>
            <w:vAlign w:val="center"/>
            <w:shd w:fill="17365D"/>
          </w:tcPr>
          <w:p>
            <w:r/>
            <w:r>
              <w:rPr>
                <w:rFonts w:ascii="Aptos" w:hAnsi="Aptos"/>
                <w:b/>
                <w:color w:val="FFFFFF"/>
                <w:sz w:val="17"/>
              </w:rPr>
              <w:t>Primary control</w:t>
            </w:r>
          </w:p>
        </w:tc>
      </w:tr>
      <w:tr>
        <w:tc>
          <w:tcPr>
            <w:tcW w:type="dxa" w:w="3168"/>
            <w:vAlign w:val="center"/>
          </w:tcPr>
          <w:p>
            <w:r/>
            <w:r>
              <w:rPr>
                <w:rFonts w:ascii="Aptos" w:hAnsi="Aptos"/>
                <w:b w:val="0"/>
                <w:sz w:val="16"/>
              </w:rPr>
              <w:t>Doctors perceive the product as another employer compliance task</w:t>
            </w:r>
          </w:p>
        </w:tc>
        <w:tc>
          <w:tcPr>
            <w:tcW w:type="dxa" w:w="2304"/>
            <w:vAlign w:val="center"/>
          </w:tcPr>
          <w:p>
            <w:r/>
            <w:r>
              <w:rPr>
                <w:rFonts w:ascii="Aptos" w:hAnsi="Aptos"/>
                <w:b w:val="0"/>
                <w:sz w:val="16"/>
              </w:rPr>
              <w:t>Low adoption</w:t>
            </w:r>
          </w:p>
        </w:tc>
        <w:tc>
          <w:tcPr>
            <w:tcW w:type="dxa" w:w="5184"/>
            <w:vAlign w:val="center"/>
          </w:tcPr>
          <w:p>
            <w:r/>
            <w:r>
              <w:rPr>
                <w:rFonts w:ascii="Aptos" w:hAnsi="Aptos"/>
                <w:b w:val="0"/>
                <w:sz w:val="16"/>
              </w:rPr>
              <w:t>Credential Wallet and sharing remain genuinely useful outside YNLHN; minimal onboarding</w:t>
            </w:r>
          </w:p>
        </w:tc>
      </w:tr>
      <w:tr>
        <w:tc>
          <w:tcPr>
            <w:tcW w:type="dxa" w:w="3168"/>
            <w:vAlign w:val="center"/>
            <w:shd w:fill="F3F6FA"/>
          </w:tcPr>
          <w:p>
            <w:r/>
            <w:r>
              <w:rPr>
                <w:rFonts w:ascii="Aptos" w:hAnsi="Aptos"/>
                <w:b w:val="0"/>
                <w:sz w:val="16"/>
              </w:rPr>
              <w:t>Feedback is identifiable at small sites</w:t>
            </w:r>
          </w:p>
        </w:tc>
        <w:tc>
          <w:tcPr>
            <w:tcW w:type="dxa" w:w="2304"/>
            <w:vAlign w:val="center"/>
            <w:shd w:fill="F3F6FA"/>
          </w:tcPr>
          <w:p>
            <w:r/>
            <w:r>
              <w:rPr>
                <w:rFonts w:ascii="Aptos" w:hAnsi="Aptos"/>
                <w:b w:val="0"/>
                <w:sz w:val="16"/>
              </w:rPr>
              <w:t>Loss of trust</w:t>
            </w:r>
          </w:p>
        </w:tc>
        <w:tc>
          <w:tcPr>
            <w:tcW w:type="dxa" w:w="5184"/>
            <w:vAlign w:val="center"/>
            <w:shd w:fill="F3F6FA"/>
          </w:tcPr>
          <w:p>
            <w:r/>
            <w:r>
              <w:rPr>
                <w:rFonts w:ascii="Aptos" w:hAnsi="Aptos"/>
                <w:b w:val="0"/>
                <w:sz w:val="16"/>
              </w:rPr>
              <w:t>Minimum reporting thresholds, aggregation, restricted raw access, privacy review</w:t>
            </w:r>
          </w:p>
        </w:tc>
      </w:tr>
      <w:tr>
        <w:tc>
          <w:tcPr>
            <w:tcW w:type="dxa" w:w="3168"/>
            <w:vAlign w:val="center"/>
          </w:tcPr>
          <w:p>
            <w:r/>
            <w:r>
              <w:rPr>
                <w:rFonts w:ascii="Aptos" w:hAnsi="Aptos"/>
                <w:b w:val="0"/>
                <w:sz w:val="16"/>
              </w:rPr>
              <w:t>Feedback becomes substitute incident reporting</w:t>
            </w:r>
          </w:p>
        </w:tc>
        <w:tc>
          <w:tcPr>
            <w:tcW w:type="dxa" w:w="2304"/>
            <w:vAlign w:val="center"/>
          </w:tcPr>
          <w:p>
            <w:r/>
            <w:r>
              <w:rPr>
                <w:rFonts w:ascii="Aptos" w:hAnsi="Aptos"/>
                <w:b w:val="0"/>
                <w:sz w:val="16"/>
              </w:rPr>
              <w:t>Safety risk</w:t>
            </w:r>
          </w:p>
        </w:tc>
        <w:tc>
          <w:tcPr>
            <w:tcW w:type="dxa" w:w="5184"/>
            <w:vAlign w:val="center"/>
          </w:tcPr>
          <w:p>
            <w:r/>
            <w:r>
              <w:rPr>
                <w:rFonts w:ascii="Aptos" w:hAnsi="Aptos"/>
                <w:b w:val="0"/>
                <w:sz w:val="16"/>
              </w:rPr>
              <w:t>Explicit routing to formal safety/complaint pathways</w:t>
            </w:r>
          </w:p>
        </w:tc>
      </w:tr>
      <w:tr>
        <w:tc>
          <w:tcPr>
            <w:tcW w:type="dxa" w:w="3168"/>
            <w:vAlign w:val="center"/>
            <w:shd w:fill="F3F6FA"/>
          </w:tcPr>
          <w:p>
            <w:r/>
            <w:r>
              <w:rPr>
                <w:rFonts w:ascii="Aptos" w:hAnsi="Aptos"/>
                <w:b w:val="0"/>
                <w:sz w:val="16"/>
              </w:rPr>
              <w:t>Platform implies unverified evidence is verified</w:t>
            </w:r>
          </w:p>
        </w:tc>
        <w:tc>
          <w:tcPr>
            <w:tcW w:type="dxa" w:w="2304"/>
            <w:vAlign w:val="center"/>
            <w:shd w:fill="F3F6FA"/>
          </w:tcPr>
          <w:p>
            <w:r/>
            <w:r>
              <w:rPr>
                <w:rFonts w:ascii="Aptos" w:hAnsi="Aptos"/>
                <w:b w:val="0"/>
                <w:sz w:val="16"/>
              </w:rPr>
              <w:t>Credential risk</w:t>
            </w:r>
          </w:p>
        </w:tc>
        <w:tc>
          <w:tcPr>
            <w:tcW w:type="dxa" w:w="5184"/>
            <w:vAlign w:val="center"/>
            <w:shd w:fill="F3F6FA"/>
          </w:tcPr>
          <w:p>
            <w:r/>
            <w:r>
              <w:rPr>
                <w:rFonts w:ascii="Aptos" w:hAnsi="Aptos"/>
                <w:b w:val="0"/>
                <w:sz w:val="16"/>
              </w:rPr>
              <w:t>Visible assurance states and provenance</w:t>
            </w:r>
          </w:p>
        </w:tc>
      </w:tr>
      <w:tr>
        <w:tc>
          <w:tcPr>
            <w:tcW w:type="dxa" w:w="3168"/>
            <w:vAlign w:val="center"/>
          </w:tcPr>
          <w:p>
            <w:r/>
            <w:r>
              <w:rPr>
                <w:rFonts w:ascii="Aptos" w:hAnsi="Aptos"/>
                <w:b w:val="0"/>
                <w:sz w:val="16"/>
              </w:rPr>
              <w:t>Portable scope is misinterpreted as automatic authority</w:t>
            </w:r>
          </w:p>
        </w:tc>
        <w:tc>
          <w:tcPr>
            <w:tcW w:type="dxa" w:w="2304"/>
            <w:vAlign w:val="center"/>
          </w:tcPr>
          <w:p>
            <w:r/>
            <w:r>
              <w:rPr>
                <w:rFonts w:ascii="Aptos" w:hAnsi="Aptos"/>
                <w:b w:val="0"/>
                <w:sz w:val="16"/>
              </w:rPr>
              <w:t>Clinical governance risk</w:t>
            </w:r>
          </w:p>
        </w:tc>
        <w:tc>
          <w:tcPr>
            <w:tcW w:type="dxa" w:w="5184"/>
            <w:vAlign w:val="center"/>
          </w:tcPr>
          <w:p>
            <w:r/>
            <w:r>
              <w:rPr>
                <w:rFonts w:ascii="Aptos" w:hAnsi="Aptos"/>
                <w:b w:val="0"/>
                <w:sz w:val="16"/>
              </w:rPr>
              <w:t>Separate credential evidence from organisation ScopeGrant</w:t>
            </w:r>
          </w:p>
        </w:tc>
      </w:tr>
      <w:tr>
        <w:tc>
          <w:tcPr>
            <w:tcW w:type="dxa" w:w="3168"/>
            <w:vAlign w:val="center"/>
            <w:shd w:fill="F3F6FA"/>
          </w:tcPr>
          <w:p>
            <w:r/>
            <w:r>
              <w:rPr>
                <w:rFonts w:ascii="Aptos" w:hAnsi="Aptos"/>
                <w:b w:val="0"/>
                <w:sz w:val="16"/>
              </w:rPr>
              <w:t>Non-panel sourcing occurs prematurely</w:t>
            </w:r>
          </w:p>
        </w:tc>
        <w:tc>
          <w:tcPr>
            <w:tcW w:type="dxa" w:w="2304"/>
            <w:vAlign w:val="center"/>
            <w:shd w:fill="F3F6FA"/>
          </w:tcPr>
          <w:p>
            <w:r/>
            <w:r>
              <w:rPr>
                <w:rFonts w:ascii="Aptos" w:hAnsi="Aptos"/>
                <w:b w:val="0"/>
                <w:sz w:val="16"/>
              </w:rPr>
              <w:t>Procurement breach</w:t>
            </w:r>
          </w:p>
        </w:tc>
        <w:tc>
          <w:tcPr>
            <w:tcW w:type="dxa" w:w="5184"/>
            <w:vAlign w:val="center"/>
            <w:shd w:fill="F3F6FA"/>
          </w:tcPr>
          <w:p>
            <w:r/>
            <w:r>
              <w:rPr>
                <w:rFonts w:ascii="Aptos" w:hAnsi="Aptos"/>
                <w:b w:val="0"/>
                <w:sz w:val="16"/>
              </w:rPr>
              <w:t>Policy-driven sourcing tiers and override controls</w:t>
            </w:r>
          </w:p>
        </w:tc>
      </w:tr>
      <w:tr>
        <w:tc>
          <w:tcPr>
            <w:tcW w:type="dxa" w:w="3168"/>
            <w:vAlign w:val="center"/>
          </w:tcPr>
          <w:p>
            <w:r/>
            <w:r>
              <w:rPr>
                <w:rFonts w:ascii="Aptos" w:hAnsi="Aptos"/>
                <w:b w:val="0"/>
                <w:sz w:val="16"/>
              </w:rPr>
              <w:t>Agency commission data becomes inaccurate over time</w:t>
            </w:r>
          </w:p>
        </w:tc>
        <w:tc>
          <w:tcPr>
            <w:tcW w:type="dxa" w:w="2304"/>
            <w:vAlign w:val="center"/>
          </w:tcPr>
          <w:p>
            <w:r/>
            <w:r>
              <w:rPr>
                <w:rFonts w:ascii="Aptos" w:hAnsi="Aptos"/>
                <w:b w:val="0"/>
                <w:sz w:val="16"/>
              </w:rPr>
              <w:t>Financial error</w:t>
            </w:r>
          </w:p>
        </w:tc>
        <w:tc>
          <w:tcPr>
            <w:tcW w:type="dxa" w:w="5184"/>
            <w:vAlign w:val="center"/>
          </w:tcPr>
          <w:p>
            <w:r/>
            <w:r>
              <w:rPr>
                <w:rFonts w:ascii="Aptos" w:hAnsi="Aptos"/>
                <w:b w:val="0"/>
                <w:sz w:val="16"/>
              </w:rPr>
              <w:t>Versioned agreements and booking-level commercial snapshot</w:t>
            </w:r>
          </w:p>
        </w:tc>
      </w:tr>
      <w:tr>
        <w:tc>
          <w:tcPr>
            <w:tcW w:type="dxa" w:w="3168"/>
            <w:vAlign w:val="center"/>
            <w:shd w:fill="F3F6FA"/>
          </w:tcPr>
          <w:p>
            <w:r/>
            <w:r>
              <w:rPr>
                <w:rFonts w:ascii="Aptos" w:hAnsi="Aptos"/>
                <w:b w:val="0"/>
                <w:sz w:val="16"/>
              </w:rPr>
              <w:t>Over-automation of eligibility</w:t>
            </w:r>
          </w:p>
        </w:tc>
        <w:tc>
          <w:tcPr>
            <w:tcW w:type="dxa" w:w="2304"/>
            <w:vAlign w:val="center"/>
            <w:shd w:fill="F3F6FA"/>
          </w:tcPr>
          <w:p>
            <w:r/>
            <w:r>
              <w:rPr>
                <w:rFonts w:ascii="Aptos" w:hAnsi="Aptos"/>
                <w:b w:val="0"/>
                <w:sz w:val="16"/>
              </w:rPr>
              <w:t>Unsafe match</w:t>
            </w:r>
          </w:p>
        </w:tc>
        <w:tc>
          <w:tcPr>
            <w:tcW w:type="dxa" w:w="5184"/>
            <w:vAlign w:val="center"/>
            <w:shd w:fill="F3F6FA"/>
          </w:tcPr>
          <w:p>
            <w:r/>
            <w:r>
              <w:rPr>
                <w:rFonts w:ascii="Aptos" w:hAnsi="Aptos"/>
                <w:b w:val="0"/>
                <w:sz w:val="16"/>
              </w:rPr>
              <w:t>Human confirmation in early stages and explainable rule engine</w:t>
            </w:r>
          </w:p>
        </w:tc>
      </w:tr>
      <w:tr>
        <w:tc>
          <w:tcPr>
            <w:tcW w:type="dxa" w:w="3168"/>
            <w:vAlign w:val="center"/>
          </w:tcPr>
          <w:p>
            <w:r/>
            <w:r>
              <w:rPr>
                <w:rFonts w:ascii="Aptos" w:hAnsi="Aptos"/>
                <w:b w:val="0"/>
                <w:sz w:val="16"/>
              </w:rPr>
              <w:t>Cyber breach of identity/credential evidence</w:t>
            </w:r>
          </w:p>
        </w:tc>
        <w:tc>
          <w:tcPr>
            <w:tcW w:type="dxa" w:w="2304"/>
            <w:vAlign w:val="center"/>
          </w:tcPr>
          <w:p>
            <w:r/>
            <w:r>
              <w:rPr>
                <w:rFonts w:ascii="Aptos" w:hAnsi="Aptos"/>
                <w:b w:val="0"/>
                <w:sz w:val="16"/>
              </w:rPr>
              <w:t>High privacy impact</w:t>
            </w:r>
          </w:p>
        </w:tc>
        <w:tc>
          <w:tcPr>
            <w:tcW w:type="dxa" w:w="5184"/>
            <w:vAlign w:val="center"/>
          </w:tcPr>
          <w:p>
            <w:r/>
            <w:r>
              <w:rPr>
                <w:rFonts w:ascii="Aptos" w:hAnsi="Aptos"/>
                <w:b w:val="0"/>
                <w:sz w:val="16"/>
              </w:rPr>
              <w:t>Security architecture, least privilege, encryption, PIA, testing and incident response</w:t>
            </w:r>
          </w:p>
        </w:tc>
      </w:tr>
      <w:tr>
        <w:tc>
          <w:tcPr>
            <w:tcW w:type="dxa" w:w="3168"/>
            <w:vAlign w:val="center"/>
            <w:shd w:fill="F3F6FA"/>
          </w:tcPr>
          <w:p>
            <w:r/>
            <w:r>
              <w:rPr>
                <w:rFonts w:ascii="Aptos" w:hAnsi="Aptos"/>
                <w:b w:val="0"/>
                <w:sz w:val="16"/>
              </w:rPr>
              <w:t>Premature national scope expands project complexity</w:t>
            </w:r>
          </w:p>
        </w:tc>
        <w:tc>
          <w:tcPr>
            <w:tcW w:type="dxa" w:w="2304"/>
            <w:vAlign w:val="center"/>
            <w:shd w:fill="F3F6FA"/>
          </w:tcPr>
          <w:p>
            <w:r/>
            <w:r>
              <w:rPr>
                <w:rFonts w:ascii="Aptos" w:hAnsi="Aptos"/>
                <w:b w:val="0"/>
                <w:sz w:val="16"/>
              </w:rPr>
              <w:t>Delivery failure</w:t>
            </w:r>
          </w:p>
        </w:tc>
        <w:tc>
          <w:tcPr>
            <w:tcW w:type="dxa" w:w="5184"/>
            <w:vAlign w:val="center"/>
            <w:shd w:fill="F3F6FA"/>
          </w:tcPr>
          <w:p>
            <w:r/>
            <w:r>
              <w:rPr>
                <w:rFonts w:ascii="Aptos" w:hAnsi="Aptos"/>
                <w:b w:val="0"/>
                <w:sz w:val="16"/>
              </w:rPr>
              <w:t>Stage gates and bounded YNLHN pilot</w:t>
            </w:r>
          </w:p>
        </w:tc>
      </w:tr>
    </w:tbl>
    <w:p/>
    <w:p>
      <w:pPr>
        <w:pStyle w:val="Heading1"/>
      </w:pPr>
      <w:r>
        <w:t>27. Governance framework</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17365D"/>
          </w:tcPr>
          <w:p>
            <w:r/>
            <w:r>
              <w:rPr>
                <w:rFonts w:ascii="Aptos" w:hAnsi="Aptos"/>
                <w:b/>
                <w:color w:val="FFFFFF"/>
                <w:sz w:val="17"/>
              </w:rPr>
              <w:t>Governance domain</w:t>
            </w:r>
          </w:p>
        </w:tc>
        <w:tc>
          <w:tcPr>
            <w:tcW w:type="dxa" w:w="7488"/>
            <w:vAlign w:val="center"/>
            <w:shd w:fill="17365D"/>
          </w:tcPr>
          <w:p>
            <w:r/>
            <w:r>
              <w:rPr>
                <w:rFonts w:ascii="Aptos" w:hAnsi="Aptos"/>
                <w:b/>
                <w:color w:val="FFFFFF"/>
                <w:sz w:val="17"/>
              </w:rPr>
              <w:t>Accountability focus</w:t>
            </w:r>
          </w:p>
        </w:tc>
      </w:tr>
      <w:tr>
        <w:tc>
          <w:tcPr>
            <w:tcW w:type="dxa" w:w="2880"/>
            <w:vAlign w:val="center"/>
          </w:tcPr>
          <w:p>
            <w:r/>
            <w:r>
              <w:rPr>
                <w:rFonts w:ascii="Aptos" w:hAnsi="Aptos"/>
                <w:b w:val="0"/>
                <w:sz w:val="16"/>
              </w:rPr>
              <w:t>Clinical governance</w:t>
            </w:r>
          </w:p>
        </w:tc>
        <w:tc>
          <w:tcPr>
            <w:tcW w:type="dxa" w:w="7488"/>
            <w:vAlign w:val="center"/>
          </w:tcPr>
          <w:p>
            <w:r/>
            <w:r>
              <w:rPr>
                <w:rFonts w:ascii="Aptos" w:hAnsi="Aptos"/>
                <w:b w:val="0"/>
                <w:sz w:val="16"/>
              </w:rPr>
              <w:t>Scope, safety, escalation, service capability and incident separation</w:t>
            </w:r>
          </w:p>
        </w:tc>
      </w:tr>
      <w:tr>
        <w:tc>
          <w:tcPr>
            <w:tcW w:type="dxa" w:w="2880"/>
            <w:vAlign w:val="center"/>
            <w:shd w:fill="F3F6FA"/>
          </w:tcPr>
          <w:p>
            <w:r/>
            <w:r>
              <w:rPr>
                <w:rFonts w:ascii="Aptos" w:hAnsi="Aptos"/>
                <w:b w:val="0"/>
                <w:sz w:val="16"/>
              </w:rPr>
              <w:t>Credentialling</w:t>
            </w:r>
          </w:p>
        </w:tc>
        <w:tc>
          <w:tcPr>
            <w:tcW w:type="dxa" w:w="7488"/>
            <w:vAlign w:val="center"/>
            <w:shd w:fill="F3F6FA"/>
          </w:tcPr>
          <w:p>
            <w:r/>
            <w:r>
              <w:rPr>
                <w:rFonts w:ascii="Aptos" w:hAnsi="Aptos"/>
                <w:b w:val="0"/>
                <w:sz w:val="16"/>
              </w:rPr>
              <w:t>Evidence standards, verification, delegation and scope decisions</w:t>
            </w:r>
          </w:p>
        </w:tc>
      </w:tr>
      <w:tr>
        <w:tc>
          <w:tcPr>
            <w:tcW w:type="dxa" w:w="2880"/>
            <w:vAlign w:val="center"/>
          </w:tcPr>
          <w:p>
            <w:r/>
            <w:r>
              <w:rPr>
                <w:rFonts w:ascii="Aptos" w:hAnsi="Aptos"/>
                <w:b w:val="0"/>
                <w:sz w:val="16"/>
              </w:rPr>
              <w:t>Medical workforce</w:t>
            </w:r>
          </w:p>
        </w:tc>
        <w:tc>
          <w:tcPr>
            <w:tcW w:type="dxa" w:w="7488"/>
            <w:vAlign w:val="center"/>
          </w:tcPr>
          <w:p>
            <w:r/>
            <w:r>
              <w:rPr>
                <w:rFonts w:ascii="Aptos" w:hAnsi="Aptos"/>
                <w:b w:val="0"/>
                <w:sz w:val="16"/>
              </w:rPr>
              <w:t>Vacancy creation, matching, booking and roster integrity</w:t>
            </w:r>
          </w:p>
        </w:tc>
      </w:tr>
      <w:tr>
        <w:tc>
          <w:tcPr>
            <w:tcW w:type="dxa" w:w="2880"/>
            <w:vAlign w:val="center"/>
            <w:shd w:fill="F3F6FA"/>
          </w:tcPr>
          <w:p>
            <w:r/>
            <w:r>
              <w:rPr>
                <w:rFonts w:ascii="Aptos" w:hAnsi="Aptos"/>
                <w:b w:val="0"/>
                <w:sz w:val="16"/>
              </w:rPr>
              <w:t>Procurement</w:t>
            </w:r>
          </w:p>
        </w:tc>
        <w:tc>
          <w:tcPr>
            <w:tcW w:type="dxa" w:w="7488"/>
            <w:vAlign w:val="center"/>
            <w:shd w:fill="F3F6FA"/>
          </w:tcPr>
          <w:p>
            <w:r/>
            <w:r>
              <w:rPr>
                <w:rFonts w:ascii="Aptos" w:hAnsi="Aptos"/>
                <w:b w:val="0"/>
                <w:sz w:val="16"/>
              </w:rPr>
              <w:t>Panel eligibility, sourcing policy, exemptions and commercial controls</w:t>
            </w:r>
          </w:p>
        </w:tc>
      </w:tr>
      <w:tr>
        <w:tc>
          <w:tcPr>
            <w:tcW w:type="dxa" w:w="2880"/>
            <w:vAlign w:val="center"/>
          </w:tcPr>
          <w:p>
            <w:r/>
            <w:r>
              <w:rPr>
                <w:rFonts w:ascii="Aptos" w:hAnsi="Aptos"/>
                <w:b w:val="0"/>
                <w:sz w:val="16"/>
              </w:rPr>
              <w:t>Finance</w:t>
            </w:r>
          </w:p>
        </w:tc>
        <w:tc>
          <w:tcPr>
            <w:tcW w:type="dxa" w:w="7488"/>
            <w:vAlign w:val="center"/>
          </w:tcPr>
          <w:p>
            <w:r/>
            <w:r>
              <w:rPr>
                <w:rFonts w:ascii="Aptos" w:hAnsi="Aptos"/>
                <w:b w:val="0"/>
                <w:sz w:val="16"/>
              </w:rPr>
              <w:t>Rate, commission, timesheet and cost reconciliation</w:t>
            </w:r>
          </w:p>
        </w:tc>
      </w:tr>
      <w:tr>
        <w:tc>
          <w:tcPr>
            <w:tcW w:type="dxa" w:w="2880"/>
            <w:vAlign w:val="center"/>
            <w:shd w:fill="F3F6FA"/>
          </w:tcPr>
          <w:p>
            <w:r/>
            <w:r>
              <w:rPr>
                <w:rFonts w:ascii="Aptos" w:hAnsi="Aptos"/>
                <w:b w:val="0"/>
                <w:sz w:val="16"/>
              </w:rPr>
              <w:t>Privacy</w:t>
            </w:r>
          </w:p>
        </w:tc>
        <w:tc>
          <w:tcPr>
            <w:tcW w:type="dxa" w:w="7488"/>
            <w:vAlign w:val="center"/>
            <w:shd w:fill="F3F6FA"/>
          </w:tcPr>
          <w:p>
            <w:r/>
            <w:r>
              <w:rPr>
                <w:rFonts w:ascii="Aptos" w:hAnsi="Aptos"/>
                <w:b w:val="0"/>
                <w:sz w:val="16"/>
              </w:rPr>
              <w:t>Credential sharing, feedback confidentiality, consent and retention</w:t>
            </w:r>
          </w:p>
        </w:tc>
      </w:tr>
      <w:tr>
        <w:tc>
          <w:tcPr>
            <w:tcW w:type="dxa" w:w="2880"/>
            <w:vAlign w:val="center"/>
          </w:tcPr>
          <w:p>
            <w:r/>
            <w:r>
              <w:rPr>
                <w:rFonts w:ascii="Aptos" w:hAnsi="Aptos"/>
                <w:b w:val="0"/>
                <w:sz w:val="16"/>
              </w:rPr>
              <w:t>Cyber security</w:t>
            </w:r>
          </w:p>
        </w:tc>
        <w:tc>
          <w:tcPr>
            <w:tcW w:type="dxa" w:w="7488"/>
            <w:vAlign w:val="center"/>
          </w:tcPr>
          <w:p>
            <w:r/>
            <w:r>
              <w:rPr>
                <w:rFonts w:ascii="Aptos" w:hAnsi="Aptos"/>
                <w:b w:val="0"/>
                <w:sz w:val="16"/>
              </w:rPr>
              <w:t>Identity, access, encryption, monitoring and incident response</w:t>
            </w:r>
          </w:p>
        </w:tc>
      </w:tr>
      <w:tr>
        <w:tc>
          <w:tcPr>
            <w:tcW w:type="dxa" w:w="2880"/>
            <w:vAlign w:val="center"/>
            <w:shd w:fill="F3F6FA"/>
          </w:tcPr>
          <w:p>
            <w:r/>
            <w:r>
              <w:rPr>
                <w:rFonts w:ascii="Aptos" w:hAnsi="Aptos"/>
                <w:b w:val="0"/>
                <w:sz w:val="16"/>
              </w:rPr>
              <w:t>Digital/architecture</w:t>
            </w:r>
          </w:p>
        </w:tc>
        <w:tc>
          <w:tcPr>
            <w:tcW w:type="dxa" w:w="7488"/>
            <w:vAlign w:val="center"/>
            <w:shd w:fill="F3F6FA"/>
          </w:tcPr>
          <w:p>
            <w:r/>
            <w:r>
              <w:rPr>
                <w:rFonts w:ascii="Aptos" w:hAnsi="Aptos"/>
                <w:b w:val="0"/>
                <w:sz w:val="16"/>
              </w:rPr>
              <w:t>Interoperability, data model, integration and technical assurance</w:t>
            </w:r>
          </w:p>
        </w:tc>
      </w:tr>
      <w:tr>
        <w:tc>
          <w:tcPr>
            <w:tcW w:type="dxa" w:w="2880"/>
            <w:vAlign w:val="center"/>
          </w:tcPr>
          <w:p>
            <w:r/>
            <w:r>
              <w:rPr>
                <w:rFonts w:ascii="Aptos" w:hAnsi="Aptos"/>
                <w:b w:val="0"/>
                <w:sz w:val="16"/>
              </w:rPr>
              <w:t>Evaluation</w:t>
            </w:r>
          </w:p>
        </w:tc>
        <w:tc>
          <w:tcPr>
            <w:tcW w:type="dxa" w:w="7488"/>
            <w:vAlign w:val="center"/>
          </w:tcPr>
          <w:p>
            <w:r/>
            <w:r>
              <w:rPr>
                <w:rFonts w:ascii="Aptos" w:hAnsi="Aptos"/>
                <w:b w:val="0"/>
                <w:sz w:val="16"/>
              </w:rPr>
              <w:t>Baseline, KPIs, benefits, unintended consequences and stage gates</w:t>
            </w:r>
          </w:p>
        </w:tc>
      </w:tr>
    </w:tbl>
    <w:p/>
    <w:p>
      <w:pPr>
        <w:pStyle w:val="Heading1"/>
      </w:pPr>
      <w:r>
        <w:t>28. Operating model</w:t>
      </w:r>
    </w:p>
    <w:p>
      <w:r>
        <w:t>For the pilot, YNLHN should remain the operational owner of local workforce and scope decisions. The product team operates the platform, while credentialling, procurement and clinical governance accountabilities remain with their existing organisational owners. The future statewide/national operating model requires separate design, including ownership of the credential ontology, verification trust framework, standards stewardship, commercial model and data governance.</w:t>
      </w:r>
    </w:p>
    <w:p>
      <w:pPr>
        <w:pStyle w:val="Heading1"/>
      </w:pPr>
      <w:r>
        <w:t>29. Commercial model hypotheses</w:t>
      </w:r>
    </w:p>
    <w:p>
      <w:r>
        <w:t>Commercial design should not be locked before the YNLHN pilot generates evidence. Initial hypotheses are:</w:t>
      </w:r>
    </w:p>
    <w:p>
      <w:pPr>
        <w:pStyle w:val="ListBullet"/>
      </w:pPr>
      <w:r>
        <w:t>Credential Wallet and basic sharing free to practitioners to maximise adoption and portability.</w:t>
      </w:r>
    </w:p>
    <w:p>
      <w:pPr>
        <w:pStyle w:val="ListBullet"/>
      </w:pPr>
      <w:r>
        <w:t>Health service subscription/licence for workforce, credentialling, analytics and integration capabilities.</w:t>
      </w:r>
    </w:p>
    <w:p>
      <w:pPr>
        <w:pStyle w:val="ListBullet"/>
      </w:pPr>
      <w:r>
        <w:t>No platform transaction fee during YNLHN pilot.</w:t>
      </w:r>
    </w:p>
    <w:p>
      <w:pPr>
        <w:pStyle w:val="ListBullet"/>
      </w:pPr>
      <w:r>
        <w:t>Future direct-engagement transaction model only if it creates demonstrable value and aligns with public-sector procurement.</w:t>
      </w:r>
    </w:p>
    <w:p>
      <w:pPr>
        <w:pStyle w:val="ListBullet"/>
      </w:pPr>
      <w:r>
        <w:t>Agency participation initially supports existing panel arrangements rather than disintermediation.</w:t>
      </w:r>
    </w:p>
    <w:p>
      <w:pPr>
        <w:pStyle w:val="ListBullet"/>
      </w:pPr>
      <w:r>
        <w:t>Long-term national credential infrastructure may warrant a public/private partnership or nationally governed standards layer distinct from the commercial workforce exchange.</w:t>
      </w:r>
    </w:p>
    <w:p>
      <w:pPr>
        <w:pStyle w:val="Heading1"/>
      </w:pPr>
      <w:r>
        <w:t>30. Required discovery before pilot approval</w:t>
      </w:r>
    </w:p>
    <w:p>
      <w:pPr>
        <w:pStyle w:val="ListBullet"/>
      </w:pPr>
      <w:r>
        <w:t>Map current YNLHN locum vacancy, agency, booking and timesheet workflows end to end.</w:t>
      </w:r>
    </w:p>
    <w:p>
      <w:pPr>
        <w:pStyle w:val="ListBullet"/>
      </w:pPr>
      <w:r>
        <w:t>Confirm current SA Health panel rules, eligible agencies, protected processes and exemption pathways.</w:t>
      </w:r>
    </w:p>
    <w:p>
      <w:pPr>
        <w:pStyle w:val="ListBullet"/>
      </w:pPr>
      <w:r>
        <w:t>Establish current locum numbers, shifts, spend, agency commission arrangements and fill performance.</w:t>
      </w:r>
    </w:p>
    <w:p>
      <w:pPr>
        <w:pStyle w:val="ListBullet"/>
      </w:pPr>
      <w:r>
        <w:t>Map YNLHN credential data sources, role/scope representation and data quality.</w:t>
      </w:r>
    </w:p>
    <w:p>
      <w:pPr>
        <w:pStyle w:val="ListBullet"/>
      </w:pPr>
      <w:r>
        <w:t>Interview locum doctors about credential pain points, sharing needs, privacy expectations and preferred feedback model.</w:t>
      </w:r>
    </w:p>
    <w:p>
      <w:pPr>
        <w:pStyle w:val="ListBullet"/>
      </w:pPr>
      <w:r>
        <w:t>Interview Medical Workforce, credentialling, finance, procurement, digital health and site clinical leaders.</w:t>
      </w:r>
    </w:p>
    <w:p>
      <w:pPr>
        <w:pStyle w:val="ListBullet"/>
      </w:pPr>
      <w:r>
        <w:t>Undertake Privacy Impact Assessment scoping and cyber/security classification.</w:t>
      </w:r>
    </w:p>
    <w:p>
      <w:pPr>
        <w:pStyle w:val="ListBullet"/>
      </w:pPr>
      <w:r>
        <w:t>Confirm industrial, employment, taxation and contractor implications of future direct engagement.</w:t>
      </w:r>
    </w:p>
    <w:p>
      <w:pPr>
        <w:pStyle w:val="ListBullet"/>
      </w:pPr>
      <w:r>
        <w:t>Define pilot sites and role cohorts, proposed initially as Port Pirie and Wallaroo ED workforce subject to local confirmation.</w:t>
      </w:r>
    </w:p>
    <w:p>
      <w:pPr>
        <w:pStyle w:val="ListBullet"/>
      </w:pPr>
      <w:r>
        <w:t>Define governance sponsor, product owner, clinical safety lead and evaluation lead.</w:t>
      </w:r>
    </w:p>
    <w:p>
      <w:pPr>
        <w:pStyle w:val="Heading1"/>
      </w:pPr>
      <w:r>
        <w:t>31. Stage 1 minimum viable product acceptance criteria</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17365D"/>
          </w:tcPr>
          <w:p>
            <w:r/>
            <w:r>
              <w:rPr>
                <w:rFonts w:ascii="Aptos" w:hAnsi="Aptos"/>
                <w:b/>
                <w:color w:val="FFFFFF"/>
                <w:sz w:val="17"/>
              </w:rPr>
              <w:t>Capability</w:t>
            </w:r>
          </w:p>
        </w:tc>
        <w:tc>
          <w:tcPr>
            <w:tcW w:type="dxa" w:w="8208"/>
            <w:vAlign w:val="center"/>
            <w:shd w:fill="17365D"/>
          </w:tcPr>
          <w:p>
            <w:r/>
            <w:r>
              <w:rPr>
                <w:rFonts w:ascii="Aptos" w:hAnsi="Aptos"/>
                <w:b/>
                <w:color w:val="FFFFFF"/>
                <w:sz w:val="17"/>
              </w:rPr>
              <w:t>Acceptance criterion</w:t>
            </w:r>
          </w:p>
        </w:tc>
      </w:tr>
      <w:tr>
        <w:tc>
          <w:tcPr>
            <w:tcW w:type="dxa" w:w="2160"/>
            <w:vAlign w:val="center"/>
          </w:tcPr>
          <w:p>
            <w:r/>
            <w:r>
              <w:rPr>
                <w:rFonts w:ascii="Aptos" w:hAnsi="Aptos"/>
                <w:b w:val="0"/>
                <w:sz w:val="16"/>
              </w:rPr>
              <w:t>Passport</w:t>
            </w:r>
          </w:p>
        </w:tc>
        <w:tc>
          <w:tcPr>
            <w:tcW w:type="dxa" w:w="8208"/>
            <w:vAlign w:val="center"/>
          </w:tcPr>
          <w:p>
            <w:r/>
            <w:r>
              <w:rPr>
                <w:rFonts w:ascii="Aptos" w:hAnsi="Aptos"/>
                <w:b w:val="0"/>
                <w:sz w:val="16"/>
              </w:rPr>
              <w:t>Invited doctor can claim a profile securely and YNLHN can link the correct existing practitioner record.</w:t>
            </w:r>
          </w:p>
        </w:tc>
      </w:tr>
      <w:tr>
        <w:tc>
          <w:tcPr>
            <w:tcW w:type="dxa" w:w="2160"/>
            <w:vAlign w:val="center"/>
            <w:shd w:fill="F3F6FA"/>
          </w:tcPr>
          <w:p>
            <w:r/>
            <w:r>
              <w:rPr>
                <w:rFonts w:ascii="Aptos" w:hAnsi="Aptos"/>
                <w:b w:val="0"/>
                <w:sz w:val="16"/>
              </w:rPr>
              <w:t>Wallet</w:t>
            </w:r>
          </w:p>
        </w:tc>
        <w:tc>
          <w:tcPr>
            <w:tcW w:type="dxa" w:w="8208"/>
            <w:vAlign w:val="center"/>
            <w:shd w:fill="F3F6FA"/>
          </w:tcPr>
          <w:p>
            <w:r/>
            <w:r>
              <w:rPr>
                <w:rFonts w:ascii="Aptos" w:hAnsi="Aptos"/>
                <w:b w:val="0"/>
                <w:sz w:val="16"/>
              </w:rPr>
              <w:t>Doctor can create structured credentials, upload evidence, track expiry and distinguish assurance status.</w:t>
            </w:r>
          </w:p>
        </w:tc>
      </w:tr>
      <w:tr>
        <w:tc>
          <w:tcPr>
            <w:tcW w:type="dxa" w:w="2160"/>
            <w:vAlign w:val="center"/>
          </w:tcPr>
          <w:p>
            <w:r/>
            <w:r>
              <w:rPr>
                <w:rFonts w:ascii="Aptos" w:hAnsi="Aptos"/>
                <w:b w:val="0"/>
                <w:sz w:val="16"/>
              </w:rPr>
              <w:t>Sharing</w:t>
            </w:r>
          </w:p>
        </w:tc>
        <w:tc>
          <w:tcPr>
            <w:tcW w:type="dxa" w:w="8208"/>
            <w:vAlign w:val="center"/>
          </w:tcPr>
          <w:p>
            <w:r/>
            <w:r>
              <w:rPr>
                <w:rFonts w:ascii="Aptos" w:hAnsi="Aptos"/>
                <w:b w:val="0"/>
                <w:sz w:val="16"/>
              </w:rPr>
              <w:t>Doctor can create a bundle and share it securely with a non-user, view access and revoke access.</w:t>
            </w:r>
          </w:p>
        </w:tc>
      </w:tr>
      <w:tr>
        <w:tc>
          <w:tcPr>
            <w:tcW w:type="dxa" w:w="2160"/>
            <w:vAlign w:val="center"/>
            <w:shd w:fill="F3F6FA"/>
          </w:tcPr>
          <w:p>
            <w:r/>
            <w:r>
              <w:rPr>
                <w:rFonts w:ascii="Aptos" w:hAnsi="Aptos"/>
                <w:b w:val="0"/>
                <w:sz w:val="16"/>
              </w:rPr>
              <w:t>YNLHN linkage</w:t>
            </w:r>
          </w:p>
        </w:tc>
        <w:tc>
          <w:tcPr>
            <w:tcW w:type="dxa" w:w="8208"/>
            <w:vAlign w:val="center"/>
            <w:shd w:fill="F3F6FA"/>
          </w:tcPr>
          <w:p>
            <w:r/>
            <w:r>
              <w:rPr>
                <w:rFonts w:ascii="Aptos" w:hAnsi="Aptos"/>
                <w:b w:val="0"/>
                <w:sz w:val="16"/>
              </w:rPr>
              <w:t>Doctor can see YNLHN-recognised role/site scope without the platform independently granting it.</w:t>
            </w:r>
          </w:p>
        </w:tc>
      </w:tr>
      <w:tr>
        <w:tc>
          <w:tcPr>
            <w:tcW w:type="dxa" w:w="2160"/>
            <w:vAlign w:val="center"/>
          </w:tcPr>
          <w:p>
            <w:r/>
            <w:r>
              <w:rPr>
                <w:rFonts w:ascii="Aptos" w:hAnsi="Aptos"/>
                <w:b w:val="0"/>
                <w:sz w:val="16"/>
              </w:rPr>
              <w:t>Experience</w:t>
            </w:r>
          </w:p>
        </w:tc>
        <w:tc>
          <w:tcPr>
            <w:tcW w:type="dxa" w:w="8208"/>
            <w:vAlign w:val="center"/>
          </w:tcPr>
          <w:p>
            <w:r/>
            <w:r>
              <w:rPr>
                <w:rFonts w:ascii="Aptos" w:hAnsi="Aptos"/>
                <w:b w:val="0"/>
                <w:sz w:val="16"/>
              </w:rPr>
              <w:t>Completed shift can trigger confidential survey and site reporting respects anonymity threshold.</w:t>
            </w:r>
          </w:p>
        </w:tc>
      </w:tr>
      <w:tr>
        <w:tc>
          <w:tcPr>
            <w:tcW w:type="dxa" w:w="2160"/>
            <w:vAlign w:val="center"/>
            <w:shd w:fill="F3F6FA"/>
          </w:tcPr>
          <w:p>
            <w:r/>
            <w:r>
              <w:rPr>
                <w:rFonts w:ascii="Aptos" w:hAnsi="Aptos"/>
                <w:b w:val="0"/>
                <w:sz w:val="16"/>
              </w:rPr>
              <w:t>Vacancy</w:t>
            </w:r>
          </w:p>
        </w:tc>
        <w:tc>
          <w:tcPr>
            <w:tcW w:type="dxa" w:w="8208"/>
            <w:vAlign w:val="center"/>
            <w:shd w:fill="F3F6FA"/>
          </w:tcPr>
          <w:p>
            <w:r/>
            <w:r>
              <w:rPr>
                <w:rFonts w:ascii="Aptos" w:hAnsi="Aptos"/>
                <w:b w:val="0"/>
                <w:sz w:val="16"/>
              </w:rPr>
              <w:t>Authorised user can create and publish a structured vacancy.</w:t>
            </w:r>
          </w:p>
        </w:tc>
      </w:tr>
      <w:tr>
        <w:tc>
          <w:tcPr>
            <w:tcW w:type="dxa" w:w="2160"/>
            <w:vAlign w:val="center"/>
          </w:tcPr>
          <w:p>
            <w:r/>
            <w:r>
              <w:rPr>
                <w:rFonts w:ascii="Aptos" w:hAnsi="Aptos"/>
                <w:b w:val="0"/>
                <w:sz w:val="16"/>
              </w:rPr>
              <w:t>Sourcing</w:t>
            </w:r>
          </w:p>
        </w:tc>
        <w:tc>
          <w:tcPr>
            <w:tcW w:type="dxa" w:w="8208"/>
            <w:vAlign w:val="center"/>
          </w:tcPr>
          <w:p>
            <w:r/>
            <w:r>
              <w:rPr>
                <w:rFonts w:ascii="Aptos" w:hAnsi="Aptos"/>
                <w:b w:val="0"/>
                <w:sz w:val="16"/>
              </w:rPr>
              <w:t>Configured panel-agency tier is enforced before any permitted direct release.</w:t>
            </w:r>
          </w:p>
        </w:tc>
      </w:tr>
      <w:tr>
        <w:tc>
          <w:tcPr>
            <w:tcW w:type="dxa" w:w="2160"/>
            <w:vAlign w:val="center"/>
            <w:shd w:fill="F3F6FA"/>
          </w:tcPr>
          <w:p>
            <w:r/>
            <w:r>
              <w:rPr>
                <w:rFonts w:ascii="Aptos" w:hAnsi="Aptos"/>
                <w:b w:val="0"/>
                <w:sz w:val="16"/>
              </w:rPr>
              <w:t>Agency</w:t>
            </w:r>
          </w:p>
        </w:tc>
        <w:tc>
          <w:tcPr>
            <w:tcW w:type="dxa" w:w="8208"/>
            <w:vAlign w:val="center"/>
            <w:shd w:fill="F3F6FA"/>
          </w:tcPr>
          <w:p>
            <w:r/>
            <w:r>
              <w:rPr>
                <w:rFonts w:ascii="Aptos" w:hAnsi="Aptos"/>
                <w:b w:val="0"/>
                <w:sz w:val="16"/>
              </w:rPr>
              <w:t>Eligible agency can view vacancy and propose a doctor; commercial terms remain private.</w:t>
            </w:r>
          </w:p>
        </w:tc>
      </w:tr>
      <w:tr>
        <w:tc>
          <w:tcPr>
            <w:tcW w:type="dxa" w:w="2160"/>
            <w:vAlign w:val="center"/>
          </w:tcPr>
          <w:p>
            <w:r/>
            <w:r>
              <w:rPr>
                <w:rFonts w:ascii="Aptos" w:hAnsi="Aptos"/>
                <w:b w:val="0"/>
                <w:sz w:val="16"/>
              </w:rPr>
              <w:t>Booking</w:t>
            </w:r>
          </w:p>
        </w:tc>
        <w:tc>
          <w:tcPr>
            <w:tcW w:type="dxa" w:w="8208"/>
            <w:vAlign w:val="center"/>
          </w:tcPr>
          <w:p>
            <w:r/>
            <w:r>
              <w:rPr>
                <w:rFonts w:ascii="Aptos" w:hAnsi="Aptos"/>
                <w:b w:val="0"/>
                <w:sz w:val="16"/>
              </w:rPr>
              <w:t>Medical Workforce can confirm a compliant booking with audit trail.</w:t>
            </w:r>
          </w:p>
        </w:tc>
      </w:tr>
      <w:tr>
        <w:tc>
          <w:tcPr>
            <w:tcW w:type="dxa" w:w="2160"/>
            <w:vAlign w:val="center"/>
            <w:shd w:fill="F3F6FA"/>
          </w:tcPr>
          <w:p>
            <w:r/>
            <w:r>
              <w:rPr>
                <w:rFonts w:ascii="Aptos" w:hAnsi="Aptos"/>
                <w:b w:val="0"/>
                <w:sz w:val="16"/>
              </w:rPr>
              <w:t>Timesheet</w:t>
            </w:r>
          </w:p>
        </w:tc>
        <w:tc>
          <w:tcPr>
            <w:tcW w:type="dxa" w:w="8208"/>
            <w:vAlign w:val="center"/>
            <w:shd w:fill="F3F6FA"/>
          </w:tcPr>
          <w:p>
            <w:r/>
            <w:r>
              <w:rPr>
                <w:rFonts w:ascii="Aptos" w:hAnsi="Aptos"/>
                <w:b w:val="0"/>
                <w:sz w:val="16"/>
              </w:rPr>
              <w:t>Doctor can submit and a non-user approver can securely approve/amend/reject.</w:t>
            </w:r>
          </w:p>
        </w:tc>
      </w:tr>
      <w:tr>
        <w:tc>
          <w:tcPr>
            <w:tcW w:type="dxa" w:w="2160"/>
            <w:vAlign w:val="center"/>
          </w:tcPr>
          <w:p>
            <w:r/>
            <w:r>
              <w:rPr>
                <w:rFonts w:ascii="Aptos" w:hAnsi="Aptos"/>
                <w:b w:val="0"/>
                <w:sz w:val="16"/>
              </w:rPr>
              <w:t>Analytics</w:t>
            </w:r>
          </w:p>
        </w:tc>
        <w:tc>
          <w:tcPr>
            <w:tcW w:type="dxa" w:w="8208"/>
            <w:vAlign w:val="center"/>
          </w:tcPr>
          <w:p>
            <w:r/>
            <w:r>
              <w:rPr>
                <w:rFonts w:ascii="Aptos" w:hAnsi="Aptos"/>
                <w:b w:val="0"/>
                <w:sz w:val="16"/>
              </w:rPr>
              <w:t>YNLHN can report vacancy, fill, agency, cost, experience and return metrics.</w:t>
            </w:r>
          </w:p>
        </w:tc>
      </w:tr>
      <w:tr>
        <w:tc>
          <w:tcPr>
            <w:tcW w:type="dxa" w:w="2160"/>
            <w:vAlign w:val="center"/>
            <w:shd w:fill="F3F6FA"/>
          </w:tcPr>
          <w:p>
            <w:r/>
            <w:r>
              <w:rPr>
                <w:rFonts w:ascii="Aptos" w:hAnsi="Aptos"/>
                <w:b w:val="0"/>
                <w:sz w:val="16"/>
              </w:rPr>
              <w:t>Audit</w:t>
            </w:r>
          </w:p>
        </w:tc>
        <w:tc>
          <w:tcPr>
            <w:tcW w:type="dxa" w:w="8208"/>
            <w:vAlign w:val="center"/>
            <w:shd w:fill="F3F6FA"/>
          </w:tcPr>
          <w:p>
            <w:r/>
            <w:r>
              <w:rPr>
                <w:rFonts w:ascii="Aptos" w:hAnsi="Aptos"/>
                <w:b w:val="0"/>
                <w:sz w:val="16"/>
              </w:rPr>
              <w:t>All significant credential, share, sourcing, booking and timesheet events are auditable.</w:t>
            </w:r>
          </w:p>
        </w:tc>
      </w:tr>
    </w:tbl>
    <w:p/>
    <w:p>
      <w:pPr>
        <w:pStyle w:val="Heading1"/>
      </w:pPr>
      <w:r>
        <w:t>32. Documents to derive from this specification</w:t>
      </w:r>
    </w:p>
    <w:tbl>
      <w:tblPr>
        <w:tblStyle w:val="TableGrid"/>
        <w:tblW w:type="auto" w:w="0"/>
        <w:jc w:val="center"/>
        <w:tblLook w:firstColumn="1" w:firstRow="1" w:lastColumn="0" w:lastRow="0" w:noHBand="0" w:noVBand="1" w:val="04A0"/>
      </w:tblPr>
      <w:tblGrid>
        <w:gridCol w:w="3360"/>
        <w:gridCol w:w="3360"/>
        <w:gridCol w:w="3360"/>
      </w:tblGrid>
      <w:tr>
        <w:tc>
          <w:tcPr>
            <w:tcW w:type="dxa" w:w="3456"/>
            <w:vAlign w:val="center"/>
            <w:shd w:fill="17365D"/>
          </w:tcPr>
          <w:p>
            <w:r/>
            <w:r>
              <w:rPr>
                <w:rFonts w:ascii="Aptos" w:hAnsi="Aptos"/>
                <w:b/>
                <w:color w:val="FFFFFF"/>
                <w:sz w:val="17"/>
              </w:rPr>
              <w:t>Document</w:t>
            </w:r>
          </w:p>
        </w:tc>
        <w:tc>
          <w:tcPr>
            <w:tcW w:type="dxa" w:w="3312"/>
            <w:vAlign w:val="center"/>
            <w:shd w:fill="17365D"/>
          </w:tcPr>
          <w:p>
            <w:r/>
            <w:r>
              <w:rPr>
                <w:rFonts w:ascii="Aptos" w:hAnsi="Aptos"/>
                <w:b/>
                <w:color w:val="FFFFFF"/>
                <w:sz w:val="17"/>
              </w:rPr>
              <w:t>Primary audience</w:t>
            </w:r>
          </w:p>
        </w:tc>
        <w:tc>
          <w:tcPr>
            <w:tcW w:type="dxa" w:w="3600"/>
            <w:vAlign w:val="center"/>
            <w:shd w:fill="17365D"/>
          </w:tcPr>
          <w:p>
            <w:r/>
            <w:r>
              <w:rPr>
                <w:rFonts w:ascii="Aptos" w:hAnsi="Aptos"/>
                <w:b/>
                <w:color w:val="FFFFFF"/>
                <w:sz w:val="17"/>
              </w:rPr>
              <w:t>Purpose</w:t>
            </w:r>
          </w:p>
        </w:tc>
      </w:tr>
      <w:tr>
        <w:tc>
          <w:tcPr>
            <w:tcW w:type="dxa" w:w="3456"/>
            <w:vAlign w:val="center"/>
          </w:tcPr>
          <w:p>
            <w:r/>
            <w:r>
              <w:rPr>
                <w:rFonts w:ascii="Aptos" w:hAnsi="Aptos"/>
                <w:b w:val="0"/>
                <w:sz w:val="16"/>
              </w:rPr>
              <w:t>YNLHN Pilot Business Case</w:t>
            </w:r>
          </w:p>
        </w:tc>
        <w:tc>
          <w:tcPr>
            <w:tcW w:type="dxa" w:w="3312"/>
            <w:vAlign w:val="center"/>
          </w:tcPr>
          <w:p>
            <w:r/>
            <w:r>
              <w:rPr>
                <w:rFonts w:ascii="Aptos" w:hAnsi="Aptos"/>
                <w:b w:val="0"/>
                <w:sz w:val="16"/>
              </w:rPr>
              <w:t>YNLHN CE/ELT, Finance, Workforce, Procurement, Digital, Clinical Governance</w:t>
            </w:r>
          </w:p>
        </w:tc>
        <w:tc>
          <w:tcPr>
            <w:tcW w:type="dxa" w:w="3600"/>
            <w:vAlign w:val="center"/>
          </w:tcPr>
          <w:p>
            <w:r/>
            <w:r>
              <w:rPr>
                <w:rFonts w:ascii="Aptos" w:hAnsi="Aptos"/>
                <w:b w:val="0"/>
                <w:sz w:val="16"/>
              </w:rPr>
              <w:t>Why YNLHN should pilot the programme</w:t>
            </w:r>
          </w:p>
        </w:tc>
      </w:tr>
      <w:tr>
        <w:tc>
          <w:tcPr>
            <w:tcW w:type="dxa" w:w="3456"/>
            <w:vAlign w:val="center"/>
            <w:shd w:fill="F3F6FA"/>
          </w:tcPr>
          <w:p>
            <w:r/>
            <w:r>
              <w:rPr>
                <w:rFonts w:ascii="Aptos" w:hAnsi="Aptos"/>
                <w:b w:val="0"/>
                <w:sz w:val="16"/>
              </w:rPr>
              <w:t>YNLHN Implementation &amp; Evaluation Plan</w:t>
            </w:r>
          </w:p>
        </w:tc>
        <w:tc>
          <w:tcPr>
            <w:tcW w:type="dxa" w:w="3312"/>
            <w:vAlign w:val="center"/>
            <w:shd w:fill="F3F6FA"/>
          </w:tcPr>
          <w:p>
            <w:r/>
            <w:r>
              <w:rPr>
                <w:rFonts w:ascii="Aptos" w:hAnsi="Aptos"/>
                <w:b w:val="0"/>
                <w:sz w:val="16"/>
              </w:rPr>
              <w:t>Pilot steering group and operational teams</w:t>
            </w:r>
          </w:p>
        </w:tc>
        <w:tc>
          <w:tcPr>
            <w:tcW w:type="dxa" w:w="3600"/>
            <w:vAlign w:val="center"/>
            <w:shd w:fill="F3F6FA"/>
          </w:tcPr>
          <w:p>
            <w:r/>
            <w:r>
              <w:rPr>
                <w:rFonts w:ascii="Aptos" w:hAnsi="Aptos"/>
                <w:b w:val="0"/>
                <w:sz w:val="16"/>
              </w:rPr>
              <w:t>How the pilot will be governed, implemented and evaluated</w:t>
            </w:r>
          </w:p>
        </w:tc>
      </w:tr>
      <w:tr>
        <w:tc>
          <w:tcPr>
            <w:tcW w:type="dxa" w:w="3456"/>
            <w:vAlign w:val="center"/>
          </w:tcPr>
          <w:p>
            <w:r/>
            <w:r>
              <w:rPr>
                <w:rFonts w:ascii="Aptos" w:hAnsi="Aptos"/>
                <w:b w:val="0"/>
                <w:sz w:val="16"/>
              </w:rPr>
              <w:t>SA Health Statewide Business Case</w:t>
            </w:r>
          </w:p>
        </w:tc>
        <w:tc>
          <w:tcPr>
            <w:tcW w:type="dxa" w:w="3312"/>
            <w:vAlign w:val="center"/>
          </w:tcPr>
          <w:p>
            <w:r/>
            <w:r>
              <w:rPr>
                <w:rFonts w:ascii="Aptos" w:hAnsi="Aptos"/>
                <w:b w:val="0"/>
                <w:sz w:val="16"/>
              </w:rPr>
              <w:t>Department and LHN executives</w:t>
            </w:r>
          </w:p>
        </w:tc>
        <w:tc>
          <w:tcPr>
            <w:tcW w:type="dxa" w:w="3600"/>
            <w:vAlign w:val="center"/>
          </w:tcPr>
          <w:p>
            <w:r/>
            <w:r>
              <w:rPr>
                <w:rFonts w:ascii="Aptos" w:hAnsi="Aptos"/>
                <w:b w:val="0"/>
                <w:sz w:val="16"/>
              </w:rPr>
              <w:t>Statewide workforce, credential and procurement value</w:t>
            </w:r>
          </w:p>
        </w:tc>
      </w:tr>
      <w:tr>
        <w:tc>
          <w:tcPr>
            <w:tcW w:type="dxa" w:w="3456"/>
            <w:vAlign w:val="center"/>
            <w:shd w:fill="F3F6FA"/>
          </w:tcPr>
          <w:p>
            <w:r/>
            <w:r>
              <w:rPr>
                <w:rFonts w:ascii="Aptos" w:hAnsi="Aptos"/>
                <w:b w:val="0"/>
                <w:sz w:val="16"/>
              </w:rPr>
              <w:t>Commonwealth Ministerial Proposal</w:t>
            </w:r>
          </w:p>
        </w:tc>
        <w:tc>
          <w:tcPr>
            <w:tcW w:type="dxa" w:w="3312"/>
            <w:vAlign w:val="center"/>
            <w:shd w:fill="F3F6FA"/>
          </w:tcPr>
          <w:p>
            <w:r/>
            <w:r>
              <w:rPr>
                <w:rFonts w:ascii="Aptos" w:hAnsi="Aptos"/>
                <w:b w:val="0"/>
                <w:sz w:val="16"/>
              </w:rPr>
              <w:t>Federal Minister / Department of Health, Disability and Ageing</w:t>
            </w:r>
          </w:p>
        </w:tc>
        <w:tc>
          <w:tcPr>
            <w:tcW w:type="dxa" w:w="3600"/>
            <w:vAlign w:val="center"/>
            <w:shd w:fill="F3F6FA"/>
          </w:tcPr>
          <w:p>
            <w:r/>
            <w:r>
              <w:rPr>
                <w:rFonts w:ascii="Aptos" w:hAnsi="Aptos"/>
                <w:b w:val="0"/>
                <w:sz w:val="16"/>
              </w:rPr>
              <w:t>National workforce mobility and rural workforce proposition</w:t>
            </w:r>
          </w:p>
        </w:tc>
      </w:tr>
      <w:tr>
        <w:tc>
          <w:tcPr>
            <w:tcW w:type="dxa" w:w="3456"/>
            <w:vAlign w:val="center"/>
          </w:tcPr>
          <w:p>
            <w:r/>
            <w:r>
              <w:rPr>
                <w:rFonts w:ascii="Aptos" w:hAnsi="Aptos"/>
                <w:b w:val="0"/>
                <w:sz w:val="16"/>
              </w:rPr>
              <w:t>ADHA Partnership Proposal</w:t>
            </w:r>
          </w:p>
        </w:tc>
        <w:tc>
          <w:tcPr>
            <w:tcW w:type="dxa" w:w="3312"/>
            <w:vAlign w:val="center"/>
          </w:tcPr>
          <w:p>
            <w:r/>
            <w:r>
              <w:rPr>
                <w:rFonts w:ascii="Aptos" w:hAnsi="Aptos"/>
                <w:b w:val="0"/>
                <w:sz w:val="16"/>
              </w:rPr>
              <w:t>Australian Digital Health Agency</w:t>
            </w:r>
          </w:p>
        </w:tc>
        <w:tc>
          <w:tcPr>
            <w:tcW w:type="dxa" w:w="3600"/>
            <w:vAlign w:val="center"/>
          </w:tcPr>
          <w:p>
            <w:r/>
            <w:r>
              <w:rPr>
                <w:rFonts w:ascii="Aptos" w:hAnsi="Aptos"/>
                <w:b w:val="0"/>
                <w:sz w:val="16"/>
              </w:rPr>
              <w:t>Identity, standards and credential interoperability partnership</w:t>
            </w:r>
          </w:p>
        </w:tc>
      </w:tr>
      <w:tr>
        <w:tc>
          <w:tcPr>
            <w:tcW w:type="dxa" w:w="3456"/>
            <w:vAlign w:val="center"/>
            <w:shd w:fill="F3F6FA"/>
          </w:tcPr>
          <w:p>
            <w:r/>
            <w:r>
              <w:rPr>
                <w:rFonts w:ascii="Aptos" w:hAnsi="Aptos"/>
                <w:b w:val="0"/>
                <w:sz w:val="16"/>
              </w:rPr>
              <w:t>Technical Product Requirements Specification</w:t>
            </w:r>
          </w:p>
        </w:tc>
        <w:tc>
          <w:tcPr>
            <w:tcW w:type="dxa" w:w="3312"/>
            <w:vAlign w:val="center"/>
            <w:shd w:fill="F3F6FA"/>
          </w:tcPr>
          <w:p>
            <w:r/>
            <w:r>
              <w:rPr>
                <w:rFonts w:ascii="Aptos" w:hAnsi="Aptos"/>
                <w:b w:val="0"/>
                <w:sz w:val="16"/>
              </w:rPr>
              <w:t>Product/engineering/security teams</w:t>
            </w:r>
          </w:p>
        </w:tc>
        <w:tc>
          <w:tcPr>
            <w:tcW w:type="dxa" w:w="3600"/>
            <w:vAlign w:val="center"/>
            <w:shd w:fill="F3F6FA"/>
          </w:tcPr>
          <w:p>
            <w:r/>
            <w:r>
              <w:rPr>
                <w:rFonts w:ascii="Aptos" w:hAnsi="Aptos"/>
                <w:b w:val="0"/>
                <w:sz w:val="16"/>
              </w:rPr>
              <w:t>Buildable screen, API, data, permission and acceptance requirements</w:t>
            </w:r>
          </w:p>
        </w:tc>
      </w:tr>
    </w:tbl>
    <w:p/>
    <w:p>
      <w:pPr>
        <w:pStyle w:val="Heading1"/>
      </w:pPr>
      <w:r>
        <w:t>33. Decisions intentionally deferred</w:t>
      </w:r>
    </w:p>
    <w:p>
      <w:pPr>
        <w:pStyle w:val="ListBullet"/>
      </w:pPr>
      <w:r>
        <w:t>Final product/brand name</w:t>
      </w:r>
    </w:p>
    <w:p>
      <w:pPr>
        <w:pStyle w:val="ListBullet"/>
      </w:pPr>
      <w:r>
        <w:t>Commercial ownership and corporate structure</w:t>
      </w:r>
    </w:p>
    <w:p>
      <w:pPr>
        <w:pStyle w:val="ListBullet"/>
      </w:pPr>
      <w:r>
        <w:t>Native app versus long-term PWA strategy</w:t>
      </w:r>
    </w:p>
    <w:p>
      <w:pPr>
        <w:pStyle w:val="ListBullet"/>
      </w:pPr>
      <w:r>
        <w:t>Exact agency protected-window timings</w:t>
      </w:r>
    </w:p>
    <w:p>
      <w:pPr>
        <w:pStyle w:val="ListBullet"/>
      </w:pPr>
      <w:r>
        <w:t>Exact direct-engagement commercial model</w:t>
      </w:r>
    </w:p>
    <w:p>
      <w:pPr>
        <w:pStyle w:val="ListBullet"/>
      </w:pPr>
      <w:r>
        <w:t>National credential ontology owner</w:t>
      </w:r>
    </w:p>
    <w:p>
      <w:pPr>
        <w:pStyle w:val="ListBullet"/>
      </w:pPr>
      <w:r>
        <w:t>Whether verified credentials become digitally signed/verifiable credentials</w:t>
      </w:r>
    </w:p>
    <w:p>
      <w:pPr>
        <w:pStyle w:val="ListBullet"/>
      </w:pPr>
      <w:r>
        <w:t>Use of AI for document extraction or credential assessment</w:t>
      </w:r>
    </w:p>
    <w:p>
      <w:pPr>
        <w:pStyle w:val="ListBullet"/>
      </w:pPr>
      <w:r>
        <w:t>Public visibility, if any, of aggregated hospital experience scores</w:t>
      </w:r>
    </w:p>
    <w:p>
      <w:pPr>
        <w:pStyle w:val="ListBullet"/>
      </w:pPr>
      <w:r>
        <w:t>Expansion to nursing, midwifery or allied health</w:t>
      </w:r>
    </w:p>
    <w:p>
      <w:pPr>
        <w:pStyle w:val="Heading1"/>
      </w:pPr>
      <w:r>
        <w:t>34. Recommended immediate next steps</w:t>
      </w:r>
    </w:p>
    <w:p>
      <w:pPr>
        <w:pStyle w:val="ListNumber"/>
      </w:pPr>
      <w:r>
        <w:t>Validate this master specification with YNLHN Medical Workforce, credentialling, procurement, finance, digital health and clinical governance.</w:t>
      </w:r>
    </w:p>
    <w:p>
      <w:pPr>
        <w:pStyle w:val="ListNumber"/>
      </w:pPr>
      <w:r>
        <w:t>Undertake 5–10 structured interviews with current YNLHN locum doctors focused on credential reuse, vacancy discovery, timesheets and feedback trust.</w:t>
      </w:r>
    </w:p>
    <w:p>
      <w:pPr>
        <w:pStyle w:val="ListNumber"/>
      </w:pPr>
      <w:r>
        <w:t>Confirm the exact SA Health agency-panel cascade and commercial data that can be held/displayed.</w:t>
      </w:r>
    </w:p>
    <w:p>
      <w:pPr>
        <w:pStyle w:val="ListNumber"/>
      </w:pPr>
      <w:r>
        <w:t>Build the YNLHN baseline dataset: locum cohort, sites, roles, shifts, fill times, agency, commission, cancellations and return.</w:t>
      </w:r>
    </w:p>
    <w:p>
      <w:pPr>
        <w:pStyle w:val="ListNumber"/>
      </w:pPr>
      <w:r>
        <w:t>Develop the YNLHN Pilot Business Case using the validated scope and baseline.</w:t>
      </w:r>
    </w:p>
    <w:p>
      <w:pPr>
        <w:pStyle w:val="ListNumber"/>
      </w:pPr>
      <w:r>
        <w:t>In parallel, produce the Stage 1 technical product requirements and clickable UX prototype after business-case scope is stable.</w:t>
      </w:r>
    </w:p>
    <w:p>
      <w:pPr>
        <w:pStyle w:val="Heading1"/>
      </w:pPr>
      <w:r>
        <w:t>Appendix A. Conceptual end-to-end workflows</w:t>
      </w:r>
    </w:p>
    <w:p>
      <w:pPr>
        <w:pStyle w:val="Heading2"/>
      </w:pPr>
      <w:r>
        <w:t>A1. Doctor credential workflow</w:t>
      </w:r>
    </w:p>
    <w:p>
      <w:r>
        <w:t>Join → claim profile → add credential → attach evidence → set expiry → organisation verifies where applicable → bundle → share → recipient views → doctor revokes/expires access → credential updated when required.</w:t>
      </w:r>
    </w:p>
    <w:p>
      <w:pPr>
        <w:pStyle w:val="Heading2"/>
      </w:pPr>
      <w:r>
        <w:t>A2. Vacancy workflow</w:t>
      </w:r>
    </w:p>
    <w:p>
      <w:r>
        <w:t>Create vacancy → determine applicable sourcing policy → internal/panel tier → agency proposals → protected period expires if unfilled → permitted direct pool → doctor request → Medical Workforce confirmation → booking → shift briefing → shift worked.</w:t>
      </w:r>
    </w:p>
    <w:p>
      <w:pPr>
        <w:pStyle w:val="Heading2"/>
      </w:pPr>
      <w:r>
        <w:t>A3. Timesheet workflow</w:t>
      </w:r>
    </w:p>
    <w:p>
      <w:r>
        <w:t>Booked shift → doctor enters actual hours → secure approval request → approver authenticates → approve/amend/reject → audit → export/reconciliation.</w:t>
      </w:r>
    </w:p>
    <w:p>
      <w:pPr>
        <w:pStyle w:val="Heading2"/>
      </w:pPr>
      <w:r>
        <w:t>A4. Experience workflow</w:t>
      </w:r>
    </w:p>
    <w:p>
      <w:r>
        <w:t>Completed shift → confidential survey → safety-routing check → aggregation threshold → site dashboard → improvement action → 'You said / We did' communication → future return behaviour measured.</w:t>
      </w:r>
    </w:p>
    <w:p>
      <w:pPr>
        <w:pStyle w:val="Heading1"/>
      </w:pPr>
      <w:r>
        <w:t>Appendix B. Example practitioner credential pack</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456"/>
            <w:vAlign w:val="center"/>
            <w:shd w:fill="17365D"/>
          </w:tcPr>
          <w:p>
            <w:r/>
            <w:r>
              <w:rPr>
                <w:rFonts w:ascii="Aptos" w:hAnsi="Aptos"/>
                <w:b/>
                <w:color w:val="FFFFFF"/>
                <w:sz w:val="17"/>
              </w:rPr>
              <w:t>Credential</w:t>
            </w:r>
          </w:p>
        </w:tc>
        <w:tc>
          <w:tcPr>
            <w:tcW w:type="dxa" w:w="1728"/>
            <w:vAlign w:val="center"/>
            <w:shd w:fill="17365D"/>
          </w:tcPr>
          <w:p>
            <w:r/>
            <w:r>
              <w:rPr>
                <w:rFonts w:ascii="Aptos" w:hAnsi="Aptos"/>
                <w:b/>
                <w:color w:val="FFFFFF"/>
                <w:sz w:val="17"/>
              </w:rPr>
              <w:t>Status</w:t>
            </w:r>
          </w:p>
        </w:tc>
        <w:tc>
          <w:tcPr>
            <w:tcW w:type="dxa" w:w="3312"/>
            <w:vAlign w:val="center"/>
            <w:shd w:fill="17365D"/>
          </w:tcPr>
          <w:p>
            <w:r/>
            <w:r>
              <w:rPr>
                <w:rFonts w:ascii="Aptos" w:hAnsi="Aptos"/>
                <w:b/>
                <w:color w:val="FFFFFF"/>
                <w:sz w:val="17"/>
              </w:rPr>
              <w:t>Assurance</w:t>
            </w:r>
          </w:p>
        </w:tc>
        <w:tc>
          <w:tcPr>
            <w:tcW w:type="dxa" w:w="1872"/>
            <w:vAlign w:val="center"/>
            <w:shd w:fill="17365D"/>
          </w:tcPr>
          <w:p>
            <w:r/>
            <w:r>
              <w:rPr>
                <w:rFonts w:ascii="Aptos" w:hAnsi="Aptos"/>
                <w:b/>
                <w:color w:val="FFFFFF"/>
                <w:sz w:val="17"/>
              </w:rPr>
              <w:t>Expiry</w:t>
            </w:r>
          </w:p>
        </w:tc>
      </w:tr>
      <w:tr>
        <w:tc>
          <w:tcPr>
            <w:tcW w:type="dxa" w:w="3456"/>
            <w:vAlign w:val="center"/>
          </w:tcPr>
          <w:p>
            <w:r/>
            <w:r>
              <w:rPr>
                <w:rFonts w:ascii="Aptos" w:hAnsi="Aptos"/>
                <w:b w:val="0"/>
                <w:sz w:val="16"/>
              </w:rPr>
              <w:t>Ahpra medical registration</w:t>
            </w:r>
          </w:p>
        </w:tc>
        <w:tc>
          <w:tcPr>
            <w:tcW w:type="dxa" w:w="1728"/>
            <w:vAlign w:val="center"/>
          </w:tcPr>
          <w:p>
            <w:r/>
            <w:r>
              <w:rPr>
                <w:rFonts w:ascii="Aptos" w:hAnsi="Aptos"/>
                <w:b w:val="0"/>
                <w:sz w:val="16"/>
              </w:rPr>
              <w:t>Current</w:t>
            </w:r>
          </w:p>
        </w:tc>
        <w:tc>
          <w:tcPr>
            <w:tcW w:type="dxa" w:w="3312"/>
            <w:vAlign w:val="center"/>
          </w:tcPr>
          <w:p>
            <w:r/>
            <w:r>
              <w:rPr>
                <w:rFonts w:ascii="Aptos" w:hAnsi="Aptos"/>
                <w:b w:val="0"/>
                <w:sz w:val="16"/>
              </w:rPr>
              <w:t>Primary-source verified (future integration)</w:t>
            </w:r>
          </w:p>
        </w:tc>
        <w:tc>
          <w:tcPr>
            <w:tcW w:type="dxa" w:w="1872"/>
            <w:vAlign w:val="center"/>
          </w:tcPr>
          <w:p>
            <w:r/>
            <w:r>
              <w:rPr>
                <w:rFonts w:ascii="Aptos" w:hAnsi="Aptos"/>
                <w:b w:val="0"/>
                <w:sz w:val="16"/>
              </w:rPr>
              <w:t>30 Sep 2027</w:t>
            </w:r>
          </w:p>
        </w:tc>
      </w:tr>
      <w:tr>
        <w:tc>
          <w:tcPr>
            <w:tcW w:type="dxa" w:w="3456"/>
            <w:vAlign w:val="center"/>
            <w:shd w:fill="F3F6FA"/>
          </w:tcPr>
          <w:p>
            <w:r/>
            <w:r>
              <w:rPr>
                <w:rFonts w:ascii="Aptos" w:hAnsi="Aptos"/>
                <w:b w:val="0"/>
                <w:sz w:val="16"/>
              </w:rPr>
              <w:t>FACEM</w:t>
            </w:r>
          </w:p>
        </w:tc>
        <w:tc>
          <w:tcPr>
            <w:tcW w:type="dxa" w:w="1728"/>
            <w:vAlign w:val="center"/>
            <w:shd w:fill="F3F6FA"/>
          </w:tcPr>
          <w:p>
            <w:r/>
            <w:r>
              <w:rPr>
                <w:rFonts w:ascii="Aptos" w:hAnsi="Aptos"/>
                <w:b w:val="0"/>
                <w:sz w:val="16"/>
              </w:rPr>
              <w:t>Current</w:t>
            </w:r>
          </w:p>
        </w:tc>
        <w:tc>
          <w:tcPr>
            <w:tcW w:type="dxa" w:w="3312"/>
            <w:vAlign w:val="center"/>
            <w:shd w:fill="F3F6FA"/>
          </w:tcPr>
          <w:p>
            <w:r/>
            <w:r>
              <w:rPr>
                <w:rFonts w:ascii="Aptos" w:hAnsi="Aptos"/>
                <w:b w:val="0"/>
                <w:sz w:val="16"/>
              </w:rPr>
              <w:t>Organisation verified</w:t>
            </w:r>
          </w:p>
        </w:tc>
        <w:tc>
          <w:tcPr>
            <w:tcW w:type="dxa" w:w="1872"/>
            <w:vAlign w:val="center"/>
            <w:shd w:fill="F3F6FA"/>
          </w:tcPr>
          <w:p>
            <w:r/>
            <w:r>
              <w:rPr>
                <w:rFonts w:ascii="Aptos" w:hAnsi="Aptos"/>
                <w:b w:val="0"/>
                <w:sz w:val="16"/>
              </w:rPr>
              <w:t>No expiry</w:t>
            </w:r>
          </w:p>
        </w:tc>
      </w:tr>
      <w:tr>
        <w:tc>
          <w:tcPr>
            <w:tcW w:type="dxa" w:w="3456"/>
            <w:vAlign w:val="center"/>
          </w:tcPr>
          <w:p>
            <w:r/>
            <w:r>
              <w:rPr>
                <w:rFonts w:ascii="Aptos" w:hAnsi="Aptos"/>
                <w:b w:val="0"/>
                <w:sz w:val="16"/>
              </w:rPr>
              <w:t>ALS2</w:t>
            </w:r>
          </w:p>
        </w:tc>
        <w:tc>
          <w:tcPr>
            <w:tcW w:type="dxa" w:w="1728"/>
            <w:vAlign w:val="center"/>
          </w:tcPr>
          <w:p>
            <w:r/>
            <w:r>
              <w:rPr>
                <w:rFonts w:ascii="Aptos" w:hAnsi="Aptos"/>
                <w:b w:val="0"/>
                <w:sz w:val="16"/>
              </w:rPr>
              <w:t>Current</w:t>
            </w:r>
          </w:p>
        </w:tc>
        <w:tc>
          <w:tcPr>
            <w:tcW w:type="dxa" w:w="3312"/>
            <w:vAlign w:val="center"/>
          </w:tcPr>
          <w:p>
            <w:r/>
            <w:r>
              <w:rPr>
                <w:rFonts w:ascii="Aptos" w:hAnsi="Aptos"/>
                <w:b w:val="0"/>
                <w:sz w:val="16"/>
              </w:rPr>
              <w:t>Organisation verified</w:t>
            </w:r>
          </w:p>
        </w:tc>
        <w:tc>
          <w:tcPr>
            <w:tcW w:type="dxa" w:w="1872"/>
            <w:vAlign w:val="center"/>
          </w:tcPr>
          <w:p>
            <w:r/>
            <w:r>
              <w:rPr>
                <w:rFonts w:ascii="Aptos" w:hAnsi="Aptos"/>
                <w:b w:val="0"/>
                <w:sz w:val="16"/>
              </w:rPr>
              <w:t>14 Mar 2028</w:t>
            </w:r>
          </w:p>
        </w:tc>
      </w:tr>
      <w:tr>
        <w:tc>
          <w:tcPr>
            <w:tcW w:type="dxa" w:w="3456"/>
            <w:vAlign w:val="center"/>
            <w:shd w:fill="F3F6FA"/>
          </w:tcPr>
          <w:p>
            <w:r/>
            <w:r>
              <w:rPr>
                <w:rFonts w:ascii="Aptos" w:hAnsi="Aptos"/>
                <w:b w:val="0"/>
                <w:sz w:val="16"/>
              </w:rPr>
              <w:t>National Police Check</w:t>
            </w:r>
          </w:p>
        </w:tc>
        <w:tc>
          <w:tcPr>
            <w:tcW w:type="dxa" w:w="1728"/>
            <w:vAlign w:val="center"/>
            <w:shd w:fill="F3F6FA"/>
          </w:tcPr>
          <w:p>
            <w:r/>
            <w:r>
              <w:rPr>
                <w:rFonts w:ascii="Aptos" w:hAnsi="Aptos"/>
                <w:b w:val="0"/>
                <w:sz w:val="16"/>
              </w:rPr>
              <w:t>Current</w:t>
            </w:r>
          </w:p>
        </w:tc>
        <w:tc>
          <w:tcPr>
            <w:tcW w:type="dxa" w:w="3312"/>
            <w:vAlign w:val="center"/>
            <w:shd w:fill="F3F6FA"/>
          </w:tcPr>
          <w:p>
            <w:r/>
            <w:r>
              <w:rPr>
                <w:rFonts w:ascii="Aptos" w:hAnsi="Aptos"/>
                <w:b w:val="0"/>
                <w:sz w:val="16"/>
              </w:rPr>
              <w:t>Self-supplied / pending verification</w:t>
            </w:r>
          </w:p>
        </w:tc>
        <w:tc>
          <w:tcPr>
            <w:tcW w:type="dxa" w:w="1872"/>
            <w:vAlign w:val="center"/>
            <w:shd w:fill="F3F6FA"/>
          </w:tcPr>
          <w:p>
            <w:r/>
            <w:r>
              <w:rPr>
                <w:rFonts w:ascii="Aptos" w:hAnsi="Aptos"/>
                <w:b w:val="0"/>
                <w:sz w:val="16"/>
              </w:rPr>
              <w:t>12 Jan 2027</w:t>
            </w:r>
          </w:p>
        </w:tc>
      </w:tr>
      <w:tr>
        <w:tc>
          <w:tcPr>
            <w:tcW w:type="dxa" w:w="3456"/>
            <w:vAlign w:val="center"/>
          </w:tcPr>
          <w:p>
            <w:r/>
            <w:r>
              <w:rPr>
                <w:rFonts w:ascii="Aptos" w:hAnsi="Aptos"/>
                <w:b w:val="0"/>
                <w:sz w:val="16"/>
              </w:rPr>
              <w:t>YNLHN ED Senior SoCP</w:t>
            </w:r>
          </w:p>
        </w:tc>
        <w:tc>
          <w:tcPr>
            <w:tcW w:type="dxa" w:w="1728"/>
            <w:vAlign w:val="center"/>
          </w:tcPr>
          <w:p>
            <w:r/>
            <w:r>
              <w:rPr>
                <w:rFonts w:ascii="Aptos" w:hAnsi="Aptos"/>
                <w:b w:val="0"/>
                <w:sz w:val="16"/>
              </w:rPr>
              <w:t>Current</w:t>
            </w:r>
          </w:p>
        </w:tc>
        <w:tc>
          <w:tcPr>
            <w:tcW w:type="dxa" w:w="3312"/>
            <w:vAlign w:val="center"/>
          </w:tcPr>
          <w:p>
            <w:r/>
            <w:r>
              <w:rPr>
                <w:rFonts w:ascii="Aptos" w:hAnsi="Aptos"/>
                <w:b w:val="0"/>
                <w:sz w:val="16"/>
              </w:rPr>
              <w:t>YNLHN-issued attestation</w:t>
            </w:r>
          </w:p>
        </w:tc>
        <w:tc>
          <w:tcPr>
            <w:tcW w:type="dxa" w:w="1872"/>
            <w:vAlign w:val="center"/>
          </w:tcPr>
          <w:p>
            <w:r/>
            <w:r>
              <w:rPr>
                <w:rFonts w:ascii="Aptos" w:hAnsi="Aptos"/>
                <w:b w:val="0"/>
                <w:sz w:val="16"/>
              </w:rPr>
              <w:t>30 Jun 2027</w:t>
            </w:r>
          </w:p>
        </w:tc>
      </w:tr>
    </w:tbl>
    <w:p/>
    <w:p>
      <w:pPr>
        <w:pStyle w:val="Heading1"/>
      </w:pPr>
      <w:r>
        <w:t>Appendix C. References and policy anchors</w:t>
      </w:r>
    </w:p>
    <w:p>
      <w:r>
        <w:t>1. SA Health. Use of Locums Policy, Version 1.0, approval date 16 September 2025. https://www.sahealth.sa.gov.au/</w:t>
      </w:r>
    </w:p>
    <w:p>
      <w:r>
        <w:t>2. Australian Commission on Safety and Quality in Health Care. Credentialing and defining scope of practice - guidance for health services and clinicians. May 2026. https://www.safetyandquality.gov.au/</w:t>
      </w:r>
    </w:p>
    <w:p>
      <w:r>
        <w:t>3. Australian Digital Health Agency. Healthcare identifiers. Current web guidance accessed September 2026. https://www.digitalhealth.gov.au/</w:t>
      </w:r>
    </w:p>
    <w:p>
      <w:r>
        <w:t>4. Australian Digital Health Agency. National Healthcare Identifiers Roadmap 2023–2028. https://www.digitalhealth.gov.au/</w:t>
      </w:r>
    </w:p>
    <w:p>
      <w:r>
        <w:t>5. Australian Digital Health Agency. Connecting Australian Healthcare - National Healthcare Interoperability Plan 2023–2028. https://www.digitalhealth.gov.au/</w:t>
      </w:r>
    </w:p>
    <w:p>
      <w:r>
        <w:t>6. Australian Digital Health Agency. Provider Connect Australia. Current web guidance accessed September 2026. https://www.digitalhealth.gov.au/</w:t>
      </w:r>
    </w:p>
    <w:p>
      <w:pPr>
        <w:pStyle w:val="Heading1"/>
      </w:pPr>
      <w:r>
        <w:t>Appendix D. Version history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152"/>
            <w:vAlign w:val="center"/>
            <w:shd w:fill="17365D"/>
          </w:tcPr>
          <w:p>
            <w:r/>
            <w:r>
              <w:rPr>
                <w:rFonts w:ascii="Aptos" w:hAnsi="Aptos"/>
                <w:b/>
                <w:color w:val="FFFFFF"/>
                <w:sz w:val="17"/>
              </w:rPr>
              <w:t>Version</w:t>
            </w:r>
          </w:p>
        </w:tc>
        <w:tc>
          <w:tcPr>
            <w:tcW w:type="dxa" w:w="1728"/>
            <w:vAlign w:val="center"/>
            <w:shd w:fill="17365D"/>
          </w:tcPr>
          <w:p>
            <w:r/>
            <w:r>
              <w:rPr>
                <w:rFonts w:ascii="Aptos" w:hAnsi="Aptos"/>
                <w:b/>
                <w:color w:val="FFFFFF"/>
                <w:sz w:val="17"/>
              </w:rPr>
              <w:t>Date</w:t>
            </w:r>
          </w:p>
        </w:tc>
        <w:tc>
          <w:tcPr>
            <w:tcW w:type="dxa" w:w="1440"/>
            <w:vAlign w:val="center"/>
            <w:shd w:fill="17365D"/>
          </w:tcPr>
          <w:p>
            <w:r/>
            <w:r>
              <w:rPr>
                <w:rFonts w:ascii="Aptos" w:hAnsi="Aptos"/>
                <w:b/>
                <w:color w:val="FFFFFF"/>
                <w:sz w:val="17"/>
              </w:rPr>
              <w:t>Status</w:t>
            </w:r>
          </w:p>
        </w:tc>
        <w:tc>
          <w:tcPr>
            <w:tcW w:type="dxa" w:w="6048"/>
            <w:vAlign w:val="center"/>
            <w:shd w:fill="17365D"/>
          </w:tcPr>
          <w:p>
            <w:r/>
            <w:r>
              <w:rPr>
                <w:rFonts w:ascii="Aptos" w:hAnsi="Aptos"/>
                <w:b/>
                <w:color w:val="FFFFFF"/>
                <w:sz w:val="17"/>
              </w:rPr>
              <w:t>Key changes</w:t>
            </w:r>
          </w:p>
        </w:tc>
      </w:tr>
      <w:tr>
        <w:tc>
          <w:tcPr>
            <w:tcW w:type="dxa" w:w="1152"/>
            <w:vAlign w:val="center"/>
          </w:tcPr>
          <w:p>
            <w:r/>
            <w:r>
              <w:rPr>
                <w:rFonts w:ascii="Aptos" w:hAnsi="Aptos"/>
                <w:b w:val="0"/>
                <w:sz w:val="16"/>
              </w:rPr>
              <w:t>0.1</w:t>
            </w:r>
          </w:p>
        </w:tc>
        <w:tc>
          <w:tcPr>
            <w:tcW w:type="dxa" w:w="1728"/>
            <w:vAlign w:val="center"/>
          </w:tcPr>
          <w:p>
            <w:r/>
            <w:r>
              <w:rPr>
                <w:rFonts w:ascii="Aptos" w:hAnsi="Aptos"/>
                <w:b w:val="0"/>
                <w:sz w:val="16"/>
              </w:rPr>
              <w:t>26 September 2026</w:t>
            </w:r>
          </w:p>
        </w:tc>
        <w:tc>
          <w:tcPr>
            <w:tcW w:type="dxa" w:w="1440"/>
            <w:vAlign w:val="center"/>
          </w:tcPr>
          <w:p>
            <w:r/>
            <w:r>
              <w:rPr>
                <w:rFonts w:ascii="Aptos" w:hAnsi="Aptos"/>
                <w:b w:val="0"/>
                <w:sz w:val="16"/>
              </w:rPr>
              <w:t>Draft</w:t>
            </w:r>
          </w:p>
        </w:tc>
        <w:tc>
          <w:tcPr>
            <w:tcW w:type="dxa" w:w="6048"/>
            <w:vAlign w:val="center"/>
          </w:tcPr>
          <w:p>
            <w:r/>
            <w:r>
              <w:rPr>
                <w:rFonts w:ascii="Aptos" w:hAnsi="Aptos"/>
                <w:b w:val="0"/>
                <w:sz w:val="16"/>
              </w:rPr>
              <w:t>Initial master specification. Credential Wallet moved to Stage 1; Locum Experience included from Day 1; agency-first SA Health panel sourcing and variable commission model incorporated.</w:t>
            </w:r>
          </w:p>
        </w:tc>
      </w:tr>
    </w:tbl>
    <w:p/>
    <w:p>
      <w:r>
        <w:br w:type="page"/>
      </w:r>
    </w:p>
    <w:p>
      <w:pPr>
        <w:pStyle w:val="Heading1"/>
      </w:pPr>
      <w:r>
        <w:t>Future opportunity map and platform boundary</w:t>
      </w:r>
    </w:p>
    <w:p>
      <w:r>
        <w:t>The platform is intentionally designed as more than a locum marketplace. Its long-term strategic role is a clinical workforce trust and mobilisation layer. The following opportunities are now explicit design horizons, while the MVP remains tightly bounded.</w:t>
      </w:r>
    </w:p>
    <w:tbl>
      <w:tblPr>
        <w:tblStyle w:val="TableGrid"/>
        <w:tblW w:type="auto" w:w="0"/>
        <w:tblLook w:firstColumn="1" w:firstRow="1" w:lastColumn="0" w:lastRow="0" w:noHBand="0" w:noVBand="1" w:val="04A0"/>
      </w:tblPr>
      <w:tblGrid>
        <w:gridCol w:w="5040"/>
        <w:gridCol w:w="5040"/>
      </w:tblGrid>
      <w:tr>
        <w:tc>
          <w:tcPr>
            <w:tcW w:type="dxa" w:w="5040"/>
            <w:shd w:fill="17365D"/>
          </w:tcPr>
          <w:p>
            <w:r/>
            <w:r>
              <w:rPr>
                <w:b/>
                <w:color w:val="FFFFFF"/>
                <w:sz w:val="16"/>
              </w:rPr>
              <w:t>Opportunity</w:t>
            </w:r>
          </w:p>
        </w:tc>
        <w:tc>
          <w:tcPr>
            <w:tcW w:type="dxa" w:w="5040"/>
            <w:shd w:fill="17365D"/>
          </w:tcPr>
          <w:p>
            <w:r/>
            <w:r>
              <w:rPr>
                <w:b/>
                <w:color w:val="FFFFFF"/>
                <w:sz w:val="16"/>
              </w:rPr>
              <w:t>Strategic implication</w:t>
            </w:r>
          </w:p>
        </w:tc>
      </w:tr>
      <w:tr>
        <w:tc>
          <w:tcPr>
            <w:tcW w:type="dxa" w:w="5040"/>
          </w:tcPr>
          <w:p>
            <w:r>
              <w:rPr>
                <w:sz w:val="15"/>
              </w:rPr>
              <w:t>Workforce Trust Network</w:t>
            </w:r>
          </w:p>
        </w:tc>
        <w:tc>
          <w:tcPr>
            <w:tcW w:type="dxa" w:w="5040"/>
          </w:tcPr>
          <w:p>
            <w:r>
              <w:rPr>
                <w:sz w:val="15"/>
              </w:rPr>
              <w:t>Turn each verified credential into a reusable, provenance-rich trust assertion. A receiving organisation can see who verified what, how, when, against which source and policy, then make its own trust decision rather than repeating work blindly.</w:t>
            </w:r>
          </w:p>
        </w:tc>
      </w:tr>
      <w:tr>
        <w:tc>
          <w:tcPr>
            <w:tcW w:type="dxa" w:w="5040"/>
            <w:shd w:fill="F4F7FA"/>
          </w:tcPr>
          <w:p>
            <w:r>
              <w:rPr>
                <w:sz w:val="15"/>
              </w:rPr>
              <w:t>Federated Scope of Practice Registry</w:t>
            </w:r>
          </w:p>
        </w:tc>
        <w:tc>
          <w:tcPr>
            <w:tcW w:type="dxa" w:w="5040"/>
            <w:shd w:fill="F4F7FA"/>
          </w:tcPr>
          <w:p>
            <w:r>
              <w:rPr>
                <w:sz w:val="15"/>
              </w:rPr>
              <w:t>Represent organisation-issued ScopeGrants in a consistent interoperable form across facilities and health services. The registry federates local authority rather than creating national automatic scope portability.</w:t>
            </w:r>
          </w:p>
        </w:tc>
      </w:tr>
      <w:tr>
        <w:tc>
          <w:tcPr>
            <w:tcW w:type="dxa" w:w="5040"/>
          </w:tcPr>
          <w:p>
            <w:r>
              <w:rPr>
                <w:sz w:val="15"/>
              </w:rPr>
              <w:t>Machine-enforceable scope</w:t>
            </w:r>
          </w:p>
        </w:tc>
        <w:tc>
          <w:tcPr>
            <w:tcW w:type="dxa" w:w="5040"/>
          </w:tcPr>
          <w:p>
            <w:r>
              <w:rPr>
                <w:sz w:val="15"/>
              </w:rPr>
              <w:t>Make current ScopeGrant status available to downstream systems so future integrations can support access reviews, procedural privileges, prescribing controls, theatre workflows and other clinical-governance safeguards.</w:t>
            </w:r>
          </w:p>
        </w:tc>
      </w:tr>
      <w:tr>
        <w:tc>
          <w:tcPr>
            <w:tcW w:type="dxa" w:w="5040"/>
            <w:shd w:fill="F4F7FA"/>
          </w:tcPr>
          <w:p>
            <w:r>
              <w:rPr>
                <w:sz w:val="15"/>
              </w:rPr>
              <w:t>Reusable onboarding passport</w:t>
            </w:r>
          </w:p>
        </w:tc>
        <w:tc>
          <w:tcPr>
            <w:tcW w:type="dxa" w:w="5040"/>
            <w:shd w:fill="F4F7FA"/>
          </w:tcPr>
          <w:p>
            <w:r>
              <w:rPr>
                <w:sz w:val="15"/>
              </w:rPr>
              <w:t>Extend the doctor-owned passport beyond clinical credentials to reusable employment and onboarding information such as mandatory training, occupational requirements and other repeatable administrative evidence, while preserving organisation-specific decisions.</w:t>
            </w:r>
          </w:p>
        </w:tc>
      </w:tr>
      <w:tr>
        <w:tc>
          <w:tcPr>
            <w:tcW w:type="dxa" w:w="5040"/>
          </w:tcPr>
          <w:p>
            <w:r>
              <w:rPr>
                <w:sz w:val="15"/>
              </w:rPr>
              <w:t>Workforce digital twin</w:t>
            </w:r>
          </w:p>
        </w:tc>
        <w:tc>
          <w:tcPr>
            <w:tcW w:type="dxa" w:w="5040"/>
          </w:tcPr>
          <w:p>
            <w:r>
              <w:rPr>
                <w:sz w:val="15"/>
              </w:rPr>
              <w:t>Combine structured vacancies, eligibility, scope, availability, preferences and sourcing data to show the real deployable workforce for a site, service, role and time period.</w:t>
            </w:r>
          </w:p>
        </w:tc>
      </w:tr>
      <w:tr>
        <w:tc>
          <w:tcPr>
            <w:tcW w:type="dxa" w:w="5040"/>
            <w:shd w:fill="F4F7FA"/>
          </w:tcPr>
          <w:p>
            <w:r>
              <w:rPr>
                <w:sz w:val="15"/>
              </w:rPr>
              <w:t>Predictive shortage management</w:t>
            </w:r>
          </w:p>
        </w:tc>
        <w:tc>
          <w:tcPr>
            <w:tcW w:type="dxa" w:w="5040"/>
            <w:shd w:fill="F4F7FA"/>
          </w:tcPr>
          <w:p>
            <w:r>
              <w:rPr>
                <w:sz w:val="15"/>
              </w:rPr>
              <w:t>Use longitudinal vacancy, fill, cancellation, availability and eligibility data to forecast workforce gaps early. Predictive analytics may support planning, but must not replace deterministic clinical eligibility or scope decisions.</w:t>
            </w:r>
          </w:p>
        </w:tc>
      </w:tr>
      <w:tr>
        <w:tc>
          <w:tcPr>
            <w:tcW w:type="dxa" w:w="5040"/>
          </w:tcPr>
          <w:p>
            <w:r>
              <w:rPr>
                <w:sz w:val="15"/>
              </w:rPr>
              <w:t>Rural workforce laboratory</w:t>
            </w:r>
          </w:p>
        </w:tc>
        <w:tc>
          <w:tcPr>
            <w:tcW w:type="dxa" w:w="5040"/>
          </w:tcPr>
          <w:p>
            <w:r>
              <w:rPr>
                <w:sz w:val="15"/>
              </w:rPr>
              <w:t>Link clinician experience, culture, support, accommodation, workload, rates and actual return behaviour to identify modifiable drivers of rural attraction and retention and evaluate interventions.</w:t>
            </w:r>
          </w:p>
        </w:tc>
      </w:tr>
      <w:tr>
        <w:tc>
          <w:tcPr>
            <w:tcW w:type="dxa" w:w="5040"/>
            <w:shd w:fill="F4F7FA"/>
          </w:tcPr>
          <w:p>
            <w:r>
              <w:rPr>
                <w:sz w:val="15"/>
              </w:rPr>
              <w:t>Emergency workforce mobilisation</w:t>
            </w:r>
          </w:p>
        </w:tc>
        <w:tc>
          <w:tcPr>
            <w:tcW w:type="dxa" w:w="5040"/>
            <w:shd w:fill="F4F7FA"/>
          </w:tcPr>
          <w:p>
            <w:r>
              <w:rPr>
                <w:sz w:val="15"/>
              </w:rPr>
              <w:t>Provide a controlled mechanism to identify clinicians who are currently eligible, available and willing to deploy during surge, disaster, pandemic or sudden service failure.</w:t>
            </w:r>
          </w:p>
        </w:tc>
      </w:tr>
      <w:tr>
        <w:tc>
          <w:tcPr>
            <w:tcW w:type="dxa" w:w="5040"/>
          </w:tcPr>
          <w:p>
            <w:r>
              <w:rPr>
                <w:sz w:val="15"/>
              </w:rPr>
              <w:t>Multi-professional extensibility</w:t>
            </w:r>
          </w:p>
        </w:tc>
        <w:tc>
          <w:tcPr>
            <w:tcW w:type="dxa" w:w="5040"/>
          </w:tcPr>
          <w:p>
            <w:r>
              <w:rPr>
                <w:sz w:val="15"/>
              </w:rPr>
              <w:t>Keep the canonical architecture profession-agnostic so the same trust and mobilisation pattern can later support nursing, midwifery, pharmacy, allied health and other regulated workforces, while the initial product remains deliberately medical.</w:t>
            </w:r>
          </w:p>
        </w:tc>
      </w:tr>
      <w:tr>
        <w:tc>
          <w:tcPr>
            <w:tcW w:type="dxa" w:w="5040"/>
            <w:shd w:fill="F4F7FA"/>
          </w:tcPr>
          <w:p>
            <w:r>
              <w:rPr>
                <w:sz w:val="15"/>
              </w:rPr>
              <w:t>Longitudinal Clinical Professional Passport</w:t>
            </w:r>
          </w:p>
        </w:tc>
        <w:tc>
          <w:tcPr>
            <w:tcW w:type="dxa" w:w="5040"/>
            <w:shd w:fill="F4F7FA"/>
          </w:tcPr>
          <w:p>
            <w:r>
              <w:rPr>
                <w:sz w:val="15"/>
              </w:rPr>
              <w:t>Architect for a future doctor-owned professional record incorporating verified work history, procedural activity, CPD, supervision, training, references and competency evidence, without expanding the YNLHN MVP into those domains now.</w:t>
            </w:r>
          </w:p>
        </w:tc>
      </w:tr>
    </w:tbl>
    <w:p/>
    <w:p>
      <w:pPr>
        <w:pStyle w:val="Heading2"/>
      </w:pPr>
      <w:r>
        <w:t>Platform boundary and sequencing</w:t>
      </w:r>
    </w:p>
    <w:tbl>
      <w:tblPr>
        <w:tblStyle w:val="TableGrid"/>
        <w:tblW w:type="auto" w:w="0"/>
        <w:tblLook w:firstColumn="1" w:firstRow="1" w:lastColumn="0" w:lastRow="0" w:noHBand="0" w:noVBand="1" w:val="04A0"/>
      </w:tblPr>
      <w:tblGrid>
        <w:gridCol w:w="5040"/>
        <w:gridCol w:w="5040"/>
      </w:tblGrid>
      <w:tr>
        <w:tc>
          <w:tcPr>
            <w:tcW w:type="dxa" w:w="5040"/>
            <w:shd w:fill="17365D"/>
          </w:tcPr>
          <w:p>
            <w:r/>
            <w:r>
              <w:rPr>
                <w:b/>
                <w:color w:val="FFFFFF"/>
                <w:sz w:val="16"/>
              </w:rPr>
              <w:t>Horizon</w:t>
            </w:r>
          </w:p>
        </w:tc>
        <w:tc>
          <w:tcPr>
            <w:tcW w:type="dxa" w:w="5040"/>
            <w:shd w:fill="17365D"/>
          </w:tcPr>
          <w:p>
            <w:r/>
            <w:r>
              <w:rPr>
                <w:b/>
                <w:color w:val="FFFFFF"/>
                <w:sz w:val="16"/>
              </w:rPr>
              <w:t>Position</w:t>
            </w:r>
          </w:p>
        </w:tc>
      </w:tr>
      <w:tr>
        <w:tc>
          <w:tcPr>
            <w:tcW w:type="dxa" w:w="5040"/>
          </w:tcPr>
          <w:p>
            <w:r>
              <w:rPr>
                <w:sz w:val="15"/>
              </w:rPr>
              <w:t>BUILD NOW</w:t>
            </w:r>
          </w:p>
        </w:tc>
        <w:tc>
          <w:tcPr>
            <w:tcW w:type="dxa" w:w="5040"/>
          </w:tcPr>
          <w:p>
            <w:r>
              <w:rPr>
                <w:sz w:val="15"/>
              </w:rPr>
              <w:t>Doctor credential wallet and expiry tracking; reusable credential sharing; YNLHN scope visibility; deterministic eligibility; vacancy workflow; approved-agency sourcing; booking/timesheets; clinician experience and culture feedback; auditable data foundation.</w:t>
            </w:r>
          </w:p>
        </w:tc>
      </w:tr>
      <w:tr>
        <w:tc>
          <w:tcPr>
            <w:tcW w:type="dxa" w:w="5040"/>
            <w:shd w:fill="F4F7FA"/>
          </w:tcPr>
          <w:p>
            <w:r>
              <w:rPr>
                <w:sz w:val="15"/>
              </w:rPr>
              <w:t>ARCHITECT FOR</w:t>
            </w:r>
          </w:p>
        </w:tc>
        <w:tc>
          <w:tcPr>
            <w:tcW w:type="dxa" w:w="5040"/>
            <w:shd w:fill="F4F7FA"/>
          </w:tcPr>
          <w:p>
            <w:r>
              <w:rPr>
                <w:sz w:val="15"/>
              </w:rPr>
              <w:t>Trust assertions and provenance; federated ScopeGrant exchange; reusable onboarding data; digital-twin analytics; emergency mobilisation; profession-agnostic identifiers and credential definitions; longitudinal professional record; downstream scope events.</w:t>
            </w:r>
          </w:p>
        </w:tc>
      </w:tr>
      <w:tr>
        <w:tc>
          <w:tcPr>
            <w:tcW w:type="dxa" w:w="5040"/>
          </w:tcPr>
          <w:p>
            <w:r>
              <w:rPr>
                <w:sz w:val="15"/>
              </w:rPr>
              <w:t>INVESTIGATE / PILOT LATER</w:t>
            </w:r>
          </w:p>
        </w:tc>
        <w:tc>
          <w:tcPr>
            <w:tcW w:type="dxa" w:w="5040"/>
          </w:tcPr>
          <w:p>
            <w:r>
              <w:rPr>
                <w:sz w:val="15"/>
              </w:rPr>
              <w:t>Cross-LHN verification reuse; national FHIR patterns; predictive shortage models; direct authoritative-source credential feeds; clinical-system enforcement of scope; multi-professional pilots; cross-jurisdiction trust.</w:t>
            </w:r>
          </w:p>
        </w:tc>
      </w:tr>
      <w:tr>
        <w:tc>
          <w:tcPr>
            <w:tcW w:type="dxa" w:w="5040"/>
            <w:shd w:fill="F4F7FA"/>
          </w:tcPr>
          <w:p>
            <w:r>
              <w:rPr>
                <w:sz w:val="15"/>
              </w:rPr>
              <w:t>DELIBERATELY EXCLUDE FROM EARLY MVP</w:t>
            </w:r>
          </w:p>
        </w:tc>
        <w:tc>
          <w:tcPr>
            <w:tcW w:type="dxa" w:w="5040"/>
            <w:shd w:fill="F4F7FA"/>
          </w:tcPr>
          <w:p>
            <w:r>
              <w:rPr>
                <w:sz w:val="15"/>
              </w:rPr>
              <w:t>Automatic portability of clinical scope; AI-based credential or scope approval; open marketplace displacing approved agency arrangements; national storage of every credential document; payroll replacement; multi-professional rollout before the medical model is proven.</w:t>
            </w:r>
          </w:p>
        </w:tc>
      </w:tr>
    </w:tbl>
    <w:p/>
    <w:p>
      <w:r>
        <w:rPr>
          <w:b/>
        </w:rPr>
        <w:t xml:space="preserve">Updated programme vision: </w:t>
      </w:r>
      <w:r>
        <w:t>A trusted digital infrastructure that enables clinicians to prove credentials once, allows health services to define and exchange clinical authority safely and enables appropriately authorised clinicians to be mobilised wherever they are needed.</w:t>
      </w:r>
    </w:p>
    <w:tbl>
      <w:tblPr>
        <w:tblStyle w:val="TableGrid"/>
        <w:tblW w:type="auto" w:w="0"/>
        <w:tblLook w:firstColumn="1" w:firstRow="1" w:lastColumn="0" w:lastRow="0" w:noHBand="0" w:noVBand="1" w:val="04A0"/>
      </w:tblPr>
      <w:tblGrid>
        <w:gridCol w:w="5040"/>
        <w:gridCol w:w="5040"/>
      </w:tblGrid>
      <w:tr>
        <w:tc>
          <w:tcPr>
            <w:tcW w:type="dxa" w:w="5040"/>
            <w:shd w:fill="17365D"/>
          </w:tcPr>
          <w:p>
            <w:r/>
            <w:r>
              <w:rPr>
                <w:b/>
                <w:color w:val="FFFFFF"/>
                <w:sz w:val="16"/>
              </w:rPr>
              <w:t>Product layer</w:t>
            </w:r>
          </w:p>
        </w:tc>
        <w:tc>
          <w:tcPr>
            <w:tcW w:type="dxa" w:w="5040"/>
            <w:shd w:fill="17365D"/>
          </w:tcPr>
          <w:p>
            <w:r/>
            <w:r>
              <w:rPr>
                <w:b/>
                <w:color w:val="FFFFFF"/>
                <w:sz w:val="16"/>
              </w:rPr>
              <w:t>Core question</w:t>
            </w:r>
          </w:p>
        </w:tc>
      </w:tr>
      <w:tr>
        <w:tc>
          <w:tcPr>
            <w:tcW w:type="dxa" w:w="5040"/>
          </w:tcPr>
          <w:p>
            <w:r>
              <w:rPr>
                <w:sz w:val="15"/>
              </w:rPr>
              <w:t>Passport</w:t>
            </w:r>
          </w:p>
        </w:tc>
        <w:tc>
          <w:tcPr>
            <w:tcW w:type="dxa" w:w="5040"/>
          </w:tcPr>
          <w:p>
            <w:r>
              <w:rPr>
                <w:sz w:val="15"/>
              </w:rPr>
              <w:t>What can I prove about myself?</w:t>
            </w:r>
          </w:p>
        </w:tc>
      </w:tr>
      <w:tr>
        <w:tc>
          <w:tcPr>
            <w:tcW w:type="dxa" w:w="5040"/>
            <w:shd w:fill="F4F7FA"/>
          </w:tcPr>
          <w:p>
            <w:r>
              <w:rPr>
                <w:sz w:val="15"/>
              </w:rPr>
              <w:t>Scope</w:t>
            </w:r>
          </w:p>
        </w:tc>
        <w:tc>
          <w:tcPr>
            <w:tcW w:type="dxa" w:w="5040"/>
            <w:shd w:fill="F4F7FA"/>
          </w:tcPr>
          <w:p>
            <w:r>
              <w:rPr>
                <w:sz w:val="15"/>
              </w:rPr>
              <w:t>What has this health service authorised me to do?</w:t>
            </w:r>
          </w:p>
        </w:tc>
      </w:tr>
      <w:tr>
        <w:tc>
          <w:tcPr>
            <w:tcW w:type="dxa" w:w="5040"/>
          </w:tcPr>
          <w:p>
            <w:r>
              <w:rPr>
                <w:sz w:val="15"/>
              </w:rPr>
              <w:t>Exchange</w:t>
            </w:r>
          </w:p>
        </w:tc>
        <w:tc>
          <w:tcPr>
            <w:tcW w:type="dxa" w:w="5040"/>
          </w:tcPr>
          <w:p>
            <w:r>
              <w:rPr>
                <w:sz w:val="15"/>
              </w:rPr>
              <w:t>Where can I work and where am I needed?</w:t>
            </w:r>
          </w:p>
        </w:tc>
      </w:tr>
      <w:tr>
        <w:tc>
          <w:tcPr>
            <w:tcW w:type="dxa" w:w="5040"/>
            <w:shd w:fill="F4F7FA"/>
          </w:tcPr>
          <w:p>
            <w:r>
              <w:rPr>
                <w:sz w:val="15"/>
              </w:rPr>
              <w:t>Intelligence</w:t>
            </w:r>
          </w:p>
        </w:tc>
        <w:tc>
          <w:tcPr>
            <w:tcW w:type="dxa" w:w="5040"/>
            <w:shd w:fill="F4F7FA"/>
          </w:tcPr>
          <w:p>
            <w:r>
              <w:rPr>
                <w:sz w:val="15"/>
              </w:rPr>
              <w:t>What should the system change to put the right workforce in the right place?</w:t>
            </w:r>
          </w:p>
        </w:tc>
      </w:tr>
    </w:tbl>
    <w:p/>
    <w:p>
      <w:pPr>
        <w:pStyle w:val="Heading2"/>
      </w:pPr>
      <w:r>
        <w:t>v0.2 revision note</w:t>
      </w:r>
    </w:p>
    <w:p>
      <w:r>
        <w:t>26 September 2026 - Expanded strategic horizon to include the workforce trust network, federated scope registry, machine-enforceable scope, reusable onboarding passport, workforce digital twin, predictive shortage management, rural workforce laboratory, emergency workforce mobilisation, multi-professional extensibility and longitudinal Clinical Professional Passport. Added explicit platform-boundary controls to protect the YNLHN MVP from scope creep.</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77777"/>
        <w:sz w:val="15"/>
      </w:rPr>
      <w:t>Draft v0.2 | September 2026 | Concept development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77777"/>
        <w:sz w:val="15"/>
      </w:rPr>
      <w:t>Australian Medical Workforce Passport &amp; Exchange | Master Product &amp; Programme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2">
    <w:name w:val="Subtitle2"/>
    <w:rPr>
      <w:rFonts w:ascii="Aptos" w:hAnsi="Aptos"/>
      <w:b w:val="0"/>
      <w:color w:val="44546A"/>
      <w:sz w:val="26"/>
    </w:rPr>
  </w:style>
  <w:style w:type="paragraph" w:customStyle="1" w:styleId="Callout">
    <w:name w:val="Callout"/>
    <w:rPr>
      <w:rFonts w:ascii="Aptos" w:hAnsi="Aptos"/>
      <w:b/>
      <w:color w:val="17365D"/>
      <w:sz w:val="21"/>
    </w:rPr>
  </w:style>
  <w:style w:type="paragraph" w:customStyle="1" w:styleId="Small">
    <w:name w:val="Small"/>
    <w:rPr>
      <w:rFonts w:ascii="Aptos" w:hAnsi="Aptos"/>
      <w:b w:val="0"/>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