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4"/>
        </w:rPr>
        <w:t>YNLHN MEDICAL LOCUM EXPERIENCE</w:t>
        <w:br/>
        <w:t>&amp; WORKFORCE PLATFORM</w:t>
      </w:r>
    </w:p>
    <w:p>
      <w:pPr>
        <w:jc w:val="center"/>
      </w:pPr>
      <w:r>
        <w:rPr>
          <w:color w:val="2F5597"/>
          <w:sz w:val="34"/>
        </w:rPr>
        <w:t>Pilot Business Case</w:t>
      </w:r>
    </w:p>
    <w:p>
      <w:pPr>
        <w:jc w:val="center"/>
      </w:pPr>
      <w:r>
        <w:rPr>
          <w:color w:val="666666"/>
          <w:sz w:val="20"/>
        </w:rPr>
        <w:t>Version 0.2 | September 2026</w:t>
      </w:r>
    </w:p>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1"/>
              </w:rPr>
              <w:t>Decision sought: endorse detailed discovery and development of a controlled YNLHN pilot that combines a free doctor Credential Wallet, locum experience feedback, procurement-compliant vacancy sourcing and digital timesheet approval.</w:t>
            </w:r>
          </w:p>
        </w:tc>
      </w:tr>
    </w:tbl>
    <w:p/>
    <w:p>
      <w:pPr>
        <w:jc w:val="center"/>
      </w:pPr>
      <w:r>
        <w:rPr>
          <w:sz w:val="18"/>
        </w:rPr>
        <w:t>Initial proposed clinical focus: Port Pirie and Wallaroo medical locum workforce, with role/site scope to be confirmed through discovery.</w:t>
      </w:r>
    </w:p>
    <w:p>
      <w:r>
        <w:br w:type="page"/>
      </w:r>
    </w:p>
    <w:p>
      <w:pPr>
        <w:pStyle w:val="Heading1"/>
      </w:pPr>
      <w:r>
        <w:t>Executive summary</w:t>
      </w:r>
    </w:p>
    <w:p>
      <w:r>
        <w:t>YNLHN relies on a mobile and locum medical workforce to maintain safe services across geographically dispersed sites. The current model creates repeated administrative work for doctors and staff, fragments vacancy communication across agencies and direct contacts, provides limited end-to-end visibility of locum sourcing and cost, and gives YNLHN little systematic information about the locum experience or the factors that make doctors return to one site and not another.</w:t>
      </w:r>
    </w:p>
    <w:p>
      <w:r>
        <w:t>This business case proposes a staged YNLHN pilot of a Medical Locum Experience &amp; Workforce Platform. The pilot is deliberately not framed as replacing existing agencies or credentialling systems. It begins by making the current model easier to use, more measurable and more compliant while providing doctors with an independent benefit from the first day.</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1"/>
              </w:rPr>
              <w:t>Doctor proposition: one secure place to store, track and reuse professional credentials, plus simpler access to YNLHN shifts, timesheets and a confidential voice about the sites where they work.</w:t>
            </w:r>
          </w:p>
        </w:tc>
      </w:tr>
    </w:tbl>
    <w:p/>
    <w:p>
      <w:r>
        <w:t>The first release would provide a free practitioner Credential Wallet with expiry tracking and secure credential sharing, link current YNLHN credential and scope information, collect confidential post-shift experience feedback, advertise vacancies through a policy-controlled sourcing cascade that gives eligible SA Health panel agencies the required first opportunity, and enable secure digital timesheet approval without requiring every approver to hold a platform account.</w:t>
      </w:r>
    </w:p>
    <w:p>
      <w:r>
        <w:t>The immediate benefits are expected to be improved locum experience and retention, stronger procurement and credential visibility, reduced administrative friction, better vacancy management and a reliable dataset on agency performance, total locum cost and return behaviour. Potential future reductions in agency dependence and credential duplication are strategic opportunities, but are not required to justify the initial pilot.</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65D"/>
          </w:tcPr>
          <w:p>
            <w:r/>
            <w:r>
              <w:rPr>
                <w:rFonts w:ascii="Aptos" w:hAnsi="Aptos"/>
                <w:b/>
                <w:color w:val="FFFFFF"/>
                <w:sz w:val="16"/>
              </w:rPr>
              <w:t>Decision</w:t>
            </w:r>
          </w:p>
        </w:tc>
        <w:tc>
          <w:tcPr>
            <w:tcW w:type="dxa" w:w="7776"/>
            <w:vAlign w:val="center"/>
            <w:shd w:fill="17365D"/>
          </w:tcPr>
          <w:p>
            <w:r/>
            <w:r>
              <w:rPr>
                <w:rFonts w:ascii="Aptos" w:hAnsi="Aptos"/>
                <w:b/>
                <w:color w:val="FFFFFF"/>
                <w:sz w:val="16"/>
              </w:rPr>
              <w:t>Recommendation</w:t>
            </w:r>
          </w:p>
        </w:tc>
      </w:tr>
      <w:tr>
        <w:tc>
          <w:tcPr>
            <w:tcW w:type="dxa" w:w="2592"/>
            <w:vAlign w:val="center"/>
          </w:tcPr>
          <w:p>
            <w:r/>
            <w:r>
              <w:rPr>
                <w:rFonts w:ascii="Aptos" w:hAnsi="Aptos"/>
                <w:b w:val="0"/>
                <w:sz w:val="16"/>
              </w:rPr>
              <w:t>Proceed to discovery</w:t>
            </w:r>
          </w:p>
        </w:tc>
        <w:tc>
          <w:tcPr>
            <w:tcW w:type="dxa" w:w="7776"/>
            <w:vAlign w:val="center"/>
          </w:tcPr>
          <w:p>
            <w:r/>
            <w:r>
              <w:rPr>
                <w:rFonts w:ascii="Aptos" w:hAnsi="Aptos"/>
                <w:b w:val="0"/>
                <w:sz w:val="16"/>
              </w:rPr>
              <w:t>Endorse a time-limited discovery/design phase to validate workflow, procurement, privacy, security, baseline data and user requirements.</w:t>
            </w:r>
          </w:p>
        </w:tc>
      </w:tr>
      <w:tr>
        <w:tc>
          <w:tcPr>
            <w:tcW w:type="dxa" w:w="2592"/>
            <w:vAlign w:val="center"/>
            <w:shd w:fill="F3F6FA"/>
          </w:tcPr>
          <w:p>
            <w:r/>
            <w:r>
              <w:rPr>
                <w:rFonts w:ascii="Aptos" w:hAnsi="Aptos"/>
                <w:b w:val="0"/>
                <w:sz w:val="16"/>
              </w:rPr>
              <w:t>Pilot scope</w:t>
            </w:r>
          </w:p>
        </w:tc>
        <w:tc>
          <w:tcPr>
            <w:tcW w:type="dxa" w:w="7776"/>
            <w:vAlign w:val="center"/>
            <w:shd w:fill="F3F6FA"/>
          </w:tcPr>
          <w:p>
            <w:r/>
            <w:r>
              <w:rPr>
                <w:rFonts w:ascii="Aptos" w:hAnsi="Aptos"/>
                <w:b w:val="0"/>
                <w:sz w:val="16"/>
              </w:rPr>
              <w:t>Develop a controlled YNLHN pilot using current credentialled locums and existing SA Health agency arrangements.</w:t>
            </w:r>
          </w:p>
        </w:tc>
      </w:tr>
      <w:tr>
        <w:tc>
          <w:tcPr>
            <w:tcW w:type="dxa" w:w="2592"/>
            <w:vAlign w:val="center"/>
          </w:tcPr>
          <w:p>
            <w:r/>
            <w:r>
              <w:rPr>
                <w:rFonts w:ascii="Aptos" w:hAnsi="Aptos"/>
                <w:b w:val="0"/>
                <w:sz w:val="16"/>
              </w:rPr>
              <w:t>Governance</w:t>
            </w:r>
          </w:p>
        </w:tc>
        <w:tc>
          <w:tcPr>
            <w:tcW w:type="dxa" w:w="7776"/>
            <w:vAlign w:val="center"/>
          </w:tcPr>
          <w:p>
            <w:r/>
            <w:r>
              <w:rPr>
                <w:rFonts w:ascii="Aptos" w:hAnsi="Aptos"/>
                <w:b w:val="0"/>
                <w:sz w:val="16"/>
              </w:rPr>
              <w:t>Establish executive sponsorship and a multidisciplinary pilot steering group.</w:t>
            </w:r>
          </w:p>
        </w:tc>
      </w:tr>
      <w:tr>
        <w:tc>
          <w:tcPr>
            <w:tcW w:type="dxa" w:w="2592"/>
            <w:vAlign w:val="center"/>
            <w:shd w:fill="F3F6FA"/>
          </w:tcPr>
          <w:p>
            <w:r/>
            <w:r>
              <w:rPr>
                <w:rFonts w:ascii="Aptos" w:hAnsi="Aptos"/>
                <w:b w:val="0"/>
                <w:sz w:val="16"/>
              </w:rPr>
              <w:t>Evaluation</w:t>
            </w:r>
          </w:p>
        </w:tc>
        <w:tc>
          <w:tcPr>
            <w:tcW w:type="dxa" w:w="7776"/>
            <w:vAlign w:val="center"/>
            <w:shd w:fill="F3F6FA"/>
          </w:tcPr>
          <w:p>
            <w:r/>
            <w:r>
              <w:rPr>
                <w:rFonts w:ascii="Aptos" w:hAnsi="Aptos"/>
                <w:b w:val="0"/>
                <w:sz w:val="16"/>
              </w:rPr>
              <w:t>Require baseline measurement and formal stage gates before expansion or replacement of existing systems.</w:t>
            </w:r>
          </w:p>
        </w:tc>
      </w:tr>
    </w:tbl>
    <w:p/>
    <w:p>
      <w:pPr>
        <w:pStyle w:val="Heading1"/>
      </w:pPr>
      <w:r>
        <w:t>1. Decision sought</w:t>
      </w:r>
    </w:p>
    <w:p>
      <w:r>
        <w:t>YNLHN Executive is asked to:</w:t>
      </w:r>
    </w:p>
    <w:p>
      <w:pPr>
        <w:pStyle w:val="ListBullet"/>
      </w:pPr>
      <w:r>
        <w:t>endorse development of a detailed implementation and evaluation plan for a YNLHN pilot</w:t>
      </w:r>
    </w:p>
    <w:p>
      <w:pPr>
        <w:pStyle w:val="ListBullet"/>
      </w:pPr>
      <w:r>
        <w:t>endorse the proposed Stage 1 scope: Credential Wallet, Locum Experience, Vacancy Exchange, agency-first sourcing and digital timesheets</w:t>
      </w:r>
    </w:p>
    <w:p>
      <w:pPr>
        <w:pStyle w:val="ListBullet"/>
      </w:pPr>
      <w:r>
        <w:t>confirm that existing YNLHN credentialling and scope decisions remain authoritative during the initial pilot</w:t>
      </w:r>
    </w:p>
    <w:p>
      <w:pPr>
        <w:pStyle w:val="ListBullet"/>
      </w:pPr>
      <w:r>
        <w:t>support engagement with SA Health procurement/panel stakeholders to confirm the exact sourcing cascade and permissible direct pathways</w:t>
      </w:r>
    </w:p>
    <w:p>
      <w:pPr>
        <w:pStyle w:val="ListBullet"/>
      </w:pPr>
      <w:r>
        <w:t>support baseline data collection on locum workforce, vacancies, fill times, agency use, commission, cancellations, return and administrative burden</w:t>
      </w:r>
    </w:p>
    <w:p>
      <w:pPr>
        <w:pStyle w:val="ListBullet"/>
      </w:pPr>
      <w:r>
        <w:t>nominate executive sponsorship, product ownership and governance representation</w:t>
      </w:r>
    </w:p>
    <w:p>
      <w:pPr>
        <w:pStyle w:val="ListBullet"/>
      </w:pPr>
      <w:r>
        <w:t>require a further go/no-go decision once discovery has established cost, privacy/security requirements and implementation feasibility</w:t>
      </w:r>
    </w:p>
    <w:p>
      <w:pPr>
        <w:pStyle w:val="Heading1"/>
      </w:pPr>
      <w:r>
        <w:t>2. Strategic case</w:t>
      </w:r>
    </w:p>
    <w:p>
      <w:pPr>
        <w:pStyle w:val="Heading2"/>
      </w:pPr>
      <w:r>
        <w:t>2.1 The current problem</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17365D"/>
          </w:tcPr>
          <w:p>
            <w:r/>
            <w:r>
              <w:rPr>
                <w:rFonts w:ascii="Aptos" w:hAnsi="Aptos"/>
                <w:b/>
                <w:color w:val="FFFFFF"/>
                <w:sz w:val="16"/>
              </w:rPr>
              <w:t>Current issue</w:t>
            </w:r>
          </w:p>
        </w:tc>
        <w:tc>
          <w:tcPr>
            <w:tcW w:type="dxa" w:w="3600"/>
            <w:vAlign w:val="center"/>
            <w:shd w:fill="17365D"/>
          </w:tcPr>
          <w:p>
            <w:r/>
            <w:r>
              <w:rPr>
                <w:rFonts w:ascii="Aptos" w:hAnsi="Aptos"/>
                <w:b/>
                <w:color w:val="FFFFFF"/>
                <w:sz w:val="16"/>
              </w:rPr>
              <w:t>Operational effect</w:t>
            </w:r>
          </w:p>
        </w:tc>
        <w:tc>
          <w:tcPr>
            <w:tcW w:type="dxa" w:w="3744"/>
            <w:vAlign w:val="center"/>
            <w:shd w:fill="17365D"/>
          </w:tcPr>
          <w:p>
            <w:r/>
            <w:r>
              <w:rPr>
                <w:rFonts w:ascii="Aptos" w:hAnsi="Aptos"/>
                <w:b/>
                <w:color w:val="FFFFFF"/>
                <w:sz w:val="16"/>
              </w:rPr>
              <w:t>Strategic consequence</w:t>
            </w:r>
          </w:p>
        </w:tc>
      </w:tr>
      <w:tr>
        <w:tc>
          <w:tcPr>
            <w:tcW w:type="dxa" w:w="3024"/>
            <w:vAlign w:val="center"/>
          </w:tcPr>
          <w:p>
            <w:r/>
            <w:r>
              <w:rPr>
                <w:rFonts w:ascii="Aptos" w:hAnsi="Aptos"/>
                <w:b w:val="0"/>
                <w:sz w:val="16"/>
              </w:rPr>
              <w:t>Doctors repeatedly assemble credential packs for different employers</w:t>
            </w:r>
          </w:p>
        </w:tc>
        <w:tc>
          <w:tcPr>
            <w:tcW w:type="dxa" w:w="3600"/>
            <w:vAlign w:val="center"/>
          </w:tcPr>
          <w:p>
            <w:r/>
            <w:r>
              <w:rPr>
                <w:rFonts w:ascii="Aptos" w:hAnsi="Aptos"/>
                <w:b w:val="0"/>
                <w:sz w:val="16"/>
              </w:rPr>
              <w:t>Duplicated effort and stale documents</w:t>
            </w:r>
          </w:p>
        </w:tc>
        <w:tc>
          <w:tcPr>
            <w:tcW w:type="dxa" w:w="3744"/>
            <w:vAlign w:val="center"/>
          </w:tcPr>
          <w:p>
            <w:r/>
            <w:r>
              <w:rPr>
                <w:rFonts w:ascii="Aptos" w:hAnsi="Aptos"/>
                <w:b w:val="0"/>
                <w:sz w:val="16"/>
              </w:rPr>
              <w:t>Poor practitioner experience and slower mobility</w:t>
            </w:r>
          </w:p>
        </w:tc>
      </w:tr>
      <w:tr>
        <w:tc>
          <w:tcPr>
            <w:tcW w:type="dxa" w:w="3024"/>
            <w:vAlign w:val="center"/>
            <w:shd w:fill="F3F6FA"/>
          </w:tcPr>
          <w:p>
            <w:r/>
            <w:r>
              <w:rPr>
                <w:rFonts w:ascii="Aptos" w:hAnsi="Aptos"/>
                <w:b w:val="0"/>
                <w:sz w:val="16"/>
              </w:rPr>
              <w:t>Vacancies are communicated through multiple manual channels</w:t>
            </w:r>
          </w:p>
        </w:tc>
        <w:tc>
          <w:tcPr>
            <w:tcW w:type="dxa" w:w="3600"/>
            <w:vAlign w:val="center"/>
            <w:shd w:fill="F3F6FA"/>
          </w:tcPr>
          <w:p>
            <w:r/>
            <w:r>
              <w:rPr>
                <w:rFonts w:ascii="Aptos" w:hAnsi="Aptos"/>
                <w:b w:val="0"/>
                <w:sz w:val="16"/>
              </w:rPr>
              <w:t>Repeated calls/emails and limited visibility</w:t>
            </w:r>
          </w:p>
        </w:tc>
        <w:tc>
          <w:tcPr>
            <w:tcW w:type="dxa" w:w="3744"/>
            <w:vAlign w:val="center"/>
            <w:shd w:fill="F3F6FA"/>
          </w:tcPr>
          <w:p>
            <w:r/>
            <w:r>
              <w:rPr>
                <w:rFonts w:ascii="Aptos" w:hAnsi="Aptos"/>
                <w:b w:val="0"/>
                <w:sz w:val="16"/>
              </w:rPr>
              <w:t>Slow fill and weak auditability</w:t>
            </w:r>
          </w:p>
        </w:tc>
      </w:tr>
      <w:tr>
        <w:tc>
          <w:tcPr>
            <w:tcW w:type="dxa" w:w="3024"/>
            <w:vAlign w:val="center"/>
          </w:tcPr>
          <w:p>
            <w:r/>
            <w:r>
              <w:rPr>
                <w:rFonts w:ascii="Aptos" w:hAnsi="Aptos"/>
                <w:b w:val="0"/>
                <w:sz w:val="16"/>
              </w:rPr>
              <w:t>Agency arrangements vary</w:t>
            </w:r>
          </w:p>
        </w:tc>
        <w:tc>
          <w:tcPr>
            <w:tcW w:type="dxa" w:w="3600"/>
            <w:vAlign w:val="center"/>
          </w:tcPr>
          <w:p>
            <w:r/>
            <w:r>
              <w:rPr>
                <w:rFonts w:ascii="Aptos" w:hAnsi="Aptos"/>
                <w:b w:val="0"/>
                <w:sz w:val="16"/>
              </w:rPr>
              <w:t>Commercial terms and performance are difficult to compare</w:t>
            </w:r>
          </w:p>
        </w:tc>
        <w:tc>
          <w:tcPr>
            <w:tcW w:type="dxa" w:w="3744"/>
            <w:vAlign w:val="center"/>
          </w:tcPr>
          <w:p>
            <w:r/>
            <w:r>
              <w:rPr>
                <w:rFonts w:ascii="Aptos" w:hAnsi="Aptos"/>
                <w:b w:val="0"/>
                <w:sz w:val="16"/>
              </w:rPr>
              <w:t>Limited procurement intelligence</w:t>
            </w:r>
          </w:p>
        </w:tc>
      </w:tr>
      <w:tr>
        <w:tc>
          <w:tcPr>
            <w:tcW w:type="dxa" w:w="3024"/>
            <w:vAlign w:val="center"/>
            <w:shd w:fill="F3F6FA"/>
          </w:tcPr>
          <w:p>
            <w:r/>
            <w:r>
              <w:rPr>
                <w:rFonts w:ascii="Aptos" w:hAnsi="Aptos"/>
                <w:b w:val="0"/>
                <w:sz w:val="16"/>
              </w:rPr>
              <w:t>Credential and scope status is not integrated with vacancy matching</w:t>
            </w:r>
          </w:p>
        </w:tc>
        <w:tc>
          <w:tcPr>
            <w:tcW w:type="dxa" w:w="3600"/>
            <w:vAlign w:val="center"/>
            <w:shd w:fill="F3F6FA"/>
          </w:tcPr>
          <w:p>
            <w:r/>
            <w:r>
              <w:rPr>
                <w:rFonts w:ascii="Aptos" w:hAnsi="Aptos"/>
                <w:b w:val="0"/>
                <w:sz w:val="16"/>
              </w:rPr>
              <w:t>Manual checking</w:t>
            </w:r>
          </w:p>
        </w:tc>
        <w:tc>
          <w:tcPr>
            <w:tcW w:type="dxa" w:w="3744"/>
            <w:vAlign w:val="center"/>
            <w:shd w:fill="F3F6FA"/>
          </w:tcPr>
          <w:p>
            <w:r/>
            <w:r>
              <w:rPr>
                <w:rFonts w:ascii="Aptos" w:hAnsi="Aptos"/>
                <w:b w:val="0"/>
                <w:sz w:val="16"/>
              </w:rPr>
              <w:t>Risk of delay or inappropriate offers</w:t>
            </w:r>
          </w:p>
        </w:tc>
      </w:tr>
      <w:tr>
        <w:tc>
          <w:tcPr>
            <w:tcW w:type="dxa" w:w="3024"/>
            <w:vAlign w:val="center"/>
          </w:tcPr>
          <w:p>
            <w:r/>
            <w:r>
              <w:rPr>
                <w:rFonts w:ascii="Aptos" w:hAnsi="Aptos"/>
                <w:b w:val="0"/>
                <w:sz w:val="16"/>
              </w:rPr>
              <w:t>Timesheet approval depends on local/manual processes</w:t>
            </w:r>
          </w:p>
        </w:tc>
        <w:tc>
          <w:tcPr>
            <w:tcW w:type="dxa" w:w="3600"/>
            <w:vAlign w:val="center"/>
          </w:tcPr>
          <w:p>
            <w:r/>
            <w:r>
              <w:rPr>
                <w:rFonts w:ascii="Aptos" w:hAnsi="Aptos"/>
                <w:b w:val="0"/>
                <w:sz w:val="16"/>
              </w:rPr>
              <w:t>Payment delay and follow-up</w:t>
            </w:r>
          </w:p>
        </w:tc>
        <w:tc>
          <w:tcPr>
            <w:tcW w:type="dxa" w:w="3744"/>
            <w:vAlign w:val="center"/>
          </w:tcPr>
          <w:p>
            <w:r/>
            <w:r>
              <w:rPr>
                <w:rFonts w:ascii="Aptos" w:hAnsi="Aptos"/>
                <w:b w:val="0"/>
                <w:sz w:val="16"/>
              </w:rPr>
              <w:t>Administrative burden for doctors and YNLHN</w:t>
            </w:r>
          </w:p>
        </w:tc>
      </w:tr>
      <w:tr>
        <w:tc>
          <w:tcPr>
            <w:tcW w:type="dxa" w:w="3024"/>
            <w:vAlign w:val="center"/>
            <w:shd w:fill="F3F6FA"/>
          </w:tcPr>
          <w:p>
            <w:r/>
            <w:r>
              <w:rPr>
                <w:rFonts w:ascii="Aptos" w:hAnsi="Aptos"/>
                <w:b w:val="0"/>
                <w:sz w:val="16"/>
              </w:rPr>
              <w:t>Locum feedback is not routinely captured</w:t>
            </w:r>
          </w:p>
        </w:tc>
        <w:tc>
          <w:tcPr>
            <w:tcW w:type="dxa" w:w="3600"/>
            <w:vAlign w:val="center"/>
            <w:shd w:fill="F3F6FA"/>
          </w:tcPr>
          <w:p>
            <w:r/>
            <w:r>
              <w:rPr>
                <w:rFonts w:ascii="Aptos" w:hAnsi="Aptos"/>
                <w:b w:val="0"/>
                <w:sz w:val="16"/>
              </w:rPr>
              <w:t>Culture, orientation and support issues remain anecdotal</w:t>
            </w:r>
          </w:p>
        </w:tc>
        <w:tc>
          <w:tcPr>
            <w:tcW w:type="dxa" w:w="3744"/>
            <w:vAlign w:val="center"/>
            <w:shd w:fill="F3F6FA"/>
          </w:tcPr>
          <w:p>
            <w:r/>
            <w:r>
              <w:rPr>
                <w:rFonts w:ascii="Aptos" w:hAnsi="Aptos"/>
                <w:b w:val="0"/>
                <w:sz w:val="16"/>
              </w:rPr>
              <w:t>Missed retention opportunities</w:t>
            </w:r>
          </w:p>
        </w:tc>
      </w:tr>
      <w:tr>
        <w:tc>
          <w:tcPr>
            <w:tcW w:type="dxa" w:w="3024"/>
            <w:vAlign w:val="center"/>
          </w:tcPr>
          <w:p>
            <w:r/>
            <w:r>
              <w:rPr>
                <w:rFonts w:ascii="Aptos" w:hAnsi="Aptos"/>
                <w:b w:val="0"/>
                <w:sz w:val="16"/>
              </w:rPr>
              <w:t>Return behaviour is not linked to experience data</w:t>
            </w:r>
          </w:p>
        </w:tc>
        <w:tc>
          <w:tcPr>
            <w:tcW w:type="dxa" w:w="3600"/>
            <w:vAlign w:val="center"/>
          </w:tcPr>
          <w:p>
            <w:r/>
            <w:r>
              <w:rPr>
                <w:rFonts w:ascii="Aptos" w:hAnsi="Aptos"/>
                <w:b w:val="0"/>
                <w:sz w:val="16"/>
              </w:rPr>
              <w:t>YNLHN cannot readily identify why doctors return</w:t>
            </w:r>
          </w:p>
        </w:tc>
        <w:tc>
          <w:tcPr>
            <w:tcW w:type="dxa" w:w="3744"/>
            <w:vAlign w:val="center"/>
          </w:tcPr>
          <w:p>
            <w:r/>
            <w:r>
              <w:rPr>
                <w:rFonts w:ascii="Aptos" w:hAnsi="Aptos"/>
                <w:b w:val="0"/>
                <w:sz w:val="16"/>
              </w:rPr>
              <w:t>Limited evidence for rural workforce improvement</w:t>
            </w:r>
          </w:p>
        </w:tc>
      </w:tr>
    </w:tbl>
    <w:p/>
    <w:p>
      <w:pPr>
        <w:pStyle w:val="Heading2"/>
      </w:pPr>
      <w:r>
        <w:t>2.2 Why start with doctor value</w:t>
      </w:r>
    </w:p>
    <w:p>
      <w:r>
        <w:t>A workforce platform has a classic network problem: hospitals benefit when many doctors participate, while doctors will not maintain another profile unless it is useful to them. The Credential Wallet addresses this directly. A doctor can store structured credentials, receive expiry reminders and securely provide a credential pack to any hospital, agency or credentialling body, even if the recipient does not use the platform.</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1"/>
              </w:rPr>
              <w:t>The Credential Wallet is not an add-on. It is the adoption mechanism that gives the doctor an enduring reason to maintain the platform profile.</w:t>
            </w:r>
          </w:p>
        </w:tc>
      </w:tr>
    </w:tbl>
    <w:p/>
    <w:p>
      <w:pPr>
        <w:pStyle w:val="Heading2"/>
      </w:pPr>
      <w:r>
        <w:t>2.3 Why feedback is a Day 1 capability</w:t>
      </w:r>
    </w:p>
    <w:p>
      <w:r>
        <w:t>Locum experience is a legitimate workforce quality-improvement objective in its own right. YNLHN currently has limited systematic data on how visiting doctors perceive clinical culture, support, workload, orientation or confidence in local care, and whether these perceptions predict return.</w:t>
      </w:r>
    </w:p>
    <w:p>
      <w:r>
        <w:t>Collecting this information from the beginning allows YNLHN to establish a baseline before marketplace changes alter behaviour. It also positions the pilot as an initiative to improve the locum workforce experience and rural retention, rather than simply as a mechanism to reduce agency expenditure.</w:t>
      </w:r>
    </w:p>
    <w:p>
      <w:pPr>
        <w:pStyle w:val="Heading1"/>
      </w:pPr>
      <w:r>
        <w:t>3. Alignment with policy and governance</w:t>
      </w:r>
    </w:p>
    <w:p>
      <w:pPr>
        <w:pStyle w:val="Heading2"/>
      </w:pPr>
      <w:r>
        <w:t>3.1 SA Health Use of Locums Policy</w:t>
      </w:r>
    </w:p>
    <w:p>
      <w:r>
        <w:t>The SA Health Use of Locums Policy v1.0 states that locums are to be engaged through the mandatory Locum Medical Services Panel Contract or the panel exemption process. It defines locum medical services as services within the practitioner's scope of clinical practice approved through the relevant LHN credentialling process. The policy also notes that local implementation may be audited/assessed and that systems should be established to demonstrate compliance.</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1"/>
              </w:rPr>
              <w:t>The proposed platform can therefore be positioned as a compliance-enabling system: it can record the sourcing pathway, eligible supplier, practitioner scope status, approval and timesheet history for each placement.</w:t>
            </w:r>
          </w:p>
        </w:tc>
      </w:tr>
    </w:tbl>
    <w:p/>
    <w:p>
      <w:pPr>
        <w:pStyle w:val="Heading2"/>
      </w:pPr>
      <w:r>
        <w:t>3.2 Credentialling and scope</w:t>
      </w:r>
    </w:p>
    <w:p>
      <w:r>
        <w:t>The Australian Commission on Safety and Quality in Health Care's 2026 national guidance reinforces structured, risk-based credentialling and defining scope of clinical practice. The pilot will not independently infer or grant scope. It will consume existing YNLHN scope information as the authority for initial shift eligibility. Later stages may digitise the credentialling workflow while preserving organisational decision-making.</w:t>
      </w:r>
    </w:p>
    <w:p>
      <w:pPr>
        <w:pStyle w:val="Heading2"/>
      </w:pPr>
      <w:r>
        <w:t>3.3 National digital foundations</w:t>
      </w:r>
    </w:p>
    <w:p>
      <w:r>
        <w:t>The long-term architecture should align with national provider identity rather than create a competing identity system. Ahpra-registered health professionals receive an HPI-I automatically, and the national Healthcare Identifiers Service supports software-based validation of provider and organisation identifiers. This creates a credible pathway for future interoperability while allowing the YNLHN pilot to proceed without waiting for national integration.</w:t>
      </w:r>
    </w:p>
    <w:p>
      <w:pPr>
        <w:pStyle w:val="Heading1"/>
      </w:pPr>
      <w:r>
        <w:t>4. Proposed solution</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7365D"/>
          </w:tcPr>
          <w:p>
            <w:r/>
            <w:r>
              <w:rPr>
                <w:rFonts w:ascii="Aptos" w:hAnsi="Aptos"/>
                <w:b/>
                <w:color w:val="FFFFFF"/>
                <w:sz w:val="16"/>
              </w:rPr>
              <w:t>Module</w:t>
            </w:r>
          </w:p>
        </w:tc>
        <w:tc>
          <w:tcPr>
            <w:tcW w:type="dxa" w:w="4608"/>
            <w:vAlign w:val="center"/>
            <w:shd w:fill="17365D"/>
          </w:tcPr>
          <w:p>
            <w:r/>
            <w:r>
              <w:rPr>
                <w:rFonts w:ascii="Aptos" w:hAnsi="Aptos"/>
                <w:b/>
                <w:color w:val="FFFFFF"/>
                <w:sz w:val="16"/>
              </w:rPr>
              <w:t>Stage 1 capability</w:t>
            </w:r>
          </w:p>
        </w:tc>
        <w:tc>
          <w:tcPr>
            <w:tcW w:type="dxa" w:w="3168"/>
            <w:vAlign w:val="center"/>
            <w:shd w:fill="17365D"/>
          </w:tcPr>
          <w:p>
            <w:r/>
            <w:r>
              <w:rPr>
                <w:rFonts w:ascii="Aptos" w:hAnsi="Aptos"/>
                <w:b/>
                <w:color w:val="FFFFFF"/>
                <w:sz w:val="16"/>
              </w:rPr>
              <w:t>Primary value</w:t>
            </w:r>
          </w:p>
        </w:tc>
      </w:tr>
      <w:tr>
        <w:tc>
          <w:tcPr>
            <w:tcW w:type="dxa" w:w="2592"/>
            <w:vAlign w:val="center"/>
          </w:tcPr>
          <w:p>
            <w:r/>
            <w:r>
              <w:rPr>
                <w:rFonts w:ascii="Aptos" w:hAnsi="Aptos"/>
                <w:b w:val="0"/>
                <w:sz w:val="16"/>
              </w:rPr>
              <w:t>Doctor Passport &amp; Credential Wallet</w:t>
            </w:r>
          </w:p>
        </w:tc>
        <w:tc>
          <w:tcPr>
            <w:tcW w:type="dxa" w:w="4608"/>
            <w:vAlign w:val="center"/>
          </w:tcPr>
          <w:p>
            <w:r/>
            <w:r>
              <w:rPr>
                <w:rFonts w:ascii="Aptos" w:hAnsi="Aptos"/>
                <w:b w:val="0"/>
                <w:sz w:val="16"/>
              </w:rPr>
              <w:t>Structured credentials, evidence, expiry tracking, bundles, secure sharing and YNLHN attestations</w:t>
            </w:r>
          </w:p>
        </w:tc>
        <w:tc>
          <w:tcPr>
            <w:tcW w:type="dxa" w:w="3168"/>
            <w:vAlign w:val="center"/>
          </w:tcPr>
          <w:p>
            <w:r/>
            <w:r>
              <w:rPr>
                <w:rFonts w:ascii="Aptos" w:hAnsi="Aptos"/>
                <w:b w:val="0"/>
                <w:sz w:val="16"/>
              </w:rPr>
              <w:t>Immediate doctor value and better credential currency</w:t>
            </w:r>
          </w:p>
        </w:tc>
      </w:tr>
      <w:tr>
        <w:tc>
          <w:tcPr>
            <w:tcW w:type="dxa" w:w="2592"/>
            <w:vAlign w:val="center"/>
            <w:shd w:fill="F3F6FA"/>
          </w:tcPr>
          <w:p>
            <w:r/>
            <w:r>
              <w:rPr>
                <w:rFonts w:ascii="Aptos" w:hAnsi="Aptos"/>
                <w:b w:val="0"/>
                <w:sz w:val="16"/>
              </w:rPr>
              <w:t>Locum Experience</w:t>
            </w:r>
          </w:p>
        </w:tc>
        <w:tc>
          <w:tcPr>
            <w:tcW w:type="dxa" w:w="4608"/>
            <w:vAlign w:val="center"/>
            <w:shd w:fill="F3F6FA"/>
          </w:tcPr>
          <w:p>
            <w:r/>
            <w:r>
              <w:rPr>
                <w:rFonts w:ascii="Aptos" w:hAnsi="Aptos"/>
                <w:b w:val="0"/>
                <w:sz w:val="16"/>
              </w:rPr>
              <w:t>Confidential post-shift feedback plus return metrics</w:t>
            </w:r>
          </w:p>
        </w:tc>
        <w:tc>
          <w:tcPr>
            <w:tcW w:type="dxa" w:w="3168"/>
            <w:vAlign w:val="center"/>
            <w:shd w:fill="F3F6FA"/>
          </w:tcPr>
          <w:p>
            <w:r/>
            <w:r>
              <w:rPr>
                <w:rFonts w:ascii="Aptos" w:hAnsi="Aptos"/>
                <w:b w:val="0"/>
                <w:sz w:val="16"/>
              </w:rPr>
              <w:t>Culture, support and retention improvement</w:t>
            </w:r>
          </w:p>
        </w:tc>
      </w:tr>
      <w:tr>
        <w:tc>
          <w:tcPr>
            <w:tcW w:type="dxa" w:w="2592"/>
            <w:vAlign w:val="center"/>
          </w:tcPr>
          <w:p>
            <w:r/>
            <w:r>
              <w:rPr>
                <w:rFonts w:ascii="Aptos" w:hAnsi="Aptos"/>
                <w:b w:val="0"/>
                <w:sz w:val="16"/>
              </w:rPr>
              <w:t>Vacancy Exchange</w:t>
            </w:r>
          </w:p>
        </w:tc>
        <w:tc>
          <w:tcPr>
            <w:tcW w:type="dxa" w:w="4608"/>
            <w:vAlign w:val="center"/>
          </w:tcPr>
          <w:p>
            <w:r/>
            <w:r>
              <w:rPr>
                <w:rFonts w:ascii="Aptos" w:hAnsi="Aptos"/>
                <w:b w:val="0"/>
                <w:sz w:val="16"/>
              </w:rPr>
              <w:t>Structured vacancy creation, notifications, requests and bookings</w:t>
            </w:r>
          </w:p>
        </w:tc>
        <w:tc>
          <w:tcPr>
            <w:tcW w:type="dxa" w:w="3168"/>
            <w:vAlign w:val="center"/>
          </w:tcPr>
          <w:p>
            <w:r/>
            <w:r>
              <w:rPr>
                <w:rFonts w:ascii="Aptos" w:hAnsi="Aptos"/>
                <w:b w:val="0"/>
                <w:sz w:val="16"/>
              </w:rPr>
              <w:t>Faster, more transparent vacancy management</w:t>
            </w:r>
          </w:p>
        </w:tc>
      </w:tr>
      <w:tr>
        <w:tc>
          <w:tcPr>
            <w:tcW w:type="dxa" w:w="2592"/>
            <w:vAlign w:val="center"/>
            <w:shd w:fill="F3F6FA"/>
          </w:tcPr>
          <w:p>
            <w:r/>
            <w:r>
              <w:rPr>
                <w:rFonts w:ascii="Aptos" w:hAnsi="Aptos"/>
                <w:b w:val="0"/>
                <w:sz w:val="16"/>
              </w:rPr>
              <w:t>Agency Cascade</w:t>
            </w:r>
          </w:p>
        </w:tc>
        <w:tc>
          <w:tcPr>
            <w:tcW w:type="dxa" w:w="4608"/>
            <w:vAlign w:val="center"/>
            <w:shd w:fill="F3F6FA"/>
          </w:tcPr>
          <w:p>
            <w:r/>
            <w:r>
              <w:rPr>
                <w:rFonts w:ascii="Aptos" w:hAnsi="Aptos"/>
                <w:b w:val="0"/>
                <w:sz w:val="16"/>
              </w:rPr>
              <w:t>Eligible panel agencies first, variable agreement terms, proposal workflow and audit</w:t>
            </w:r>
          </w:p>
        </w:tc>
        <w:tc>
          <w:tcPr>
            <w:tcW w:type="dxa" w:w="3168"/>
            <w:vAlign w:val="center"/>
            <w:shd w:fill="F3F6FA"/>
          </w:tcPr>
          <w:p>
            <w:r/>
            <w:r>
              <w:rPr>
                <w:rFonts w:ascii="Aptos" w:hAnsi="Aptos"/>
                <w:b w:val="0"/>
                <w:sz w:val="16"/>
              </w:rPr>
              <w:t>Procurement compliance and agency performance data</w:t>
            </w:r>
          </w:p>
        </w:tc>
      </w:tr>
      <w:tr>
        <w:tc>
          <w:tcPr>
            <w:tcW w:type="dxa" w:w="2592"/>
            <w:vAlign w:val="center"/>
          </w:tcPr>
          <w:p>
            <w:r/>
            <w:r>
              <w:rPr>
                <w:rFonts w:ascii="Aptos" w:hAnsi="Aptos"/>
                <w:b w:val="0"/>
                <w:sz w:val="16"/>
              </w:rPr>
              <w:t>Digital Timesheets</w:t>
            </w:r>
          </w:p>
        </w:tc>
        <w:tc>
          <w:tcPr>
            <w:tcW w:type="dxa" w:w="4608"/>
            <w:vAlign w:val="center"/>
          </w:tcPr>
          <w:p>
            <w:r/>
            <w:r>
              <w:rPr>
                <w:rFonts w:ascii="Aptos" w:hAnsi="Aptos"/>
                <w:b w:val="0"/>
                <w:sz w:val="16"/>
              </w:rPr>
              <w:t>Doctor submission and secure accountless approval</w:t>
            </w:r>
          </w:p>
        </w:tc>
        <w:tc>
          <w:tcPr>
            <w:tcW w:type="dxa" w:w="3168"/>
            <w:vAlign w:val="center"/>
          </w:tcPr>
          <w:p>
            <w:r/>
            <w:r>
              <w:rPr>
                <w:rFonts w:ascii="Aptos" w:hAnsi="Aptos"/>
                <w:b w:val="0"/>
                <w:sz w:val="16"/>
              </w:rPr>
              <w:t>Reduced friction and stronger audit trail</w:t>
            </w:r>
          </w:p>
        </w:tc>
      </w:tr>
      <w:tr>
        <w:tc>
          <w:tcPr>
            <w:tcW w:type="dxa" w:w="2592"/>
            <w:vAlign w:val="center"/>
            <w:shd w:fill="F3F6FA"/>
          </w:tcPr>
          <w:p>
            <w:r/>
            <w:r>
              <w:rPr>
                <w:rFonts w:ascii="Aptos" w:hAnsi="Aptos"/>
                <w:b w:val="0"/>
                <w:sz w:val="16"/>
              </w:rPr>
              <w:t>Workforce Intelligence</w:t>
            </w:r>
          </w:p>
        </w:tc>
        <w:tc>
          <w:tcPr>
            <w:tcW w:type="dxa" w:w="4608"/>
            <w:vAlign w:val="center"/>
            <w:shd w:fill="F3F6FA"/>
          </w:tcPr>
          <w:p>
            <w:r/>
            <w:r>
              <w:rPr>
                <w:rFonts w:ascii="Aptos" w:hAnsi="Aptos"/>
                <w:b w:val="0"/>
                <w:sz w:val="16"/>
              </w:rPr>
              <w:t>Fill, response, cost, commission, experience and return dashboards</w:t>
            </w:r>
          </w:p>
        </w:tc>
        <w:tc>
          <w:tcPr>
            <w:tcW w:type="dxa" w:w="3168"/>
            <w:vAlign w:val="center"/>
            <w:shd w:fill="F3F6FA"/>
          </w:tcPr>
          <w:p>
            <w:r/>
            <w:r>
              <w:rPr>
                <w:rFonts w:ascii="Aptos" w:hAnsi="Aptos"/>
                <w:b w:val="0"/>
                <w:sz w:val="16"/>
              </w:rPr>
              <w:t>Evidence for operational and strategic decisions</w:t>
            </w:r>
          </w:p>
        </w:tc>
      </w:tr>
    </w:tbl>
    <w:p/>
    <w:p>
      <w:pPr>
        <w:pStyle w:val="Heading1"/>
      </w:pPr>
      <w:r>
        <w:t>5. Doctor journey</w:t>
      </w:r>
    </w:p>
    <w:p>
      <w:r>
        <w:t>The doctor experience should be deliberately simple. A current YNLHN locum is invited to claim an existing profile, sees the sites/roles for which YNLHN currently recognises them, adds or updates credentials, and can immediately use the wallet outside YNLHN.</w:t>
      </w:r>
    </w:p>
    <w:p>
      <w:pPr>
        <w:pStyle w:val="ListBullet"/>
      </w:pPr>
      <w:r>
        <w:t>Claim profile and enable MFA.</w:t>
      </w:r>
    </w:p>
    <w:p>
      <w:pPr>
        <w:pStyle w:val="ListBullet"/>
      </w:pPr>
      <w:r>
        <w:t>Review imported YNLHN role/site authorisations.</w:t>
      </w:r>
    </w:p>
    <w:p>
      <w:pPr>
        <w:pStyle w:val="ListBullet"/>
      </w:pPr>
      <w:r>
        <w:t>Add credentials and supporting evidence.</w:t>
      </w:r>
    </w:p>
    <w:p>
      <w:pPr>
        <w:pStyle w:val="ListBullet"/>
      </w:pPr>
      <w:r>
        <w:t>Receive reminders before expiry.</w:t>
      </w:r>
    </w:p>
    <w:p>
      <w:pPr>
        <w:pStyle w:val="ListBullet"/>
      </w:pPr>
      <w:r>
        <w:t>Create reusable credential bundles and share them through an expiring secure link.</w:t>
      </w:r>
    </w:p>
    <w:p>
      <w:pPr>
        <w:pStyle w:val="ListBullet"/>
      </w:pPr>
      <w:r>
        <w:t>Set work preferences: sites, roles, availability and minimum rates.</w:t>
      </w:r>
    </w:p>
    <w:p>
      <w:pPr>
        <w:pStyle w:val="ListBullet"/>
      </w:pPr>
      <w:r>
        <w:t>Receive appropriate YNLHN vacancy notifications.</w:t>
      </w:r>
    </w:p>
    <w:p>
      <w:pPr>
        <w:pStyle w:val="ListBullet"/>
      </w:pPr>
      <w:r>
        <w:t>Request a shift and receive confirmation/orientation information.</w:t>
      </w:r>
    </w:p>
    <w:p>
      <w:pPr>
        <w:pStyle w:val="ListBullet"/>
      </w:pPr>
      <w:r>
        <w:t>Submit actual hours after the shift.</w:t>
      </w:r>
    </w:p>
    <w:p>
      <w:pPr>
        <w:pStyle w:val="ListBullet"/>
      </w:pPr>
      <w:r>
        <w:t>Complete a brief confidential experience survey.</w:t>
      </w:r>
    </w:p>
    <w:p>
      <w:pPr>
        <w:pStyle w:val="ListBullet"/>
      </w:pPr>
      <w:r>
        <w:t>See periodic 'You said / We did' improvements.</w:t>
      </w:r>
    </w:p>
    <w:p>
      <w:pPr>
        <w:pStyle w:val="Heading1"/>
      </w:pPr>
      <w:r>
        <w:t>6. Locum Experience framework</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r/>
            <w:r>
              <w:rPr>
                <w:rFonts w:ascii="Aptos" w:hAnsi="Aptos"/>
                <w:b/>
                <w:color w:val="FFFFFF"/>
                <w:sz w:val="16"/>
              </w:rPr>
              <w:t>Domain</w:t>
            </w:r>
          </w:p>
        </w:tc>
        <w:tc>
          <w:tcPr>
            <w:tcW w:type="dxa" w:w="6048"/>
            <w:vAlign w:val="center"/>
            <w:shd w:fill="17365D"/>
          </w:tcPr>
          <w:p>
            <w:r/>
            <w:r>
              <w:rPr>
                <w:rFonts w:ascii="Aptos" w:hAnsi="Aptos"/>
                <w:b/>
                <w:color w:val="FFFFFF"/>
                <w:sz w:val="16"/>
              </w:rPr>
              <w:t>Proposed question</w:t>
            </w:r>
          </w:p>
        </w:tc>
        <w:tc>
          <w:tcPr>
            <w:tcW w:type="dxa" w:w="2376"/>
            <w:vAlign w:val="center"/>
            <w:shd w:fill="17365D"/>
          </w:tcPr>
          <w:p>
            <w:r/>
            <w:r>
              <w:rPr>
                <w:rFonts w:ascii="Aptos" w:hAnsi="Aptos"/>
                <w:b/>
                <w:color w:val="FFFFFF"/>
                <w:sz w:val="16"/>
              </w:rPr>
              <w:t>Use</w:t>
            </w:r>
          </w:p>
        </w:tc>
      </w:tr>
      <w:tr>
        <w:tc>
          <w:tcPr>
            <w:tcW w:type="dxa" w:w="1944"/>
            <w:vAlign w:val="center"/>
          </w:tcPr>
          <w:p>
            <w:r/>
            <w:r>
              <w:rPr>
                <w:rFonts w:ascii="Aptos" w:hAnsi="Aptos"/>
                <w:b w:val="0"/>
                <w:sz w:val="16"/>
              </w:rPr>
              <w:t>Confidence in care</w:t>
            </w:r>
          </w:p>
        </w:tc>
        <w:tc>
          <w:tcPr>
            <w:tcW w:type="dxa" w:w="6048"/>
            <w:vAlign w:val="center"/>
          </w:tcPr>
          <w:p>
            <w:r/>
            <w:r>
              <w:rPr>
                <w:rFonts w:ascii="Aptos" w:hAnsi="Aptos"/>
                <w:b w:val="0"/>
                <w:sz w:val="16"/>
              </w:rPr>
              <w:t>If someone close to you became unexpectedly unwell while passing through this town, how comfortable would you be with them receiving care at this hospital?</w:t>
            </w:r>
          </w:p>
        </w:tc>
        <w:tc>
          <w:tcPr>
            <w:tcW w:type="dxa" w:w="2376"/>
            <w:vAlign w:val="center"/>
          </w:tcPr>
          <w:p>
            <w:r/>
            <w:r>
              <w:rPr>
                <w:rFonts w:ascii="Aptos" w:hAnsi="Aptos"/>
                <w:b w:val="0"/>
                <w:sz w:val="16"/>
              </w:rPr>
              <w:t>Broad confidence signal</w:t>
            </w:r>
          </w:p>
        </w:tc>
      </w:tr>
      <w:tr>
        <w:tc>
          <w:tcPr>
            <w:tcW w:type="dxa" w:w="1944"/>
            <w:vAlign w:val="center"/>
            <w:shd w:fill="F3F6FA"/>
          </w:tcPr>
          <w:p>
            <w:r/>
            <w:r>
              <w:rPr>
                <w:rFonts w:ascii="Aptos" w:hAnsi="Aptos"/>
                <w:b w:val="0"/>
                <w:sz w:val="16"/>
              </w:rPr>
              <w:t>Culture</w:t>
            </w:r>
          </w:p>
        </w:tc>
        <w:tc>
          <w:tcPr>
            <w:tcW w:type="dxa" w:w="6048"/>
            <w:vAlign w:val="center"/>
            <w:shd w:fill="F3F6FA"/>
          </w:tcPr>
          <w:p>
            <w:r/>
            <w:r>
              <w:rPr>
                <w:rFonts w:ascii="Aptos" w:hAnsi="Aptos"/>
                <w:b w:val="0"/>
                <w:sz w:val="16"/>
              </w:rPr>
              <w:t>How would you rate the culture of the clinical team you worked with?</w:t>
            </w:r>
          </w:p>
        </w:tc>
        <w:tc>
          <w:tcPr>
            <w:tcW w:type="dxa" w:w="2376"/>
            <w:vAlign w:val="center"/>
            <w:shd w:fill="F3F6FA"/>
          </w:tcPr>
          <w:p>
            <w:r/>
            <w:r>
              <w:rPr>
                <w:rFonts w:ascii="Aptos" w:hAnsi="Aptos"/>
                <w:b w:val="0"/>
                <w:sz w:val="16"/>
              </w:rPr>
              <w:t>Team environment</w:t>
            </w:r>
          </w:p>
        </w:tc>
      </w:tr>
      <w:tr>
        <w:tc>
          <w:tcPr>
            <w:tcW w:type="dxa" w:w="1944"/>
            <w:vAlign w:val="center"/>
          </w:tcPr>
          <w:p>
            <w:r/>
            <w:r>
              <w:rPr>
                <w:rFonts w:ascii="Aptos" w:hAnsi="Aptos"/>
                <w:b w:val="0"/>
                <w:sz w:val="16"/>
              </w:rPr>
              <w:t>Speaking up</w:t>
            </w:r>
          </w:p>
        </w:tc>
        <w:tc>
          <w:tcPr>
            <w:tcW w:type="dxa" w:w="6048"/>
            <w:vAlign w:val="center"/>
          </w:tcPr>
          <w:p>
            <w:r/>
            <w:r>
              <w:rPr>
                <w:rFonts w:ascii="Aptos" w:hAnsi="Aptos"/>
                <w:b w:val="0"/>
                <w:sz w:val="16"/>
              </w:rPr>
              <w:t>Did you feel safe raising a clinical concern?</w:t>
            </w:r>
          </w:p>
        </w:tc>
        <w:tc>
          <w:tcPr>
            <w:tcW w:type="dxa" w:w="2376"/>
            <w:vAlign w:val="center"/>
          </w:tcPr>
          <w:p>
            <w:r/>
            <w:r>
              <w:rPr>
                <w:rFonts w:ascii="Aptos" w:hAnsi="Aptos"/>
                <w:b w:val="0"/>
                <w:sz w:val="16"/>
              </w:rPr>
              <w:t>Psychological/clinical safety</w:t>
            </w:r>
          </w:p>
        </w:tc>
      </w:tr>
      <w:tr>
        <w:tc>
          <w:tcPr>
            <w:tcW w:type="dxa" w:w="1944"/>
            <w:vAlign w:val="center"/>
            <w:shd w:fill="F3F6FA"/>
          </w:tcPr>
          <w:p>
            <w:r/>
            <w:r>
              <w:rPr>
                <w:rFonts w:ascii="Aptos" w:hAnsi="Aptos"/>
                <w:b w:val="0"/>
                <w:sz w:val="16"/>
              </w:rPr>
              <w:t>Support</w:t>
            </w:r>
          </w:p>
        </w:tc>
        <w:tc>
          <w:tcPr>
            <w:tcW w:type="dxa" w:w="6048"/>
            <w:vAlign w:val="center"/>
            <w:shd w:fill="F3F6FA"/>
          </w:tcPr>
          <w:p>
            <w:r/>
            <w:r>
              <w:rPr>
                <w:rFonts w:ascii="Aptos" w:hAnsi="Aptos"/>
                <w:b w:val="0"/>
                <w:sz w:val="16"/>
              </w:rPr>
              <w:t>Could you obtain appropriate clinical help when needed?</w:t>
            </w:r>
          </w:p>
        </w:tc>
        <w:tc>
          <w:tcPr>
            <w:tcW w:type="dxa" w:w="2376"/>
            <w:vAlign w:val="center"/>
            <w:shd w:fill="F3F6FA"/>
          </w:tcPr>
          <w:p>
            <w:r/>
            <w:r>
              <w:rPr>
                <w:rFonts w:ascii="Aptos" w:hAnsi="Aptos"/>
                <w:b w:val="0"/>
                <w:sz w:val="16"/>
              </w:rPr>
              <w:t>Clinical support</w:t>
            </w:r>
          </w:p>
        </w:tc>
      </w:tr>
      <w:tr>
        <w:tc>
          <w:tcPr>
            <w:tcW w:type="dxa" w:w="1944"/>
            <w:vAlign w:val="center"/>
          </w:tcPr>
          <w:p>
            <w:r/>
            <w:r>
              <w:rPr>
                <w:rFonts w:ascii="Aptos" w:hAnsi="Aptos"/>
                <w:b w:val="0"/>
                <w:sz w:val="16"/>
              </w:rPr>
              <w:t>Workload</w:t>
            </w:r>
          </w:p>
        </w:tc>
        <w:tc>
          <w:tcPr>
            <w:tcW w:type="dxa" w:w="6048"/>
            <w:vAlign w:val="center"/>
          </w:tcPr>
          <w:p>
            <w:r/>
            <w:r>
              <w:rPr>
                <w:rFonts w:ascii="Aptos" w:hAnsi="Aptos"/>
                <w:b w:val="0"/>
                <w:sz w:val="16"/>
              </w:rPr>
              <w:t>Was the workload safe and manageable?</w:t>
            </w:r>
          </w:p>
        </w:tc>
        <w:tc>
          <w:tcPr>
            <w:tcW w:type="dxa" w:w="2376"/>
            <w:vAlign w:val="center"/>
          </w:tcPr>
          <w:p>
            <w:r/>
            <w:r>
              <w:rPr>
                <w:rFonts w:ascii="Aptos" w:hAnsi="Aptos"/>
                <w:b w:val="0"/>
                <w:sz w:val="16"/>
              </w:rPr>
              <w:t>Work design</w:t>
            </w:r>
          </w:p>
        </w:tc>
      </w:tr>
      <w:tr>
        <w:tc>
          <w:tcPr>
            <w:tcW w:type="dxa" w:w="1944"/>
            <w:vAlign w:val="center"/>
            <w:shd w:fill="F3F6FA"/>
          </w:tcPr>
          <w:p>
            <w:r/>
            <w:r>
              <w:rPr>
                <w:rFonts w:ascii="Aptos" w:hAnsi="Aptos"/>
                <w:b w:val="0"/>
                <w:sz w:val="16"/>
              </w:rPr>
              <w:t>Orientation</w:t>
            </w:r>
          </w:p>
        </w:tc>
        <w:tc>
          <w:tcPr>
            <w:tcW w:type="dxa" w:w="6048"/>
            <w:vAlign w:val="center"/>
            <w:shd w:fill="F3F6FA"/>
          </w:tcPr>
          <w:p>
            <w:r/>
            <w:r>
              <w:rPr>
                <w:rFonts w:ascii="Aptos" w:hAnsi="Aptos"/>
                <w:b w:val="0"/>
                <w:sz w:val="16"/>
              </w:rPr>
              <w:t>Did you have the information needed to work effectively?</w:t>
            </w:r>
          </w:p>
        </w:tc>
        <w:tc>
          <w:tcPr>
            <w:tcW w:type="dxa" w:w="2376"/>
            <w:vAlign w:val="center"/>
            <w:shd w:fill="F3F6FA"/>
          </w:tcPr>
          <w:p>
            <w:r/>
            <w:r>
              <w:rPr>
                <w:rFonts w:ascii="Aptos" w:hAnsi="Aptos"/>
                <w:b w:val="0"/>
                <w:sz w:val="16"/>
              </w:rPr>
              <w:t>Onboarding quality</w:t>
            </w:r>
          </w:p>
        </w:tc>
      </w:tr>
      <w:tr>
        <w:tc>
          <w:tcPr>
            <w:tcW w:type="dxa" w:w="1944"/>
            <w:vAlign w:val="center"/>
          </w:tcPr>
          <w:p>
            <w:r/>
            <w:r>
              <w:rPr>
                <w:rFonts w:ascii="Aptos" w:hAnsi="Aptos"/>
                <w:b w:val="0"/>
                <w:sz w:val="16"/>
              </w:rPr>
              <w:t>Return</w:t>
            </w:r>
          </w:p>
        </w:tc>
        <w:tc>
          <w:tcPr>
            <w:tcW w:type="dxa" w:w="6048"/>
            <w:vAlign w:val="center"/>
          </w:tcPr>
          <w:p>
            <w:r/>
            <w:r>
              <w:rPr>
                <w:rFonts w:ascii="Aptos" w:hAnsi="Aptos"/>
                <w:b w:val="0"/>
                <w:sz w:val="16"/>
              </w:rPr>
              <w:t>How likely are you to choose to work here again?</w:t>
            </w:r>
          </w:p>
        </w:tc>
        <w:tc>
          <w:tcPr>
            <w:tcW w:type="dxa" w:w="2376"/>
            <w:vAlign w:val="center"/>
          </w:tcPr>
          <w:p>
            <w:r/>
            <w:r>
              <w:rPr>
                <w:rFonts w:ascii="Aptos" w:hAnsi="Aptos"/>
                <w:b w:val="0"/>
                <w:sz w:val="16"/>
              </w:rPr>
              <w:t>Intent</w:t>
            </w:r>
          </w:p>
        </w:tc>
      </w:tr>
      <w:tr>
        <w:tc>
          <w:tcPr>
            <w:tcW w:type="dxa" w:w="1944"/>
            <w:vAlign w:val="center"/>
            <w:shd w:fill="F3F6FA"/>
          </w:tcPr>
          <w:p>
            <w:r/>
            <w:r>
              <w:rPr>
                <w:rFonts w:ascii="Aptos" w:hAnsi="Aptos"/>
                <w:b w:val="0"/>
                <w:sz w:val="16"/>
              </w:rPr>
              <w:t>Improvement</w:t>
            </w:r>
          </w:p>
        </w:tc>
        <w:tc>
          <w:tcPr>
            <w:tcW w:type="dxa" w:w="6048"/>
            <w:vAlign w:val="center"/>
            <w:shd w:fill="F3F6FA"/>
          </w:tcPr>
          <w:p>
            <w:r/>
            <w:r>
              <w:rPr>
                <w:rFonts w:ascii="Aptos" w:hAnsi="Aptos"/>
                <w:b w:val="0"/>
                <w:sz w:val="16"/>
              </w:rPr>
              <w:t>What is the one thing we could change that would make you more likely to return?</w:t>
            </w:r>
          </w:p>
        </w:tc>
        <w:tc>
          <w:tcPr>
            <w:tcW w:type="dxa" w:w="2376"/>
            <w:vAlign w:val="center"/>
            <w:shd w:fill="F3F6FA"/>
          </w:tcPr>
          <w:p>
            <w:r/>
            <w:r>
              <w:rPr>
                <w:rFonts w:ascii="Aptos" w:hAnsi="Aptos"/>
                <w:b w:val="0"/>
                <w:sz w:val="16"/>
              </w:rPr>
              <w:t>Actionable improvement</w:t>
            </w:r>
          </w:p>
        </w:tc>
      </w:tr>
    </w:tbl>
    <w:p/>
    <w:p>
      <w:r>
        <w:t>Individual survey responses should not be routinely attributable to operational managers. Site reporting should use minimum response thresholds, aggregation and thematic reporting. A separate route must direct formal patient safety, workplace safety or complaint matters to existing YNLHN systems.</w:t>
      </w:r>
    </w:p>
    <w:p>
      <w:pPr>
        <w:pStyle w:val="Heading2"/>
      </w:pPr>
      <w:r>
        <w:t>6.1 Behavioural validation</w:t>
      </w:r>
    </w:p>
    <w:p>
      <w:pPr>
        <w:pStyle w:val="ListBullet"/>
      </w:pPr>
      <w:r>
        <w:t>90-day repeat locum rate</w:t>
      </w:r>
    </w:p>
    <w:p>
      <w:pPr>
        <w:pStyle w:val="ListBullet"/>
      </w:pPr>
      <w:r>
        <w:t>12-month repeat locum rate</w:t>
      </w:r>
    </w:p>
    <w:p>
      <w:pPr>
        <w:pStyle w:val="ListBullet"/>
      </w:pPr>
      <w:r>
        <w:t>eligible return rate following a suitable subsequent opportunity</w:t>
      </w:r>
    </w:p>
    <w:p>
      <w:pPr>
        <w:pStyle w:val="ListBullet"/>
      </w:pPr>
      <w:r>
        <w:t>median number of subsequent shifts</w:t>
      </w:r>
    </w:p>
    <w:p>
      <w:pPr>
        <w:pStyle w:val="ListBullet"/>
      </w:pPr>
      <w:r>
        <w:t>time to return</w:t>
      </w:r>
    </w:p>
    <w:p>
      <w:pPr>
        <w:pStyle w:val="ListBullet"/>
      </w:pPr>
      <w:r>
        <w:t>relationship between culture/support/orientation scores and actual return</w:t>
      </w:r>
    </w:p>
    <w:p>
      <w:pPr>
        <w:pStyle w:val="Heading1"/>
      </w:pPr>
      <w:r>
        <w:t>7. Procurement and agency model</w:t>
      </w:r>
    </w:p>
    <w:p>
      <w:r>
        <w:t>The pilot should make the existing SA Health agency arrangement easier to use. Only agencies eligible under the applicable SA Health panel arrangement should participate in the protected agency tier. The exact timing and order of sourcing tiers must be confirmed against the current Panel Contract, Buyers Guide and procurement advice before configuration.</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r/>
            <w:r>
              <w:rPr>
                <w:rFonts w:ascii="Aptos" w:hAnsi="Aptos"/>
                <w:b/>
                <w:color w:val="FFFFFF"/>
                <w:sz w:val="16"/>
              </w:rPr>
              <w:t>Design requirement</w:t>
            </w:r>
          </w:p>
        </w:tc>
        <w:tc>
          <w:tcPr>
            <w:tcW w:type="dxa" w:w="7488"/>
            <w:vAlign w:val="center"/>
            <w:shd w:fill="17365D"/>
          </w:tcPr>
          <w:p>
            <w:r/>
            <w:r>
              <w:rPr>
                <w:rFonts w:ascii="Aptos" w:hAnsi="Aptos"/>
                <w:b/>
                <w:color w:val="FFFFFF"/>
                <w:sz w:val="16"/>
              </w:rPr>
              <w:t>Proposed control</w:t>
            </w:r>
          </w:p>
        </w:tc>
      </w:tr>
      <w:tr>
        <w:tc>
          <w:tcPr>
            <w:tcW w:type="dxa" w:w="2880"/>
            <w:vAlign w:val="center"/>
          </w:tcPr>
          <w:p>
            <w:r/>
            <w:r>
              <w:rPr>
                <w:rFonts w:ascii="Aptos" w:hAnsi="Aptos"/>
                <w:b w:val="0"/>
                <w:sz w:val="16"/>
              </w:rPr>
              <w:t>Panel eligibility</w:t>
            </w:r>
          </w:p>
        </w:tc>
        <w:tc>
          <w:tcPr>
            <w:tcW w:type="dxa" w:w="7488"/>
            <w:vAlign w:val="center"/>
          </w:tcPr>
          <w:p>
            <w:r/>
            <w:r>
              <w:rPr>
                <w:rFonts w:ascii="Aptos" w:hAnsi="Aptos"/>
                <w:b w:val="0"/>
                <w:sz w:val="16"/>
              </w:rPr>
              <w:t>Agency master record with effective dates and approved categories</w:t>
            </w:r>
          </w:p>
        </w:tc>
      </w:tr>
      <w:tr>
        <w:tc>
          <w:tcPr>
            <w:tcW w:type="dxa" w:w="2880"/>
            <w:vAlign w:val="center"/>
            <w:shd w:fill="F3F6FA"/>
          </w:tcPr>
          <w:p>
            <w:r/>
            <w:r>
              <w:rPr>
                <w:rFonts w:ascii="Aptos" w:hAnsi="Aptos"/>
                <w:b w:val="0"/>
                <w:sz w:val="16"/>
              </w:rPr>
              <w:t>Variable commission</w:t>
            </w:r>
          </w:p>
        </w:tc>
        <w:tc>
          <w:tcPr>
            <w:tcW w:type="dxa" w:w="7488"/>
            <w:vAlign w:val="center"/>
            <w:shd w:fill="F3F6FA"/>
          </w:tcPr>
          <w:p>
            <w:r/>
            <w:r>
              <w:rPr>
                <w:rFonts w:ascii="Aptos" w:hAnsi="Aptos"/>
                <w:b w:val="0"/>
                <w:sz w:val="16"/>
              </w:rPr>
              <w:t>Versioned AgencyAgreement, not a fixed field on the doctor</w:t>
            </w:r>
          </w:p>
        </w:tc>
      </w:tr>
      <w:tr>
        <w:tc>
          <w:tcPr>
            <w:tcW w:type="dxa" w:w="2880"/>
            <w:vAlign w:val="center"/>
          </w:tcPr>
          <w:p>
            <w:r/>
            <w:r>
              <w:rPr>
                <w:rFonts w:ascii="Aptos" w:hAnsi="Aptos"/>
                <w:b w:val="0"/>
                <w:sz w:val="16"/>
              </w:rPr>
              <w:t>Protected sourcing</w:t>
            </w:r>
          </w:p>
        </w:tc>
        <w:tc>
          <w:tcPr>
            <w:tcW w:type="dxa" w:w="7488"/>
            <w:vAlign w:val="center"/>
          </w:tcPr>
          <w:p>
            <w:r/>
            <w:r>
              <w:rPr>
                <w:rFonts w:ascii="Aptos" w:hAnsi="Aptos"/>
                <w:b w:val="0"/>
                <w:sz w:val="16"/>
              </w:rPr>
              <w:t>Configurable policy tier/window</w:t>
            </w:r>
          </w:p>
        </w:tc>
      </w:tr>
      <w:tr>
        <w:tc>
          <w:tcPr>
            <w:tcW w:type="dxa" w:w="2880"/>
            <w:vAlign w:val="center"/>
            <w:shd w:fill="F3F6FA"/>
          </w:tcPr>
          <w:p>
            <w:r/>
            <w:r>
              <w:rPr>
                <w:rFonts w:ascii="Aptos" w:hAnsi="Aptos"/>
                <w:b w:val="0"/>
                <w:sz w:val="16"/>
              </w:rPr>
              <w:t>Commercial confidentiality</w:t>
            </w:r>
          </w:p>
        </w:tc>
        <w:tc>
          <w:tcPr>
            <w:tcW w:type="dxa" w:w="7488"/>
            <w:vAlign w:val="center"/>
            <w:shd w:fill="F3F6FA"/>
          </w:tcPr>
          <w:p>
            <w:r/>
            <w:r>
              <w:rPr>
                <w:rFonts w:ascii="Aptos" w:hAnsi="Aptos"/>
                <w:b w:val="0"/>
                <w:sz w:val="16"/>
              </w:rPr>
              <w:t>Agency users see only their own terms and proposals</w:t>
            </w:r>
          </w:p>
        </w:tc>
      </w:tr>
      <w:tr>
        <w:tc>
          <w:tcPr>
            <w:tcW w:type="dxa" w:w="2880"/>
            <w:vAlign w:val="center"/>
          </w:tcPr>
          <w:p>
            <w:r/>
            <w:r>
              <w:rPr>
                <w:rFonts w:ascii="Aptos" w:hAnsi="Aptos"/>
                <w:b w:val="0"/>
                <w:sz w:val="16"/>
              </w:rPr>
              <w:t>Historical accuracy</w:t>
            </w:r>
          </w:p>
        </w:tc>
        <w:tc>
          <w:tcPr>
            <w:tcW w:type="dxa" w:w="7488"/>
            <w:vAlign w:val="center"/>
          </w:tcPr>
          <w:p>
            <w:r/>
            <w:r>
              <w:rPr>
                <w:rFonts w:ascii="Aptos" w:hAnsi="Aptos"/>
                <w:b w:val="0"/>
                <w:sz w:val="16"/>
              </w:rPr>
              <w:t>Booking snapshots applicable rate, commission and agreement version</w:t>
            </w:r>
          </w:p>
        </w:tc>
      </w:tr>
      <w:tr>
        <w:tc>
          <w:tcPr>
            <w:tcW w:type="dxa" w:w="2880"/>
            <w:vAlign w:val="center"/>
            <w:shd w:fill="F3F6FA"/>
          </w:tcPr>
          <w:p>
            <w:r/>
            <w:r>
              <w:rPr>
                <w:rFonts w:ascii="Aptos" w:hAnsi="Aptos"/>
                <w:b w:val="0"/>
                <w:sz w:val="16"/>
              </w:rPr>
              <w:t>Exception</w:t>
            </w:r>
          </w:p>
        </w:tc>
        <w:tc>
          <w:tcPr>
            <w:tcW w:type="dxa" w:w="7488"/>
            <w:vAlign w:val="center"/>
            <w:shd w:fill="F3F6FA"/>
          </w:tcPr>
          <w:p>
            <w:r/>
            <w:r>
              <w:rPr>
                <w:rFonts w:ascii="Aptos" w:hAnsi="Aptos"/>
                <w:b w:val="0"/>
                <w:sz w:val="16"/>
              </w:rPr>
              <w:t>Authorised override/exemption with reason, delegate and audit</w:t>
            </w:r>
          </w:p>
        </w:tc>
      </w:tr>
      <w:tr>
        <w:tc>
          <w:tcPr>
            <w:tcW w:type="dxa" w:w="2880"/>
            <w:vAlign w:val="center"/>
          </w:tcPr>
          <w:p>
            <w:r/>
            <w:r>
              <w:rPr>
                <w:rFonts w:ascii="Aptos" w:hAnsi="Aptos"/>
                <w:b w:val="0"/>
                <w:sz w:val="16"/>
              </w:rPr>
              <w:t>Doctor supplied by agency</w:t>
            </w:r>
          </w:p>
        </w:tc>
        <w:tc>
          <w:tcPr>
            <w:tcW w:type="dxa" w:w="7488"/>
            <w:vAlign w:val="center"/>
          </w:tcPr>
          <w:p>
            <w:r/>
            <w:r>
              <w:rPr>
                <w:rFonts w:ascii="Aptos" w:hAnsi="Aptos"/>
                <w:b w:val="0"/>
                <w:sz w:val="16"/>
              </w:rPr>
              <w:t>Practitioner-agency relationship effective at time of engagement</w:t>
            </w:r>
          </w:p>
        </w:tc>
      </w:tr>
    </w:tbl>
    <w:p/>
    <w:p>
      <w:r>
        <w:t>This model allows YNLHN to quantify agency response, proposal, fill, cancellation, commission and total cost without requiring immediate change to commercial relationships.</w:t>
      </w:r>
    </w:p>
    <w:p>
      <w:pPr>
        <w:pStyle w:val="Heading1"/>
      </w:pPr>
      <w:r>
        <w:t>8. Credential Wallet and sharing model</w:t>
      </w:r>
    </w:p>
    <w:p>
      <w:r>
        <w:t>Credentials should be stored as structured professional records with evidence attached, not as an undifferentiated folder of PDFs. The doctor controls sharing, while verification provenance remains explicit.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r/>
            <w:r>
              <w:rPr>
                <w:rFonts w:ascii="Aptos" w:hAnsi="Aptos"/>
                <w:b/>
                <w:color w:val="FFFFFF"/>
                <w:sz w:val="16"/>
              </w:rPr>
              <w:t>Assurance state</w:t>
            </w:r>
          </w:p>
        </w:tc>
        <w:tc>
          <w:tcPr>
            <w:tcW w:type="dxa" w:w="7488"/>
            <w:vAlign w:val="center"/>
            <w:shd w:fill="17365D"/>
          </w:tcPr>
          <w:p>
            <w:r/>
            <w:r>
              <w:rPr>
                <w:rFonts w:ascii="Aptos" w:hAnsi="Aptos"/>
                <w:b/>
                <w:color w:val="FFFFFF"/>
                <w:sz w:val="16"/>
              </w:rPr>
              <w:t>Meaning</w:t>
            </w:r>
          </w:p>
        </w:tc>
      </w:tr>
      <w:tr>
        <w:tc>
          <w:tcPr>
            <w:tcW w:type="dxa" w:w="2880"/>
            <w:vAlign w:val="center"/>
          </w:tcPr>
          <w:p>
            <w:r/>
            <w:r>
              <w:rPr>
                <w:rFonts w:ascii="Aptos" w:hAnsi="Aptos"/>
                <w:b w:val="0"/>
                <w:sz w:val="16"/>
              </w:rPr>
              <w:t>Self-supplied</w:t>
            </w:r>
          </w:p>
        </w:tc>
        <w:tc>
          <w:tcPr>
            <w:tcW w:type="dxa" w:w="7488"/>
            <w:vAlign w:val="center"/>
          </w:tcPr>
          <w:p>
            <w:r/>
            <w:r>
              <w:rPr>
                <w:rFonts w:ascii="Aptos" w:hAnsi="Aptos"/>
                <w:b w:val="0"/>
                <w:sz w:val="16"/>
              </w:rPr>
              <w:t>Entered or uploaded by the practitioner and not independently checked</w:t>
            </w:r>
          </w:p>
        </w:tc>
      </w:tr>
      <w:tr>
        <w:tc>
          <w:tcPr>
            <w:tcW w:type="dxa" w:w="2880"/>
            <w:vAlign w:val="center"/>
            <w:shd w:fill="F3F6FA"/>
          </w:tcPr>
          <w:p>
            <w:r/>
            <w:r>
              <w:rPr>
                <w:rFonts w:ascii="Aptos" w:hAnsi="Aptos"/>
                <w:b w:val="0"/>
                <w:sz w:val="16"/>
              </w:rPr>
              <w:t>Organisation verified</w:t>
            </w:r>
          </w:p>
        </w:tc>
        <w:tc>
          <w:tcPr>
            <w:tcW w:type="dxa" w:w="7488"/>
            <w:vAlign w:val="center"/>
            <w:shd w:fill="F3F6FA"/>
          </w:tcPr>
          <w:p>
            <w:r/>
            <w:r>
              <w:rPr>
                <w:rFonts w:ascii="Aptos" w:hAnsi="Aptos"/>
                <w:b w:val="0"/>
                <w:sz w:val="16"/>
              </w:rPr>
              <w:t>Checked by YNLHN or another named organisation using its process</w:t>
            </w:r>
          </w:p>
        </w:tc>
      </w:tr>
      <w:tr>
        <w:tc>
          <w:tcPr>
            <w:tcW w:type="dxa" w:w="2880"/>
            <w:vAlign w:val="center"/>
          </w:tcPr>
          <w:p>
            <w:r/>
            <w:r>
              <w:rPr>
                <w:rFonts w:ascii="Aptos" w:hAnsi="Aptos"/>
                <w:b w:val="0"/>
                <w:sz w:val="16"/>
              </w:rPr>
              <w:t>Primary-source verified</w:t>
            </w:r>
          </w:p>
        </w:tc>
        <w:tc>
          <w:tcPr>
            <w:tcW w:type="dxa" w:w="7488"/>
            <w:vAlign w:val="center"/>
          </w:tcPr>
          <w:p>
            <w:r/>
            <w:r>
              <w:rPr>
                <w:rFonts w:ascii="Aptos" w:hAnsi="Aptos"/>
                <w:b w:val="0"/>
                <w:sz w:val="16"/>
              </w:rPr>
              <w:t>Validated against an authoritative source where supported</w:t>
            </w:r>
          </w:p>
        </w:tc>
      </w:tr>
      <w:tr>
        <w:tc>
          <w:tcPr>
            <w:tcW w:type="dxa" w:w="2880"/>
            <w:vAlign w:val="center"/>
            <w:shd w:fill="F3F6FA"/>
          </w:tcPr>
          <w:p>
            <w:r/>
            <w:r>
              <w:rPr>
                <w:rFonts w:ascii="Aptos" w:hAnsi="Aptos"/>
                <w:b w:val="0"/>
                <w:sz w:val="16"/>
              </w:rPr>
              <w:t>Expired</w:t>
            </w:r>
          </w:p>
        </w:tc>
        <w:tc>
          <w:tcPr>
            <w:tcW w:type="dxa" w:w="7488"/>
            <w:vAlign w:val="center"/>
            <w:shd w:fill="F3F6FA"/>
          </w:tcPr>
          <w:p>
            <w:r/>
            <w:r>
              <w:rPr>
                <w:rFonts w:ascii="Aptos" w:hAnsi="Aptos"/>
                <w:b w:val="0"/>
                <w:sz w:val="16"/>
              </w:rPr>
              <w:t>Validity period has passed</w:t>
            </w:r>
          </w:p>
        </w:tc>
      </w:tr>
      <w:tr>
        <w:tc>
          <w:tcPr>
            <w:tcW w:type="dxa" w:w="2880"/>
            <w:vAlign w:val="center"/>
          </w:tcPr>
          <w:p>
            <w:r/>
            <w:r>
              <w:rPr>
                <w:rFonts w:ascii="Aptos" w:hAnsi="Aptos"/>
                <w:b w:val="0"/>
                <w:sz w:val="16"/>
              </w:rPr>
              <w:t>Superseded/revoked</w:t>
            </w:r>
          </w:p>
        </w:tc>
        <w:tc>
          <w:tcPr>
            <w:tcW w:type="dxa" w:w="7488"/>
            <w:vAlign w:val="center"/>
          </w:tcPr>
          <w:p>
            <w:r/>
            <w:r>
              <w:rPr>
                <w:rFonts w:ascii="Aptos" w:hAnsi="Aptos"/>
                <w:b w:val="0"/>
                <w:sz w:val="16"/>
              </w:rPr>
              <w:t>No longer the current credential or no longer relied upon</w:t>
            </w:r>
          </w:p>
        </w:tc>
      </w:tr>
    </w:tbl>
    <w:p/>
    <w:p>
      <w:r>
        <w:t>Credential packs should be shareable with non-users through time-limited links, with minimum-necessary selection, access logging and revocation. Highly sensitive identity evidence should be separately permissioned and excluded from default bundles.</w:t>
      </w:r>
    </w:p>
    <w:p>
      <w:pPr>
        <w:pStyle w:val="Heading1"/>
      </w:pPr>
      <w:r>
        <w:t>9. Timesheet model</w:t>
      </w:r>
    </w:p>
    <w:p>
      <w:r>
        <w:t>Timesheet approval must not depend on every clinical approver becoming a platform user. The doctor submits actual hours and the nominated approver receives a limited-purpose secure link. The approver can approve, amend or reject, with OTP or equivalent assurance where required. The platform records the approver, authentication method, timestamp and approved version, then exports the result into the existing payment/agency process.</w:t>
      </w:r>
    </w:p>
    <w:p>
      <w:pPr>
        <w:pStyle w:val="Heading1"/>
      </w:pPr>
      <w:r>
        <w:t>10. Options considered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vAlign w:val="center"/>
            <w:shd w:fill="17365D"/>
          </w:tcPr>
          <w:p>
            <w:r/>
            <w:r>
              <w:rPr>
                <w:rFonts w:ascii="Aptos" w:hAnsi="Aptos"/>
                <w:b/>
                <w:color w:val="FFFFFF"/>
                <w:sz w:val="16"/>
              </w:rPr>
              <w:t>Option</w:t>
            </w:r>
          </w:p>
        </w:tc>
        <w:tc>
          <w:tcPr>
            <w:tcW w:type="dxa" w:w="2880"/>
            <w:vAlign w:val="center"/>
            <w:shd w:fill="17365D"/>
          </w:tcPr>
          <w:p>
            <w:r/>
            <w:r>
              <w:rPr>
                <w:rFonts w:ascii="Aptos" w:hAnsi="Aptos"/>
                <w:b/>
                <w:color w:val="FFFFFF"/>
                <w:sz w:val="16"/>
              </w:rPr>
              <w:t>Advantages</w:t>
            </w:r>
          </w:p>
        </w:tc>
        <w:tc>
          <w:tcPr>
            <w:tcW w:type="dxa" w:w="3744"/>
            <w:vAlign w:val="center"/>
            <w:shd w:fill="17365D"/>
          </w:tcPr>
          <w:p>
            <w:r/>
            <w:r>
              <w:rPr>
                <w:rFonts w:ascii="Aptos" w:hAnsi="Aptos"/>
                <w:b/>
                <w:color w:val="FFFFFF"/>
                <w:sz w:val="16"/>
              </w:rPr>
              <w:t>Limitations</w:t>
            </w:r>
          </w:p>
        </w:tc>
        <w:tc>
          <w:tcPr>
            <w:tcW w:type="dxa" w:w="1728"/>
            <w:vAlign w:val="center"/>
            <w:shd w:fill="17365D"/>
          </w:tcPr>
          <w:p>
            <w:r/>
            <w:r>
              <w:rPr>
                <w:rFonts w:ascii="Aptos" w:hAnsi="Aptos"/>
                <w:b/>
                <w:color w:val="FFFFFF"/>
                <w:sz w:val="16"/>
              </w:rPr>
              <w:t>Assessment</w:t>
            </w:r>
          </w:p>
        </w:tc>
      </w:tr>
      <w:tr>
        <w:tc>
          <w:tcPr>
            <w:tcW w:type="dxa" w:w="2088"/>
            <w:vAlign w:val="center"/>
          </w:tcPr>
          <w:p>
            <w:r/>
            <w:r>
              <w:rPr>
                <w:rFonts w:ascii="Aptos" w:hAnsi="Aptos"/>
                <w:b w:val="0"/>
                <w:sz w:val="16"/>
              </w:rPr>
              <w:t>1. Status quo</w:t>
            </w:r>
          </w:p>
        </w:tc>
        <w:tc>
          <w:tcPr>
            <w:tcW w:type="dxa" w:w="2880"/>
            <w:vAlign w:val="center"/>
          </w:tcPr>
          <w:p>
            <w:r/>
            <w:r>
              <w:rPr>
                <w:rFonts w:ascii="Aptos" w:hAnsi="Aptos"/>
                <w:b w:val="0"/>
                <w:sz w:val="16"/>
              </w:rPr>
              <w:t>No implementation cost</w:t>
            </w:r>
          </w:p>
        </w:tc>
        <w:tc>
          <w:tcPr>
            <w:tcW w:type="dxa" w:w="3744"/>
            <w:vAlign w:val="center"/>
          </w:tcPr>
          <w:p>
            <w:r/>
            <w:r>
              <w:rPr>
                <w:rFonts w:ascii="Aptos" w:hAnsi="Aptos"/>
                <w:b w:val="0"/>
                <w:sz w:val="16"/>
              </w:rPr>
              <w:t>Fragmented workflow, no structured feedback, limited analytics or doctor utility</w:t>
            </w:r>
          </w:p>
        </w:tc>
        <w:tc>
          <w:tcPr>
            <w:tcW w:type="dxa" w:w="1728"/>
            <w:vAlign w:val="center"/>
          </w:tcPr>
          <w:p>
            <w:r/>
            <w:r>
              <w:rPr>
                <w:rFonts w:ascii="Aptos" w:hAnsi="Aptos"/>
                <w:b w:val="0"/>
                <w:sz w:val="16"/>
              </w:rPr>
              <w:t>Does not address problem</w:t>
            </w:r>
          </w:p>
        </w:tc>
      </w:tr>
      <w:tr>
        <w:tc>
          <w:tcPr>
            <w:tcW w:type="dxa" w:w="2088"/>
            <w:vAlign w:val="center"/>
            <w:shd w:fill="F3F6FA"/>
          </w:tcPr>
          <w:p>
            <w:r/>
            <w:r>
              <w:rPr>
                <w:rFonts w:ascii="Aptos" w:hAnsi="Aptos"/>
                <w:b w:val="0"/>
                <w:sz w:val="16"/>
              </w:rPr>
              <w:t>2. Feedback survey only</w:t>
            </w:r>
          </w:p>
        </w:tc>
        <w:tc>
          <w:tcPr>
            <w:tcW w:type="dxa" w:w="2880"/>
            <w:vAlign w:val="center"/>
            <w:shd w:fill="F3F6FA"/>
          </w:tcPr>
          <w:p>
            <w:r/>
            <w:r>
              <w:rPr>
                <w:rFonts w:ascii="Aptos" w:hAnsi="Aptos"/>
                <w:b w:val="0"/>
                <w:sz w:val="16"/>
              </w:rPr>
              <w:t>Low cost, quick</w:t>
            </w:r>
          </w:p>
        </w:tc>
        <w:tc>
          <w:tcPr>
            <w:tcW w:type="dxa" w:w="3744"/>
            <w:vAlign w:val="center"/>
            <w:shd w:fill="F3F6FA"/>
          </w:tcPr>
          <w:p>
            <w:r/>
            <w:r>
              <w:rPr>
                <w:rFonts w:ascii="Aptos" w:hAnsi="Aptos"/>
                <w:b w:val="0"/>
                <w:sz w:val="16"/>
              </w:rPr>
              <w:t>No credential utility, weak engagement flywheel, no vacancy/process improvement</w:t>
            </w:r>
          </w:p>
        </w:tc>
        <w:tc>
          <w:tcPr>
            <w:tcW w:type="dxa" w:w="1728"/>
            <w:vAlign w:val="center"/>
            <w:shd w:fill="F3F6FA"/>
          </w:tcPr>
          <w:p>
            <w:r/>
            <w:r>
              <w:rPr>
                <w:rFonts w:ascii="Aptos" w:hAnsi="Aptos"/>
                <w:b w:val="0"/>
                <w:sz w:val="16"/>
              </w:rPr>
              <w:t>Useful component but insufficient</w:t>
            </w:r>
          </w:p>
        </w:tc>
      </w:tr>
      <w:tr>
        <w:tc>
          <w:tcPr>
            <w:tcW w:type="dxa" w:w="2088"/>
            <w:vAlign w:val="center"/>
          </w:tcPr>
          <w:p>
            <w:r/>
            <w:r>
              <w:rPr>
                <w:rFonts w:ascii="Aptos" w:hAnsi="Aptos"/>
                <w:b w:val="0"/>
                <w:sz w:val="16"/>
              </w:rPr>
              <w:t>3. Commercial rostering/agency product only</w:t>
            </w:r>
          </w:p>
        </w:tc>
        <w:tc>
          <w:tcPr>
            <w:tcW w:type="dxa" w:w="2880"/>
            <w:vAlign w:val="center"/>
          </w:tcPr>
          <w:p>
            <w:r/>
            <w:r>
              <w:rPr>
                <w:rFonts w:ascii="Aptos" w:hAnsi="Aptos"/>
                <w:b w:val="0"/>
                <w:sz w:val="16"/>
              </w:rPr>
              <w:t>Potentially faster procurement</w:t>
            </w:r>
          </w:p>
        </w:tc>
        <w:tc>
          <w:tcPr>
            <w:tcW w:type="dxa" w:w="3744"/>
            <w:vAlign w:val="center"/>
          </w:tcPr>
          <w:p>
            <w:r/>
            <w:r>
              <w:rPr>
                <w:rFonts w:ascii="Aptos" w:hAnsi="Aptos"/>
                <w:b w:val="0"/>
                <w:sz w:val="16"/>
              </w:rPr>
              <w:t>May not solve credential portability, feedback trust or SA-specific sourcing architecture</w:t>
            </w:r>
          </w:p>
        </w:tc>
        <w:tc>
          <w:tcPr>
            <w:tcW w:type="dxa" w:w="1728"/>
            <w:vAlign w:val="center"/>
          </w:tcPr>
          <w:p>
            <w:r/>
            <w:r>
              <w:rPr>
                <w:rFonts w:ascii="Aptos" w:hAnsi="Aptos"/>
                <w:b w:val="0"/>
                <w:sz w:val="16"/>
              </w:rPr>
              <w:t>Market scan required but not assumed sufficient</w:t>
            </w:r>
          </w:p>
        </w:tc>
      </w:tr>
      <w:tr>
        <w:tc>
          <w:tcPr>
            <w:tcW w:type="dxa" w:w="2088"/>
            <w:vAlign w:val="center"/>
            <w:shd w:fill="F3F6FA"/>
          </w:tcPr>
          <w:p>
            <w:r/>
            <w:r>
              <w:rPr>
                <w:rFonts w:ascii="Aptos" w:hAnsi="Aptos"/>
                <w:b w:val="0"/>
                <w:sz w:val="16"/>
              </w:rPr>
              <w:t>4. YNLHN integrated pilot</w:t>
            </w:r>
          </w:p>
        </w:tc>
        <w:tc>
          <w:tcPr>
            <w:tcW w:type="dxa" w:w="2880"/>
            <w:vAlign w:val="center"/>
            <w:shd w:fill="F3F6FA"/>
          </w:tcPr>
          <w:p>
            <w:r/>
            <w:r>
              <w:rPr>
                <w:rFonts w:ascii="Aptos" w:hAnsi="Aptos"/>
                <w:b w:val="0"/>
                <w:sz w:val="16"/>
              </w:rPr>
              <w:t>Doctor Wallet + feedback + procurement-compliant exchange + timesheets; creates reusable foundation</w:t>
            </w:r>
          </w:p>
        </w:tc>
        <w:tc>
          <w:tcPr>
            <w:tcW w:type="dxa" w:w="3744"/>
            <w:vAlign w:val="center"/>
            <w:shd w:fill="F3F6FA"/>
          </w:tcPr>
          <w:p>
            <w:r/>
            <w:r>
              <w:rPr>
                <w:rFonts w:ascii="Aptos" w:hAnsi="Aptos"/>
                <w:b w:val="0"/>
                <w:sz w:val="16"/>
              </w:rPr>
              <w:t>Requires discovery, build/procurement, privacy and change management</w:t>
            </w:r>
          </w:p>
        </w:tc>
        <w:tc>
          <w:tcPr>
            <w:tcW w:type="dxa" w:w="1728"/>
            <w:vAlign w:val="center"/>
            <w:shd w:fill="F3F6FA"/>
          </w:tcPr>
          <w:p>
            <w:r/>
            <w:r>
              <w:rPr>
                <w:rFonts w:ascii="Aptos" w:hAnsi="Aptos"/>
                <w:b w:val="0"/>
                <w:sz w:val="16"/>
              </w:rPr>
              <w:t>Preferred</w:t>
            </w:r>
          </w:p>
        </w:tc>
      </w:tr>
      <w:tr>
        <w:tc>
          <w:tcPr>
            <w:tcW w:type="dxa" w:w="2088"/>
            <w:vAlign w:val="center"/>
          </w:tcPr>
          <w:p>
            <w:r/>
            <w:r>
              <w:rPr>
                <w:rFonts w:ascii="Aptos" w:hAnsi="Aptos"/>
                <w:b w:val="0"/>
                <w:sz w:val="16"/>
              </w:rPr>
              <w:t>5. Statewide/national build immediately</w:t>
            </w:r>
          </w:p>
        </w:tc>
        <w:tc>
          <w:tcPr>
            <w:tcW w:type="dxa" w:w="2880"/>
            <w:vAlign w:val="center"/>
          </w:tcPr>
          <w:p>
            <w:r/>
            <w:r>
              <w:rPr>
                <w:rFonts w:ascii="Aptos" w:hAnsi="Aptos"/>
                <w:b w:val="0"/>
                <w:sz w:val="16"/>
              </w:rPr>
              <w:t>Maximum ambition</w:t>
            </w:r>
          </w:p>
        </w:tc>
        <w:tc>
          <w:tcPr>
            <w:tcW w:type="dxa" w:w="3744"/>
            <w:vAlign w:val="center"/>
          </w:tcPr>
          <w:p>
            <w:r/>
            <w:r>
              <w:rPr>
                <w:rFonts w:ascii="Aptos" w:hAnsi="Aptos"/>
                <w:b w:val="0"/>
                <w:sz w:val="16"/>
              </w:rPr>
              <w:t>High complexity, long lead time, high governance risk before local proof</w:t>
            </w:r>
          </w:p>
        </w:tc>
        <w:tc>
          <w:tcPr>
            <w:tcW w:type="dxa" w:w="1728"/>
            <w:vAlign w:val="center"/>
          </w:tcPr>
          <w:p>
            <w:r/>
            <w:r>
              <w:rPr>
                <w:rFonts w:ascii="Aptos" w:hAnsi="Aptos"/>
                <w:b w:val="0"/>
                <w:sz w:val="16"/>
              </w:rPr>
              <w:t>Not recommended initially</w:t>
            </w:r>
          </w:p>
        </w:tc>
      </w:tr>
    </w:tbl>
    <w:p/>
    <w:p>
      <w:pPr>
        <w:pStyle w:val="Heading1"/>
      </w:pPr>
      <w:r>
        <w:t>11. Expected benefits</w:t>
      </w:r>
    </w:p>
    <w:p>
      <w:pPr>
        <w:pStyle w:val="Heading2"/>
      </w:pPr>
      <w:r>
        <w:t>11.1 Benefits to doctors</w:t>
      </w:r>
    </w:p>
    <w:p>
      <w:pPr>
        <w:pStyle w:val="ListBullet"/>
      </w:pPr>
      <w:r>
        <w:t>free reusable credential store with expiry tracking</w:t>
      </w:r>
    </w:p>
    <w:p>
      <w:pPr>
        <w:pStyle w:val="ListBullet"/>
      </w:pPr>
      <w:r>
        <w:t>less repeated credential paperwork</w:t>
      </w:r>
    </w:p>
    <w:p>
      <w:pPr>
        <w:pStyle w:val="ListBullet"/>
      </w:pPr>
      <w:r>
        <w:t>secure credential sharing with any employer or agency</w:t>
      </w:r>
    </w:p>
    <w:p>
      <w:pPr>
        <w:pStyle w:val="ListBullet"/>
      </w:pPr>
      <w:r>
        <w:t>clearer visibility of current YNLHN role/site authorisation</w:t>
      </w:r>
    </w:p>
    <w:p>
      <w:pPr>
        <w:pStyle w:val="ListBullet"/>
      </w:pPr>
      <w:r>
        <w:t>simpler shift discovery and timesheets</w:t>
      </w:r>
    </w:p>
    <w:p>
      <w:pPr>
        <w:pStyle w:val="ListBullet"/>
      </w:pPr>
      <w:r>
        <w:t>control over location, role, availability and minimum-rate preferences</w:t>
      </w:r>
    </w:p>
    <w:p>
      <w:pPr>
        <w:pStyle w:val="ListBullet"/>
      </w:pPr>
      <w:r>
        <w:t>confidential mechanism to influence local workforce culture and support</w:t>
      </w:r>
    </w:p>
    <w:p>
      <w:pPr>
        <w:pStyle w:val="Heading2"/>
      </w:pPr>
      <w:r>
        <w:t>11.2 Benefits to YNLHN</w:t>
      </w:r>
    </w:p>
    <w:p>
      <w:pPr>
        <w:pStyle w:val="ListBullet"/>
      </w:pPr>
      <w:r>
        <w:t>structured and auditable vacancy sourcing</w:t>
      </w:r>
    </w:p>
    <w:p>
      <w:pPr>
        <w:pStyle w:val="ListBullet"/>
      </w:pPr>
      <w:r>
        <w:t>better visibility of panel agency performance and commercial cost</w:t>
      </w:r>
    </w:p>
    <w:p>
      <w:pPr>
        <w:pStyle w:val="ListBullet"/>
      </w:pPr>
      <w:r>
        <w:t>fewer manual contacts and follow-ups</w:t>
      </w:r>
    </w:p>
    <w:p>
      <w:pPr>
        <w:pStyle w:val="ListBullet"/>
      </w:pPr>
      <w:r>
        <w:t>improved credential currency and update requests</w:t>
      </w:r>
    </w:p>
    <w:p>
      <w:pPr>
        <w:pStyle w:val="ListBullet"/>
      </w:pPr>
      <w:r>
        <w:t>better understanding of locum experience and retention</w:t>
      </w:r>
    </w:p>
    <w:p>
      <w:pPr>
        <w:pStyle w:val="ListBullet"/>
      </w:pPr>
      <w:r>
        <w:t>digital timesheet workflow</w:t>
      </w:r>
    </w:p>
    <w:p>
      <w:pPr>
        <w:pStyle w:val="ListBullet"/>
      </w:pPr>
      <w:r>
        <w:t>baseline data for future direct-engagement and credential-portability decisions</w:t>
      </w:r>
    </w:p>
    <w:p>
      <w:pPr>
        <w:pStyle w:val="ListBullet"/>
      </w:pPr>
      <w:r>
        <w:t>potential future reduction in premium rates, duplicated credentialling and agency dependence</w:t>
      </w:r>
    </w:p>
    <w:p>
      <w:pPr>
        <w:pStyle w:val="Heading1"/>
      </w:pPr>
      <w:r>
        <w:t>12. Financial case</w:t>
      </w:r>
    </w:p>
    <w:p>
      <w:r>
        <w:t>A final financial ROI should not be asserted until YNLHN establishes reliable baseline data. The discovery phase should quantify current locum expenditure, agency commissions, workforce administration effort, credentialling duplication, vacancy escalation and avoidable premium-rate expenditure.</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65D"/>
          </w:tcPr>
          <w:p>
            <w:r/>
            <w:r>
              <w:rPr>
                <w:rFonts w:ascii="Aptos" w:hAnsi="Aptos"/>
                <w:b/>
                <w:color w:val="FFFFFF"/>
                <w:sz w:val="16"/>
              </w:rPr>
              <w:t>Benefit pool</w:t>
            </w:r>
          </w:p>
        </w:tc>
        <w:tc>
          <w:tcPr>
            <w:tcW w:type="dxa" w:w="3600"/>
            <w:vAlign w:val="center"/>
            <w:shd w:fill="17365D"/>
          </w:tcPr>
          <w:p>
            <w:r/>
            <w:r>
              <w:rPr>
                <w:rFonts w:ascii="Aptos" w:hAnsi="Aptos"/>
                <w:b/>
                <w:color w:val="FFFFFF"/>
                <w:sz w:val="16"/>
              </w:rPr>
              <w:t>Baseline required</w:t>
            </w:r>
          </w:p>
        </w:tc>
        <w:tc>
          <w:tcPr>
            <w:tcW w:type="dxa" w:w="3888"/>
            <w:vAlign w:val="center"/>
            <w:shd w:fill="17365D"/>
          </w:tcPr>
          <w:p>
            <w:r/>
            <w:r>
              <w:rPr>
                <w:rFonts w:ascii="Aptos" w:hAnsi="Aptos"/>
                <w:b/>
                <w:color w:val="FFFFFF"/>
                <w:sz w:val="16"/>
              </w:rPr>
              <w:t>How benefit may arise</w:t>
            </w:r>
          </w:p>
        </w:tc>
      </w:tr>
      <w:tr>
        <w:tc>
          <w:tcPr>
            <w:tcW w:type="dxa" w:w="2880"/>
            <w:vAlign w:val="center"/>
          </w:tcPr>
          <w:p>
            <w:r/>
            <w:r>
              <w:rPr>
                <w:rFonts w:ascii="Aptos" w:hAnsi="Aptos"/>
                <w:b w:val="0"/>
                <w:sz w:val="16"/>
              </w:rPr>
              <w:t>Agency commission</w:t>
            </w:r>
          </w:p>
        </w:tc>
        <w:tc>
          <w:tcPr>
            <w:tcW w:type="dxa" w:w="3600"/>
            <w:vAlign w:val="center"/>
          </w:tcPr>
          <w:p>
            <w:r/>
            <w:r>
              <w:rPr>
                <w:rFonts w:ascii="Aptos" w:hAnsi="Aptos"/>
                <w:b w:val="0"/>
                <w:sz w:val="16"/>
              </w:rPr>
              <w:t>Spend and commission by agency/category</w:t>
            </w:r>
          </w:p>
        </w:tc>
        <w:tc>
          <w:tcPr>
            <w:tcW w:type="dxa" w:w="3888"/>
            <w:vAlign w:val="center"/>
          </w:tcPr>
          <w:p>
            <w:r/>
            <w:r>
              <w:rPr>
                <w:rFonts w:ascii="Aptos" w:hAnsi="Aptos"/>
                <w:b w:val="0"/>
                <w:sz w:val="16"/>
              </w:rPr>
              <w:t>Future increase in direct engagement where policy permits</w:t>
            </w:r>
          </w:p>
        </w:tc>
      </w:tr>
      <w:tr>
        <w:tc>
          <w:tcPr>
            <w:tcW w:type="dxa" w:w="2880"/>
            <w:vAlign w:val="center"/>
            <w:shd w:fill="F3F6FA"/>
          </w:tcPr>
          <w:p>
            <w:r/>
            <w:r>
              <w:rPr>
                <w:rFonts w:ascii="Aptos" w:hAnsi="Aptos"/>
                <w:b w:val="0"/>
                <w:sz w:val="16"/>
              </w:rPr>
              <w:t>Administrative time</w:t>
            </w:r>
          </w:p>
        </w:tc>
        <w:tc>
          <w:tcPr>
            <w:tcW w:type="dxa" w:w="3600"/>
            <w:vAlign w:val="center"/>
            <w:shd w:fill="F3F6FA"/>
          </w:tcPr>
          <w:p>
            <w:r/>
            <w:r>
              <w:rPr>
                <w:rFonts w:ascii="Aptos" w:hAnsi="Aptos"/>
                <w:b w:val="0"/>
                <w:sz w:val="16"/>
              </w:rPr>
              <w:t>Contacts and staff minutes per vacancy/timesheet</w:t>
            </w:r>
          </w:p>
        </w:tc>
        <w:tc>
          <w:tcPr>
            <w:tcW w:type="dxa" w:w="3888"/>
            <w:vAlign w:val="center"/>
            <w:shd w:fill="F3F6FA"/>
          </w:tcPr>
          <w:p>
            <w:r/>
            <w:r>
              <w:rPr>
                <w:rFonts w:ascii="Aptos" w:hAnsi="Aptos"/>
                <w:b w:val="0"/>
                <w:sz w:val="16"/>
              </w:rPr>
              <w:t>Self-service vacancy response and digital approval</w:t>
            </w:r>
          </w:p>
        </w:tc>
      </w:tr>
      <w:tr>
        <w:tc>
          <w:tcPr>
            <w:tcW w:type="dxa" w:w="2880"/>
            <w:vAlign w:val="center"/>
          </w:tcPr>
          <w:p>
            <w:r/>
            <w:r>
              <w:rPr>
                <w:rFonts w:ascii="Aptos" w:hAnsi="Aptos"/>
                <w:b w:val="0"/>
                <w:sz w:val="16"/>
              </w:rPr>
              <w:t>Premium rates</w:t>
            </w:r>
          </w:p>
        </w:tc>
        <w:tc>
          <w:tcPr>
            <w:tcW w:type="dxa" w:w="3600"/>
            <w:vAlign w:val="center"/>
          </w:tcPr>
          <w:p>
            <w:r/>
            <w:r>
              <w:rPr>
                <w:rFonts w:ascii="Aptos" w:hAnsi="Aptos"/>
                <w:b w:val="0"/>
                <w:sz w:val="16"/>
              </w:rPr>
              <w:t>Rate by lead time and vacancy urgency</w:t>
            </w:r>
          </w:p>
        </w:tc>
        <w:tc>
          <w:tcPr>
            <w:tcW w:type="dxa" w:w="3888"/>
            <w:vAlign w:val="center"/>
          </w:tcPr>
          <w:p>
            <w:r/>
            <w:r>
              <w:rPr>
                <w:rFonts w:ascii="Aptos" w:hAnsi="Aptos"/>
                <w:b w:val="0"/>
                <w:sz w:val="16"/>
              </w:rPr>
              <w:t>Earlier advertising and broader eligible reach</w:t>
            </w:r>
          </w:p>
        </w:tc>
      </w:tr>
      <w:tr>
        <w:tc>
          <w:tcPr>
            <w:tcW w:type="dxa" w:w="2880"/>
            <w:vAlign w:val="center"/>
            <w:shd w:fill="F3F6FA"/>
          </w:tcPr>
          <w:p>
            <w:r/>
            <w:r>
              <w:rPr>
                <w:rFonts w:ascii="Aptos" w:hAnsi="Aptos"/>
                <w:b w:val="0"/>
                <w:sz w:val="16"/>
              </w:rPr>
              <w:t>Credential administration</w:t>
            </w:r>
          </w:p>
        </w:tc>
        <w:tc>
          <w:tcPr>
            <w:tcW w:type="dxa" w:w="3600"/>
            <w:vAlign w:val="center"/>
            <w:shd w:fill="F3F6FA"/>
          </w:tcPr>
          <w:p>
            <w:r/>
            <w:r>
              <w:rPr>
                <w:rFonts w:ascii="Aptos" w:hAnsi="Aptos"/>
                <w:b w:val="0"/>
                <w:sz w:val="16"/>
              </w:rPr>
              <w:t>Requests, resubmissions and verification effort</w:t>
            </w:r>
          </w:p>
        </w:tc>
        <w:tc>
          <w:tcPr>
            <w:tcW w:type="dxa" w:w="3888"/>
            <w:vAlign w:val="center"/>
            <w:shd w:fill="F3F6FA"/>
          </w:tcPr>
          <w:p>
            <w:r/>
            <w:r>
              <w:rPr>
                <w:rFonts w:ascii="Aptos" w:hAnsi="Aptos"/>
                <w:b w:val="0"/>
                <w:sz w:val="16"/>
              </w:rPr>
              <w:t>Doctor-maintained reusable credential records</w:t>
            </w:r>
          </w:p>
        </w:tc>
      </w:tr>
      <w:tr>
        <w:tc>
          <w:tcPr>
            <w:tcW w:type="dxa" w:w="2880"/>
            <w:vAlign w:val="center"/>
          </w:tcPr>
          <w:p>
            <w:r/>
            <w:r>
              <w:rPr>
                <w:rFonts w:ascii="Aptos" w:hAnsi="Aptos"/>
                <w:b w:val="0"/>
                <w:sz w:val="16"/>
              </w:rPr>
              <w:t>Retention</w:t>
            </w:r>
          </w:p>
        </w:tc>
        <w:tc>
          <w:tcPr>
            <w:tcW w:type="dxa" w:w="3600"/>
            <w:vAlign w:val="center"/>
          </w:tcPr>
          <w:p>
            <w:r/>
            <w:r>
              <w:rPr>
                <w:rFonts w:ascii="Aptos" w:hAnsi="Aptos"/>
                <w:b w:val="0"/>
                <w:sz w:val="16"/>
              </w:rPr>
              <w:t>Repeat/eligible return rates</w:t>
            </w:r>
          </w:p>
        </w:tc>
        <w:tc>
          <w:tcPr>
            <w:tcW w:type="dxa" w:w="3888"/>
            <w:vAlign w:val="center"/>
          </w:tcPr>
          <w:p>
            <w:r/>
            <w:r>
              <w:rPr>
                <w:rFonts w:ascii="Aptos" w:hAnsi="Aptos"/>
                <w:b w:val="0"/>
                <w:sz w:val="16"/>
              </w:rPr>
              <w:t>Improved orientation, culture and support</w:t>
            </w:r>
          </w:p>
        </w:tc>
      </w:tr>
      <w:tr>
        <w:tc>
          <w:tcPr>
            <w:tcW w:type="dxa" w:w="2880"/>
            <w:vAlign w:val="center"/>
            <w:shd w:fill="F3F6FA"/>
          </w:tcPr>
          <w:p>
            <w:r/>
            <w:r>
              <w:rPr>
                <w:rFonts w:ascii="Aptos" w:hAnsi="Aptos"/>
                <w:b w:val="0"/>
                <w:sz w:val="16"/>
              </w:rPr>
              <w:t>Unfilled shifts</w:t>
            </w:r>
          </w:p>
        </w:tc>
        <w:tc>
          <w:tcPr>
            <w:tcW w:type="dxa" w:w="3600"/>
            <w:vAlign w:val="center"/>
            <w:shd w:fill="F3F6FA"/>
          </w:tcPr>
          <w:p>
            <w:r/>
            <w:r>
              <w:rPr>
                <w:rFonts w:ascii="Aptos" w:hAnsi="Aptos"/>
                <w:b w:val="0"/>
                <w:sz w:val="16"/>
              </w:rPr>
              <w:t>Number/duration and operational consequences</w:t>
            </w:r>
          </w:p>
        </w:tc>
        <w:tc>
          <w:tcPr>
            <w:tcW w:type="dxa" w:w="3888"/>
            <w:vAlign w:val="center"/>
            <w:shd w:fill="F3F6FA"/>
          </w:tcPr>
          <w:p>
            <w:r/>
            <w:r>
              <w:rPr>
                <w:rFonts w:ascii="Aptos" w:hAnsi="Aptos"/>
                <w:b w:val="0"/>
                <w:sz w:val="16"/>
              </w:rPr>
              <w:t>Improved matching and escalation</w:t>
            </w:r>
          </w:p>
        </w:tc>
      </w:tr>
    </w:tbl>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1"/>
              </w:rPr>
              <w:t>Pilot success should not depend on proving agency savings. The first economic objective is to make current cost and performance measurable.</w:t>
            </w:r>
          </w:p>
        </w:tc>
      </w:tr>
    </w:tbl>
    <w:p/>
    <w:p>
      <w:pPr>
        <w:pStyle w:val="Heading1"/>
      </w:pPr>
      <w:r>
        <w:t>13. Pilot scope and staging</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r/>
            <w:r>
              <w:rPr>
                <w:rFonts w:ascii="Aptos" w:hAnsi="Aptos"/>
                <w:b/>
                <w:color w:val="FFFFFF"/>
                <w:sz w:val="16"/>
              </w:rPr>
              <w:t>Phase</w:t>
            </w:r>
          </w:p>
        </w:tc>
        <w:tc>
          <w:tcPr>
            <w:tcW w:type="dxa" w:w="6048"/>
            <w:vAlign w:val="center"/>
            <w:shd w:fill="17365D"/>
          </w:tcPr>
          <w:p>
            <w:r/>
            <w:r>
              <w:rPr>
                <w:rFonts w:ascii="Aptos" w:hAnsi="Aptos"/>
                <w:b/>
                <w:color w:val="FFFFFF"/>
                <w:sz w:val="16"/>
              </w:rPr>
              <w:t>Indicative scope</w:t>
            </w:r>
          </w:p>
        </w:tc>
        <w:tc>
          <w:tcPr>
            <w:tcW w:type="dxa" w:w="2880"/>
            <w:vAlign w:val="center"/>
            <w:shd w:fill="17365D"/>
          </w:tcPr>
          <w:p>
            <w:r/>
            <w:r>
              <w:rPr>
                <w:rFonts w:ascii="Aptos" w:hAnsi="Aptos"/>
                <w:b/>
                <w:color w:val="FFFFFF"/>
                <w:sz w:val="16"/>
              </w:rPr>
              <w:t>Gate</w:t>
            </w:r>
          </w:p>
        </w:tc>
      </w:tr>
      <w:tr>
        <w:tc>
          <w:tcPr>
            <w:tcW w:type="dxa" w:w="1728"/>
            <w:vAlign w:val="center"/>
          </w:tcPr>
          <w:p>
            <w:r/>
            <w:r>
              <w:rPr>
                <w:rFonts w:ascii="Aptos" w:hAnsi="Aptos"/>
                <w:b w:val="0"/>
                <w:sz w:val="16"/>
              </w:rPr>
              <w:t>Discovery</w:t>
            </w:r>
          </w:p>
        </w:tc>
        <w:tc>
          <w:tcPr>
            <w:tcW w:type="dxa" w:w="6048"/>
            <w:vAlign w:val="center"/>
          </w:tcPr>
          <w:p>
            <w:r/>
            <w:r>
              <w:rPr>
                <w:rFonts w:ascii="Aptos" w:hAnsi="Aptos"/>
                <w:b w:val="0"/>
                <w:sz w:val="16"/>
              </w:rPr>
              <w:t>Workflow mapping, policy/procurement validation, baseline, privacy/security, doctor research, market scan</w:t>
            </w:r>
          </w:p>
        </w:tc>
        <w:tc>
          <w:tcPr>
            <w:tcW w:type="dxa" w:w="2880"/>
            <w:vAlign w:val="center"/>
          </w:tcPr>
          <w:p>
            <w:r/>
            <w:r>
              <w:rPr>
                <w:rFonts w:ascii="Aptos" w:hAnsi="Aptos"/>
                <w:b w:val="0"/>
                <w:sz w:val="16"/>
              </w:rPr>
              <w:t>Executive approval of build/procure approach</w:t>
            </w:r>
          </w:p>
        </w:tc>
      </w:tr>
      <w:tr>
        <w:tc>
          <w:tcPr>
            <w:tcW w:type="dxa" w:w="1728"/>
            <w:vAlign w:val="center"/>
            <w:shd w:fill="F3F6FA"/>
          </w:tcPr>
          <w:p>
            <w:r/>
            <w:r>
              <w:rPr>
                <w:rFonts w:ascii="Aptos" w:hAnsi="Aptos"/>
                <w:b w:val="0"/>
                <w:sz w:val="16"/>
              </w:rPr>
              <w:t>Pilot 1</w:t>
            </w:r>
          </w:p>
        </w:tc>
        <w:tc>
          <w:tcPr>
            <w:tcW w:type="dxa" w:w="6048"/>
            <w:vAlign w:val="center"/>
            <w:shd w:fill="F3F6FA"/>
          </w:tcPr>
          <w:p>
            <w:r/>
            <w:r>
              <w:rPr>
                <w:rFonts w:ascii="Aptos" w:hAnsi="Aptos"/>
                <w:b w:val="0"/>
                <w:sz w:val="16"/>
              </w:rPr>
              <w:t>Credential Wallet + YNLHN linkage + Locum Experience</w:t>
            </w:r>
          </w:p>
        </w:tc>
        <w:tc>
          <w:tcPr>
            <w:tcW w:type="dxa" w:w="2880"/>
            <w:vAlign w:val="center"/>
            <w:shd w:fill="F3F6FA"/>
          </w:tcPr>
          <w:p>
            <w:r/>
            <w:r>
              <w:rPr>
                <w:rFonts w:ascii="Aptos" w:hAnsi="Aptos"/>
                <w:b w:val="0"/>
                <w:sz w:val="16"/>
              </w:rPr>
              <w:t>Doctor adoption, trust and feedback quality</w:t>
            </w:r>
          </w:p>
        </w:tc>
      </w:tr>
      <w:tr>
        <w:tc>
          <w:tcPr>
            <w:tcW w:type="dxa" w:w="1728"/>
            <w:vAlign w:val="center"/>
          </w:tcPr>
          <w:p>
            <w:r/>
            <w:r>
              <w:rPr>
                <w:rFonts w:ascii="Aptos" w:hAnsi="Aptos"/>
                <w:b w:val="0"/>
                <w:sz w:val="16"/>
              </w:rPr>
              <w:t>Pilot 2</w:t>
            </w:r>
          </w:p>
        </w:tc>
        <w:tc>
          <w:tcPr>
            <w:tcW w:type="dxa" w:w="6048"/>
            <w:vAlign w:val="center"/>
          </w:tcPr>
          <w:p>
            <w:r/>
            <w:r>
              <w:rPr>
                <w:rFonts w:ascii="Aptos" w:hAnsi="Aptos"/>
                <w:b w:val="0"/>
                <w:sz w:val="16"/>
              </w:rPr>
              <w:t>Vacancy Exchange + panel agency cascade</w:t>
            </w:r>
          </w:p>
        </w:tc>
        <w:tc>
          <w:tcPr>
            <w:tcW w:type="dxa" w:w="2880"/>
            <w:vAlign w:val="center"/>
          </w:tcPr>
          <w:p>
            <w:r/>
            <w:r>
              <w:rPr>
                <w:rFonts w:ascii="Aptos" w:hAnsi="Aptos"/>
                <w:b w:val="0"/>
                <w:sz w:val="16"/>
              </w:rPr>
              <w:t>Procurement compliance and workflow reliability</w:t>
            </w:r>
          </w:p>
        </w:tc>
      </w:tr>
      <w:tr>
        <w:tc>
          <w:tcPr>
            <w:tcW w:type="dxa" w:w="1728"/>
            <w:vAlign w:val="center"/>
            <w:shd w:fill="F3F6FA"/>
          </w:tcPr>
          <w:p>
            <w:r/>
            <w:r>
              <w:rPr>
                <w:rFonts w:ascii="Aptos" w:hAnsi="Aptos"/>
                <w:b w:val="0"/>
                <w:sz w:val="16"/>
              </w:rPr>
              <w:t>Pilot 3</w:t>
            </w:r>
          </w:p>
        </w:tc>
        <w:tc>
          <w:tcPr>
            <w:tcW w:type="dxa" w:w="6048"/>
            <w:vAlign w:val="center"/>
            <w:shd w:fill="F3F6FA"/>
          </w:tcPr>
          <w:p>
            <w:r/>
            <w:r>
              <w:rPr>
                <w:rFonts w:ascii="Aptos" w:hAnsi="Aptos"/>
                <w:b w:val="0"/>
                <w:sz w:val="16"/>
              </w:rPr>
              <w:t>Digital timesheets + integrated analytics</w:t>
            </w:r>
          </w:p>
        </w:tc>
        <w:tc>
          <w:tcPr>
            <w:tcW w:type="dxa" w:w="2880"/>
            <w:vAlign w:val="center"/>
            <w:shd w:fill="F3F6FA"/>
          </w:tcPr>
          <w:p>
            <w:r/>
            <w:r>
              <w:rPr>
                <w:rFonts w:ascii="Aptos" w:hAnsi="Aptos"/>
                <w:b w:val="0"/>
                <w:sz w:val="16"/>
              </w:rPr>
              <w:t>End-to-end operational benefit</w:t>
            </w:r>
          </w:p>
        </w:tc>
      </w:tr>
      <w:tr>
        <w:tc>
          <w:tcPr>
            <w:tcW w:type="dxa" w:w="1728"/>
            <w:vAlign w:val="center"/>
          </w:tcPr>
          <w:p>
            <w:r/>
            <w:r>
              <w:rPr>
                <w:rFonts w:ascii="Aptos" w:hAnsi="Aptos"/>
                <w:b w:val="0"/>
                <w:sz w:val="16"/>
              </w:rPr>
              <w:t>Expansion</w:t>
            </w:r>
          </w:p>
        </w:tc>
        <w:tc>
          <w:tcPr>
            <w:tcW w:type="dxa" w:w="6048"/>
            <w:vAlign w:val="center"/>
          </w:tcPr>
          <w:p>
            <w:r/>
            <w:r>
              <w:rPr>
                <w:rFonts w:ascii="Aptos" w:hAnsi="Aptos"/>
                <w:b w:val="0"/>
                <w:sz w:val="16"/>
              </w:rPr>
              <w:t>Additional roles/sites and later digital credentialling</w:t>
            </w:r>
          </w:p>
        </w:tc>
        <w:tc>
          <w:tcPr>
            <w:tcW w:type="dxa" w:w="2880"/>
            <w:vAlign w:val="center"/>
          </w:tcPr>
          <w:p>
            <w:r/>
            <w:r>
              <w:rPr>
                <w:rFonts w:ascii="Aptos" w:hAnsi="Aptos"/>
                <w:b w:val="0"/>
                <w:sz w:val="16"/>
              </w:rPr>
              <w:t>Benefits and safety thresholds met</w:t>
            </w:r>
          </w:p>
        </w:tc>
      </w:tr>
    </w:tbl>
    <w:p/>
    <w:p>
      <w:pPr>
        <w:pStyle w:val="Heading1"/>
      </w:pPr>
      <w:r>
        <w:t>14. Proposed pilot population</w:t>
      </w:r>
    </w:p>
    <w:p>
      <w:r>
        <w:t>Subject to discovery, Port Pirie and Wallaroo provide a sensible initial environment because they generate recurrent medical workforce demand while remaining a bounded implementation context. ED Senior and ED RMO roles are potential first cohorts, followed by ward roles once the workflow is stable. The final pilot cohort should be selected using vacancy volume, locum utilisation and local readiness.</w:t>
      </w:r>
    </w:p>
    <w:p>
      <w:pPr>
        <w:pStyle w:val="Heading1"/>
      </w:pPr>
      <w:r>
        <w:t>15. Evaluation framework</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r/>
            <w:r>
              <w:rPr>
                <w:rFonts w:ascii="Aptos" w:hAnsi="Aptos"/>
                <w:b/>
                <w:color w:val="FFFFFF"/>
                <w:sz w:val="16"/>
              </w:rPr>
              <w:t>Domain</w:t>
            </w:r>
          </w:p>
        </w:tc>
        <w:tc>
          <w:tcPr>
            <w:tcW w:type="dxa" w:w="4896"/>
            <w:vAlign w:val="center"/>
            <w:shd w:fill="17365D"/>
          </w:tcPr>
          <w:p>
            <w:r/>
            <w:r>
              <w:rPr>
                <w:rFonts w:ascii="Aptos" w:hAnsi="Aptos"/>
                <w:b/>
                <w:color w:val="FFFFFF"/>
                <w:sz w:val="16"/>
              </w:rPr>
              <w:t>Measure</w:t>
            </w:r>
          </w:p>
        </w:tc>
        <w:tc>
          <w:tcPr>
            <w:tcW w:type="dxa" w:w="3816"/>
            <w:vAlign w:val="center"/>
            <w:shd w:fill="17365D"/>
          </w:tcPr>
          <w:p>
            <w:r/>
            <w:r>
              <w:rPr>
                <w:rFonts w:ascii="Aptos" w:hAnsi="Aptos"/>
                <w:b/>
                <w:color w:val="FFFFFF"/>
                <w:sz w:val="16"/>
              </w:rPr>
              <w:t>Pilot intent</w:t>
            </w:r>
          </w:p>
        </w:tc>
      </w:tr>
      <w:tr>
        <w:tc>
          <w:tcPr>
            <w:tcW w:type="dxa" w:w="1944"/>
            <w:vAlign w:val="center"/>
          </w:tcPr>
          <w:p>
            <w:r/>
            <w:r>
              <w:rPr>
                <w:rFonts w:ascii="Aptos" w:hAnsi="Aptos"/>
                <w:b w:val="0"/>
                <w:sz w:val="16"/>
              </w:rPr>
              <w:t>Adoption</w:t>
            </w:r>
          </w:p>
        </w:tc>
        <w:tc>
          <w:tcPr>
            <w:tcW w:type="dxa" w:w="4896"/>
            <w:vAlign w:val="center"/>
          </w:tcPr>
          <w:p>
            <w:r/>
            <w:r>
              <w:rPr>
                <w:rFonts w:ascii="Aptos" w:hAnsi="Aptos"/>
                <w:b w:val="0"/>
                <w:sz w:val="16"/>
              </w:rPr>
              <w:t>% invited doctors claiming profiles</w:t>
            </w:r>
          </w:p>
        </w:tc>
        <w:tc>
          <w:tcPr>
            <w:tcW w:type="dxa" w:w="3816"/>
            <w:vAlign w:val="center"/>
          </w:tcPr>
          <w:p>
            <w:r/>
            <w:r>
              <w:rPr>
                <w:rFonts w:ascii="Aptos" w:hAnsi="Aptos"/>
                <w:b w:val="0"/>
                <w:sz w:val="16"/>
              </w:rPr>
              <w:t>Demonstrate doctor utility</w:t>
            </w:r>
          </w:p>
        </w:tc>
      </w:tr>
      <w:tr>
        <w:tc>
          <w:tcPr>
            <w:tcW w:type="dxa" w:w="1944"/>
            <w:vAlign w:val="center"/>
            <w:shd w:fill="F3F6FA"/>
          </w:tcPr>
          <w:p>
            <w:r/>
            <w:r>
              <w:rPr>
                <w:rFonts w:ascii="Aptos" w:hAnsi="Aptos"/>
                <w:b w:val="0"/>
                <w:sz w:val="16"/>
              </w:rPr>
              <w:t>Wallet</w:t>
            </w:r>
          </w:p>
        </w:tc>
        <w:tc>
          <w:tcPr>
            <w:tcW w:type="dxa" w:w="4896"/>
            <w:vAlign w:val="center"/>
            <w:shd w:fill="F3F6FA"/>
          </w:tcPr>
          <w:p>
            <w:r/>
            <w:r>
              <w:rPr>
                <w:rFonts w:ascii="Aptos" w:hAnsi="Aptos"/>
                <w:b w:val="0"/>
                <w:sz w:val="16"/>
              </w:rPr>
              <w:t>% active users storing/sharing reusable credentials</w:t>
            </w:r>
          </w:p>
        </w:tc>
        <w:tc>
          <w:tcPr>
            <w:tcW w:type="dxa" w:w="3816"/>
            <w:vAlign w:val="center"/>
            <w:shd w:fill="F3F6FA"/>
          </w:tcPr>
          <w:p>
            <w:r/>
            <w:r>
              <w:rPr>
                <w:rFonts w:ascii="Aptos" w:hAnsi="Aptos"/>
                <w:b w:val="0"/>
                <w:sz w:val="16"/>
              </w:rPr>
              <w:t>Demonstrate value beyond shifts</w:t>
            </w:r>
          </w:p>
        </w:tc>
      </w:tr>
      <w:tr>
        <w:tc>
          <w:tcPr>
            <w:tcW w:type="dxa" w:w="1944"/>
            <w:vAlign w:val="center"/>
          </w:tcPr>
          <w:p>
            <w:r/>
            <w:r>
              <w:rPr>
                <w:rFonts w:ascii="Aptos" w:hAnsi="Aptos"/>
                <w:b w:val="0"/>
                <w:sz w:val="16"/>
              </w:rPr>
              <w:t>Feedback</w:t>
            </w:r>
          </w:p>
        </w:tc>
        <w:tc>
          <w:tcPr>
            <w:tcW w:type="dxa" w:w="4896"/>
            <w:vAlign w:val="center"/>
          </w:tcPr>
          <w:p>
            <w:r/>
            <w:r>
              <w:rPr>
                <w:rFonts w:ascii="Aptos" w:hAnsi="Aptos"/>
                <w:b w:val="0"/>
                <w:sz w:val="16"/>
              </w:rPr>
              <w:t>Post-shift response rate and actionable themes</w:t>
            </w:r>
          </w:p>
        </w:tc>
        <w:tc>
          <w:tcPr>
            <w:tcW w:type="dxa" w:w="3816"/>
            <w:vAlign w:val="center"/>
          </w:tcPr>
          <w:p>
            <w:r/>
            <w:r>
              <w:rPr>
                <w:rFonts w:ascii="Aptos" w:hAnsi="Aptos"/>
                <w:b w:val="0"/>
                <w:sz w:val="16"/>
              </w:rPr>
              <w:t>Establish credible locum experience baseline</w:t>
            </w:r>
          </w:p>
        </w:tc>
      </w:tr>
      <w:tr>
        <w:tc>
          <w:tcPr>
            <w:tcW w:type="dxa" w:w="1944"/>
            <w:vAlign w:val="center"/>
            <w:shd w:fill="F3F6FA"/>
          </w:tcPr>
          <w:p>
            <w:r/>
            <w:r>
              <w:rPr>
                <w:rFonts w:ascii="Aptos" w:hAnsi="Aptos"/>
                <w:b w:val="0"/>
                <w:sz w:val="16"/>
              </w:rPr>
              <w:t>Vacancy</w:t>
            </w:r>
          </w:p>
        </w:tc>
        <w:tc>
          <w:tcPr>
            <w:tcW w:type="dxa" w:w="4896"/>
            <w:vAlign w:val="center"/>
            <w:shd w:fill="F3F6FA"/>
          </w:tcPr>
          <w:p>
            <w:r/>
            <w:r>
              <w:rPr>
                <w:rFonts w:ascii="Aptos" w:hAnsi="Aptos"/>
                <w:b w:val="0"/>
                <w:sz w:val="16"/>
              </w:rPr>
              <w:t>% eligible vacancies advertised through platform</w:t>
            </w:r>
          </w:p>
        </w:tc>
        <w:tc>
          <w:tcPr>
            <w:tcW w:type="dxa" w:w="3816"/>
            <w:vAlign w:val="center"/>
            <w:shd w:fill="F3F6FA"/>
          </w:tcPr>
          <w:p>
            <w:r/>
            <w:r>
              <w:rPr>
                <w:rFonts w:ascii="Aptos" w:hAnsi="Aptos"/>
                <w:b w:val="0"/>
                <w:sz w:val="16"/>
              </w:rPr>
              <w:t>Demonstrate operational adoption</w:t>
            </w:r>
          </w:p>
        </w:tc>
      </w:tr>
      <w:tr>
        <w:tc>
          <w:tcPr>
            <w:tcW w:type="dxa" w:w="1944"/>
            <w:vAlign w:val="center"/>
          </w:tcPr>
          <w:p>
            <w:r/>
            <w:r>
              <w:rPr>
                <w:rFonts w:ascii="Aptos" w:hAnsi="Aptos"/>
                <w:b w:val="0"/>
                <w:sz w:val="16"/>
              </w:rPr>
              <w:t>Fill</w:t>
            </w:r>
          </w:p>
        </w:tc>
        <w:tc>
          <w:tcPr>
            <w:tcW w:type="dxa" w:w="4896"/>
            <w:vAlign w:val="center"/>
          </w:tcPr>
          <w:p>
            <w:r/>
            <w:r>
              <w:rPr>
                <w:rFonts w:ascii="Aptos" w:hAnsi="Aptos"/>
                <w:b w:val="0"/>
                <w:sz w:val="16"/>
              </w:rPr>
              <w:t>Median time-to-fill and fill rate</w:t>
            </w:r>
          </w:p>
        </w:tc>
        <w:tc>
          <w:tcPr>
            <w:tcW w:type="dxa" w:w="3816"/>
            <w:vAlign w:val="center"/>
          </w:tcPr>
          <w:p>
            <w:r/>
            <w:r>
              <w:rPr>
                <w:rFonts w:ascii="Aptos" w:hAnsi="Aptos"/>
                <w:b w:val="0"/>
                <w:sz w:val="16"/>
              </w:rPr>
              <w:t>Improve responsiveness</w:t>
            </w:r>
          </w:p>
        </w:tc>
      </w:tr>
      <w:tr>
        <w:tc>
          <w:tcPr>
            <w:tcW w:type="dxa" w:w="1944"/>
            <w:vAlign w:val="center"/>
            <w:shd w:fill="F3F6FA"/>
          </w:tcPr>
          <w:p>
            <w:r/>
            <w:r>
              <w:rPr>
                <w:rFonts w:ascii="Aptos" w:hAnsi="Aptos"/>
                <w:b w:val="0"/>
                <w:sz w:val="16"/>
              </w:rPr>
              <w:t>Administration</w:t>
            </w:r>
          </w:p>
        </w:tc>
        <w:tc>
          <w:tcPr>
            <w:tcW w:type="dxa" w:w="4896"/>
            <w:vAlign w:val="center"/>
            <w:shd w:fill="F3F6FA"/>
          </w:tcPr>
          <w:p>
            <w:r/>
            <w:r>
              <w:rPr>
                <w:rFonts w:ascii="Aptos" w:hAnsi="Aptos"/>
                <w:b w:val="0"/>
                <w:sz w:val="16"/>
              </w:rPr>
              <w:t>Manual contacts per filled vacancy/timesheet</w:t>
            </w:r>
          </w:p>
        </w:tc>
        <w:tc>
          <w:tcPr>
            <w:tcW w:type="dxa" w:w="3816"/>
            <w:vAlign w:val="center"/>
            <w:shd w:fill="F3F6FA"/>
          </w:tcPr>
          <w:p>
            <w:r/>
            <w:r>
              <w:rPr>
                <w:rFonts w:ascii="Aptos" w:hAnsi="Aptos"/>
                <w:b w:val="0"/>
                <w:sz w:val="16"/>
              </w:rPr>
              <w:t>Reduce burden</w:t>
            </w:r>
          </w:p>
        </w:tc>
      </w:tr>
      <w:tr>
        <w:tc>
          <w:tcPr>
            <w:tcW w:type="dxa" w:w="1944"/>
            <w:vAlign w:val="center"/>
          </w:tcPr>
          <w:p>
            <w:r/>
            <w:r>
              <w:rPr>
                <w:rFonts w:ascii="Aptos" w:hAnsi="Aptos"/>
                <w:b w:val="0"/>
                <w:sz w:val="16"/>
              </w:rPr>
              <w:t>Agency</w:t>
            </w:r>
          </w:p>
        </w:tc>
        <w:tc>
          <w:tcPr>
            <w:tcW w:type="dxa" w:w="4896"/>
            <w:vAlign w:val="center"/>
          </w:tcPr>
          <w:p>
            <w:r/>
            <w:r>
              <w:rPr>
                <w:rFonts w:ascii="Aptos" w:hAnsi="Aptos"/>
                <w:b w:val="0"/>
                <w:sz w:val="16"/>
              </w:rPr>
              <w:t>Response, proposal, fill, cancellation and commission data</w:t>
            </w:r>
          </w:p>
        </w:tc>
        <w:tc>
          <w:tcPr>
            <w:tcW w:type="dxa" w:w="3816"/>
            <w:vAlign w:val="center"/>
          </w:tcPr>
          <w:p>
            <w:r/>
            <w:r>
              <w:rPr>
                <w:rFonts w:ascii="Aptos" w:hAnsi="Aptos"/>
                <w:b w:val="0"/>
                <w:sz w:val="16"/>
              </w:rPr>
              <w:t>Create procurement intelligence</w:t>
            </w:r>
          </w:p>
        </w:tc>
      </w:tr>
      <w:tr>
        <w:tc>
          <w:tcPr>
            <w:tcW w:type="dxa" w:w="1944"/>
            <w:vAlign w:val="center"/>
            <w:shd w:fill="F3F6FA"/>
          </w:tcPr>
          <w:p>
            <w:r/>
            <w:r>
              <w:rPr>
                <w:rFonts w:ascii="Aptos" w:hAnsi="Aptos"/>
                <w:b w:val="0"/>
                <w:sz w:val="16"/>
              </w:rPr>
              <w:t>Timesheet</w:t>
            </w:r>
          </w:p>
        </w:tc>
        <w:tc>
          <w:tcPr>
            <w:tcW w:type="dxa" w:w="4896"/>
            <w:vAlign w:val="center"/>
            <w:shd w:fill="F3F6FA"/>
          </w:tcPr>
          <w:p>
            <w:r/>
            <w:r>
              <w:rPr>
                <w:rFonts w:ascii="Aptos" w:hAnsi="Aptos"/>
                <w:b w:val="0"/>
                <w:sz w:val="16"/>
              </w:rPr>
              <w:t>% platform shifts digitally approved and approval time</w:t>
            </w:r>
          </w:p>
        </w:tc>
        <w:tc>
          <w:tcPr>
            <w:tcW w:type="dxa" w:w="3816"/>
            <w:vAlign w:val="center"/>
            <w:shd w:fill="F3F6FA"/>
          </w:tcPr>
          <w:p>
            <w:r/>
            <w:r>
              <w:rPr>
                <w:rFonts w:ascii="Aptos" w:hAnsi="Aptos"/>
                <w:b w:val="0"/>
                <w:sz w:val="16"/>
              </w:rPr>
              <w:t>Reduce friction</w:t>
            </w:r>
          </w:p>
        </w:tc>
      </w:tr>
      <w:tr>
        <w:tc>
          <w:tcPr>
            <w:tcW w:type="dxa" w:w="1944"/>
            <w:vAlign w:val="center"/>
          </w:tcPr>
          <w:p>
            <w:r/>
            <w:r>
              <w:rPr>
                <w:rFonts w:ascii="Aptos" w:hAnsi="Aptos"/>
                <w:b w:val="0"/>
                <w:sz w:val="16"/>
              </w:rPr>
              <w:t>Retention</w:t>
            </w:r>
          </w:p>
        </w:tc>
        <w:tc>
          <w:tcPr>
            <w:tcW w:type="dxa" w:w="4896"/>
            <w:vAlign w:val="center"/>
          </w:tcPr>
          <w:p>
            <w:r/>
            <w:r>
              <w:rPr>
                <w:rFonts w:ascii="Aptos" w:hAnsi="Aptos"/>
                <w:b w:val="0"/>
                <w:sz w:val="16"/>
              </w:rPr>
              <w:t>90-day and eligible return rates</w:t>
            </w:r>
          </w:p>
        </w:tc>
        <w:tc>
          <w:tcPr>
            <w:tcW w:type="dxa" w:w="3816"/>
            <w:vAlign w:val="center"/>
          </w:tcPr>
          <w:p>
            <w:r/>
            <w:r>
              <w:rPr>
                <w:rFonts w:ascii="Aptos" w:hAnsi="Aptos"/>
                <w:b w:val="0"/>
                <w:sz w:val="16"/>
              </w:rPr>
              <w:t>Measure behavioural retention</w:t>
            </w:r>
          </w:p>
        </w:tc>
      </w:tr>
      <w:tr>
        <w:tc>
          <w:tcPr>
            <w:tcW w:type="dxa" w:w="1944"/>
            <w:vAlign w:val="center"/>
            <w:shd w:fill="F3F6FA"/>
          </w:tcPr>
          <w:p>
            <w:r/>
            <w:r>
              <w:rPr>
                <w:rFonts w:ascii="Aptos" w:hAnsi="Aptos"/>
                <w:b w:val="0"/>
                <w:sz w:val="16"/>
              </w:rPr>
              <w:t>Cost</w:t>
            </w:r>
          </w:p>
        </w:tc>
        <w:tc>
          <w:tcPr>
            <w:tcW w:type="dxa" w:w="4896"/>
            <w:vAlign w:val="center"/>
            <w:shd w:fill="F3F6FA"/>
          </w:tcPr>
          <w:p>
            <w:r/>
            <w:r>
              <w:rPr>
                <w:rFonts w:ascii="Aptos" w:hAnsi="Aptos"/>
                <w:b w:val="0"/>
                <w:sz w:val="16"/>
              </w:rPr>
              <w:t>Complete cost attribution per booking</w:t>
            </w:r>
          </w:p>
        </w:tc>
        <w:tc>
          <w:tcPr>
            <w:tcW w:type="dxa" w:w="3816"/>
            <w:vAlign w:val="center"/>
            <w:shd w:fill="F3F6FA"/>
          </w:tcPr>
          <w:p>
            <w:r/>
            <w:r>
              <w:rPr>
                <w:rFonts w:ascii="Aptos" w:hAnsi="Aptos"/>
                <w:b w:val="0"/>
                <w:sz w:val="16"/>
              </w:rPr>
              <w:t>Create reliable financial baseline</w:t>
            </w:r>
          </w:p>
        </w:tc>
      </w:tr>
    </w:tbl>
    <w:p/>
    <w:p>
      <w:pPr>
        <w:pStyle w:val="Heading1"/>
      </w:pPr>
      <w:r>
        <w:t>16. Governance and accountabilities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r/>
            <w:r>
              <w:rPr>
                <w:rFonts w:ascii="Aptos" w:hAnsi="Aptos"/>
                <w:b/>
                <w:color w:val="FFFFFF"/>
                <w:sz w:val="16"/>
              </w:rPr>
              <w:t>Domain</w:t>
            </w:r>
          </w:p>
        </w:tc>
        <w:tc>
          <w:tcPr>
            <w:tcW w:type="dxa" w:w="7488"/>
            <w:vAlign w:val="center"/>
            <w:shd w:fill="17365D"/>
          </w:tcPr>
          <w:p>
            <w:r/>
            <w:r>
              <w:rPr>
                <w:rFonts w:ascii="Aptos" w:hAnsi="Aptos"/>
                <w:b/>
                <w:color w:val="FFFFFF"/>
                <w:sz w:val="16"/>
              </w:rPr>
              <w:t>Pilot accountability</w:t>
            </w:r>
          </w:p>
        </w:tc>
      </w:tr>
      <w:tr>
        <w:tc>
          <w:tcPr>
            <w:tcW w:type="dxa" w:w="2880"/>
            <w:vAlign w:val="center"/>
          </w:tcPr>
          <w:p>
            <w:r/>
            <w:r>
              <w:rPr>
                <w:rFonts w:ascii="Aptos" w:hAnsi="Aptos"/>
                <w:b w:val="0"/>
                <w:sz w:val="16"/>
              </w:rPr>
              <w:t>Executive sponsor</w:t>
            </w:r>
          </w:p>
        </w:tc>
        <w:tc>
          <w:tcPr>
            <w:tcW w:type="dxa" w:w="7488"/>
            <w:vAlign w:val="center"/>
          </w:tcPr>
          <w:p>
            <w:r/>
            <w:r>
              <w:rPr>
                <w:rFonts w:ascii="Aptos" w:hAnsi="Aptos"/>
                <w:b w:val="0"/>
                <w:sz w:val="16"/>
              </w:rPr>
              <w:t>Strategic sponsorship, escalation and stage-gate decisions</w:t>
            </w:r>
          </w:p>
        </w:tc>
      </w:tr>
      <w:tr>
        <w:tc>
          <w:tcPr>
            <w:tcW w:type="dxa" w:w="2880"/>
            <w:vAlign w:val="center"/>
            <w:shd w:fill="F3F6FA"/>
          </w:tcPr>
          <w:p>
            <w:r/>
            <w:r>
              <w:rPr>
                <w:rFonts w:ascii="Aptos" w:hAnsi="Aptos"/>
                <w:b w:val="0"/>
                <w:sz w:val="16"/>
              </w:rPr>
              <w:t>Medical Workforce</w:t>
            </w:r>
          </w:p>
        </w:tc>
        <w:tc>
          <w:tcPr>
            <w:tcW w:type="dxa" w:w="7488"/>
            <w:vAlign w:val="center"/>
            <w:shd w:fill="F3F6FA"/>
          </w:tcPr>
          <w:p>
            <w:r/>
            <w:r>
              <w:rPr>
                <w:rFonts w:ascii="Aptos" w:hAnsi="Aptos"/>
                <w:b w:val="0"/>
                <w:sz w:val="16"/>
              </w:rPr>
              <w:t>Operational owner of vacancy and locum workflow</w:t>
            </w:r>
          </w:p>
        </w:tc>
      </w:tr>
      <w:tr>
        <w:tc>
          <w:tcPr>
            <w:tcW w:type="dxa" w:w="2880"/>
            <w:vAlign w:val="center"/>
          </w:tcPr>
          <w:p>
            <w:r/>
            <w:r>
              <w:rPr>
                <w:rFonts w:ascii="Aptos" w:hAnsi="Aptos"/>
                <w:b w:val="0"/>
                <w:sz w:val="16"/>
              </w:rPr>
              <w:t>Credentialling</w:t>
            </w:r>
          </w:p>
        </w:tc>
        <w:tc>
          <w:tcPr>
            <w:tcW w:type="dxa" w:w="7488"/>
            <w:vAlign w:val="center"/>
          </w:tcPr>
          <w:p>
            <w:r/>
            <w:r>
              <w:rPr>
                <w:rFonts w:ascii="Aptos" w:hAnsi="Aptos"/>
                <w:b w:val="0"/>
                <w:sz w:val="16"/>
              </w:rPr>
              <w:t>Authority for credential verification and YNLHN scope decisions</w:t>
            </w:r>
          </w:p>
        </w:tc>
      </w:tr>
      <w:tr>
        <w:tc>
          <w:tcPr>
            <w:tcW w:type="dxa" w:w="2880"/>
            <w:vAlign w:val="center"/>
            <w:shd w:fill="F3F6FA"/>
          </w:tcPr>
          <w:p>
            <w:r/>
            <w:r>
              <w:rPr>
                <w:rFonts w:ascii="Aptos" w:hAnsi="Aptos"/>
                <w:b w:val="0"/>
                <w:sz w:val="16"/>
              </w:rPr>
              <w:t>Clinical Governance</w:t>
            </w:r>
          </w:p>
        </w:tc>
        <w:tc>
          <w:tcPr>
            <w:tcW w:type="dxa" w:w="7488"/>
            <w:vAlign w:val="center"/>
            <w:shd w:fill="F3F6FA"/>
          </w:tcPr>
          <w:p>
            <w:r/>
            <w:r>
              <w:rPr>
                <w:rFonts w:ascii="Aptos" w:hAnsi="Aptos"/>
                <w:b w:val="0"/>
                <w:sz w:val="16"/>
              </w:rPr>
              <w:t>Clinical safety, feedback boundaries and escalation pathways</w:t>
            </w:r>
          </w:p>
        </w:tc>
      </w:tr>
      <w:tr>
        <w:tc>
          <w:tcPr>
            <w:tcW w:type="dxa" w:w="2880"/>
            <w:vAlign w:val="center"/>
          </w:tcPr>
          <w:p>
            <w:r/>
            <w:r>
              <w:rPr>
                <w:rFonts w:ascii="Aptos" w:hAnsi="Aptos"/>
                <w:b w:val="0"/>
                <w:sz w:val="16"/>
              </w:rPr>
              <w:t>Procurement</w:t>
            </w:r>
          </w:p>
        </w:tc>
        <w:tc>
          <w:tcPr>
            <w:tcW w:type="dxa" w:w="7488"/>
            <w:vAlign w:val="center"/>
          </w:tcPr>
          <w:p>
            <w:r/>
            <w:r>
              <w:rPr>
                <w:rFonts w:ascii="Aptos" w:hAnsi="Aptos"/>
                <w:b w:val="0"/>
                <w:sz w:val="16"/>
              </w:rPr>
              <w:t>Panel compliance, sourcing rules and commercial controls</w:t>
            </w:r>
          </w:p>
        </w:tc>
      </w:tr>
      <w:tr>
        <w:tc>
          <w:tcPr>
            <w:tcW w:type="dxa" w:w="2880"/>
            <w:vAlign w:val="center"/>
            <w:shd w:fill="F3F6FA"/>
          </w:tcPr>
          <w:p>
            <w:r/>
            <w:r>
              <w:rPr>
                <w:rFonts w:ascii="Aptos" w:hAnsi="Aptos"/>
                <w:b w:val="0"/>
                <w:sz w:val="16"/>
              </w:rPr>
              <w:t>Finance</w:t>
            </w:r>
          </w:p>
        </w:tc>
        <w:tc>
          <w:tcPr>
            <w:tcW w:type="dxa" w:w="7488"/>
            <w:vAlign w:val="center"/>
            <w:shd w:fill="F3F6FA"/>
          </w:tcPr>
          <w:p>
            <w:r/>
            <w:r>
              <w:rPr>
                <w:rFonts w:ascii="Aptos" w:hAnsi="Aptos"/>
                <w:b w:val="0"/>
                <w:sz w:val="16"/>
              </w:rPr>
              <w:t>Rates, commissions, timesheet/payment reconciliation and benefits baseline</w:t>
            </w:r>
          </w:p>
        </w:tc>
      </w:tr>
      <w:tr>
        <w:tc>
          <w:tcPr>
            <w:tcW w:type="dxa" w:w="2880"/>
            <w:vAlign w:val="center"/>
          </w:tcPr>
          <w:p>
            <w:r/>
            <w:r>
              <w:rPr>
                <w:rFonts w:ascii="Aptos" w:hAnsi="Aptos"/>
                <w:b w:val="0"/>
                <w:sz w:val="16"/>
              </w:rPr>
              <w:t>Digital/Cyber</w:t>
            </w:r>
          </w:p>
        </w:tc>
        <w:tc>
          <w:tcPr>
            <w:tcW w:type="dxa" w:w="7488"/>
            <w:vAlign w:val="center"/>
          </w:tcPr>
          <w:p>
            <w:r/>
            <w:r>
              <w:rPr>
                <w:rFonts w:ascii="Aptos" w:hAnsi="Aptos"/>
                <w:b w:val="0"/>
                <w:sz w:val="16"/>
              </w:rPr>
              <w:t>Architecture, integration, identity, hosting and security assurance</w:t>
            </w:r>
          </w:p>
        </w:tc>
      </w:tr>
      <w:tr>
        <w:tc>
          <w:tcPr>
            <w:tcW w:type="dxa" w:w="2880"/>
            <w:vAlign w:val="center"/>
            <w:shd w:fill="F3F6FA"/>
          </w:tcPr>
          <w:p>
            <w:r/>
            <w:r>
              <w:rPr>
                <w:rFonts w:ascii="Aptos" w:hAnsi="Aptos"/>
                <w:b w:val="0"/>
                <w:sz w:val="16"/>
              </w:rPr>
              <w:t>Privacy/Legal</w:t>
            </w:r>
          </w:p>
        </w:tc>
        <w:tc>
          <w:tcPr>
            <w:tcW w:type="dxa" w:w="7488"/>
            <w:vAlign w:val="center"/>
            <w:shd w:fill="F3F6FA"/>
          </w:tcPr>
          <w:p>
            <w:r/>
            <w:r>
              <w:rPr>
                <w:rFonts w:ascii="Aptos" w:hAnsi="Aptos"/>
                <w:b w:val="0"/>
                <w:sz w:val="16"/>
              </w:rPr>
              <w:t>PIA, information sharing, consent, terms and regulatory advice</w:t>
            </w:r>
          </w:p>
        </w:tc>
      </w:tr>
      <w:tr>
        <w:tc>
          <w:tcPr>
            <w:tcW w:type="dxa" w:w="2880"/>
            <w:vAlign w:val="center"/>
          </w:tcPr>
          <w:p>
            <w:r/>
            <w:r>
              <w:rPr>
                <w:rFonts w:ascii="Aptos" w:hAnsi="Aptos"/>
                <w:b w:val="0"/>
                <w:sz w:val="16"/>
              </w:rPr>
              <w:t>Evaluation</w:t>
            </w:r>
          </w:p>
        </w:tc>
        <w:tc>
          <w:tcPr>
            <w:tcW w:type="dxa" w:w="7488"/>
            <w:vAlign w:val="center"/>
          </w:tcPr>
          <w:p>
            <w:r/>
            <w:r>
              <w:rPr>
                <w:rFonts w:ascii="Aptos" w:hAnsi="Aptos"/>
                <w:b w:val="0"/>
                <w:sz w:val="16"/>
              </w:rPr>
              <w:t>Baseline, KPIs, unintended consequences and benefits realisation</w:t>
            </w:r>
          </w:p>
        </w:tc>
      </w:tr>
    </w:tbl>
    <w:p/>
    <w:p>
      <w:pPr>
        <w:pStyle w:val="Heading1"/>
      </w:pPr>
      <w:r>
        <w:t>17. Principal risks</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7365D"/>
          </w:tcPr>
          <w:p>
            <w:r/>
            <w:r>
              <w:rPr>
                <w:rFonts w:ascii="Aptos" w:hAnsi="Aptos"/>
                <w:b/>
                <w:color w:val="FFFFFF"/>
                <w:sz w:val="16"/>
              </w:rPr>
              <w:t>Risk</w:t>
            </w:r>
          </w:p>
        </w:tc>
        <w:tc>
          <w:tcPr>
            <w:tcW w:type="dxa" w:w="6624"/>
            <w:vAlign w:val="center"/>
            <w:shd w:fill="17365D"/>
          </w:tcPr>
          <w:p>
            <w:r/>
            <w:r>
              <w:rPr>
                <w:rFonts w:ascii="Aptos" w:hAnsi="Aptos"/>
                <w:b/>
                <w:color w:val="FFFFFF"/>
                <w:sz w:val="16"/>
              </w:rPr>
              <w:t>Control</w:t>
            </w:r>
          </w:p>
        </w:tc>
      </w:tr>
      <w:tr>
        <w:tc>
          <w:tcPr>
            <w:tcW w:type="dxa" w:w="3744"/>
            <w:vAlign w:val="center"/>
          </w:tcPr>
          <w:p>
            <w:r/>
            <w:r>
              <w:rPr>
                <w:rFonts w:ascii="Aptos" w:hAnsi="Aptos"/>
                <w:b w:val="0"/>
                <w:sz w:val="16"/>
              </w:rPr>
              <w:t>Low doctor adoption</w:t>
            </w:r>
          </w:p>
        </w:tc>
        <w:tc>
          <w:tcPr>
            <w:tcW w:type="dxa" w:w="6624"/>
            <w:vAlign w:val="center"/>
          </w:tcPr>
          <w:p>
            <w:r/>
            <w:r>
              <w:rPr>
                <w:rFonts w:ascii="Aptos" w:hAnsi="Aptos"/>
                <w:b w:val="0"/>
                <w:sz w:val="16"/>
              </w:rPr>
              <w:t>Lead with free Credential Wallet and external sharing; co-design with current locums</w:t>
            </w:r>
          </w:p>
        </w:tc>
      </w:tr>
      <w:tr>
        <w:tc>
          <w:tcPr>
            <w:tcW w:type="dxa" w:w="3744"/>
            <w:vAlign w:val="center"/>
            <w:shd w:fill="F3F6FA"/>
          </w:tcPr>
          <w:p>
            <w:r/>
            <w:r>
              <w:rPr>
                <w:rFonts w:ascii="Aptos" w:hAnsi="Aptos"/>
                <w:b w:val="0"/>
                <w:sz w:val="16"/>
              </w:rPr>
              <w:t>Feedback identifies individuals</w:t>
            </w:r>
          </w:p>
        </w:tc>
        <w:tc>
          <w:tcPr>
            <w:tcW w:type="dxa" w:w="6624"/>
            <w:vAlign w:val="center"/>
            <w:shd w:fill="F3F6FA"/>
          </w:tcPr>
          <w:p>
            <w:r/>
            <w:r>
              <w:rPr>
                <w:rFonts w:ascii="Aptos" w:hAnsi="Aptos"/>
                <w:b w:val="0"/>
                <w:sz w:val="16"/>
              </w:rPr>
              <w:t>Minimum thresholds, aggregation, restricted access and privacy review</w:t>
            </w:r>
          </w:p>
        </w:tc>
      </w:tr>
      <w:tr>
        <w:tc>
          <w:tcPr>
            <w:tcW w:type="dxa" w:w="3744"/>
            <w:vAlign w:val="center"/>
          </w:tcPr>
          <w:p>
            <w:r/>
            <w:r>
              <w:rPr>
                <w:rFonts w:ascii="Aptos" w:hAnsi="Aptos"/>
                <w:b w:val="0"/>
                <w:sz w:val="16"/>
              </w:rPr>
              <w:t>Survey becomes incident-reporting substitute</w:t>
            </w:r>
          </w:p>
        </w:tc>
        <w:tc>
          <w:tcPr>
            <w:tcW w:type="dxa" w:w="6624"/>
            <w:vAlign w:val="center"/>
          </w:tcPr>
          <w:p>
            <w:r/>
            <w:r>
              <w:rPr>
                <w:rFonts w:ascii="Aptos" w:hAnsi="Aptos"/>
                <w:b w:val="0"/>
                <w:sz w:val="16"/>
              </w:rPr>
              <w:t>Explicit formal safety/complaint pathways</w:t>
            </w:r>
          </w:p>
        </w:tc>
      </w:tr>
      <w:tr>
        <w:tc>
          <w:tcPr>
            <w:tcW w:type="dxa" w:w="3744"/>
            <w:vAlign w:val="center"/>
            <w:shd w:fill="F3F6FA"/>
          </w:tcPr>
          <w:p>
            <w:r/>
            <w:r>
              <w:rPr>
                <w:rFonts w:ascii="Aptos" w:hAnsi="Aptos"/>
                <w:b w:val="0"/>
                <w:sz w:val="16"/>
              </w:rPr>
              <w:t>Unverified documents are treated as verified</w:t>
            </w:r>
          </w:p>
        </w:tc>
        <w:tc>
          <w:tcPr>
            <w:tcW w:type="dxa" w:w="6624"/>
            <w:vAlign w:val="center"/>
            <w:shd w:fill="F3F6FA"/>
          </w:tcPr>
          <w:p>
            <w:r/>
            <w:r>
              <w:rPr>
                <w:rFonts w:ascii="Aptos" w:hAnsi="Aptos"/>
                <w:b w:val="0"/>
                <w:sz w:val="16"/>
              </w:rPr>
              <w:t>Visible assurance states and verification provenance</w:t>
            </w:r>
          </w:p>
        </w:tc>
      </w:tr>
      <w:tr>
        <w:tc>
          <w:tcPr>
            <w:tcW w:type="dxa" w:w="3744"/>
            <w:vAlign w:val="center"/>
          </w:tcPr>
          <w:p>
            <w:r/>
            <w:r>
              <w:rPr>
                <w:rFonts w:ascii="Aptos" w:hAnsi="Aptos"/>
                <w:b w:val="0"/>
                <w:sz w:val="16"/>
              </w:rPr>
              <w:t>Scope is inferred incorrectly</w:t>
            </w:r>
          </w:p>
        </w:tc>
        <w:tc>
          <w:tcPr>
            <w:tcW w:type="dxa" w:w="6624"/>
            <w:vAlign w:val="center"/>
          </w:tcPr>
          <w:p>
            <w:r/>
            <w:r>
              <w:rPr>
                <w:rFonts w:ascii="Aptos" w:hAnsi="Aptos"/>
                <w:b w:val="0"/>
                <w:sz w:val="16"/>
              </w:rPr>
              <w:t>Existing YNLHN scope remains authoritative in initial pilot</w:t>
            </w:r>
          </w:p>
        </w:tc>
      </w:tr>
      <w:tr>
        <w:tc>
          <w:tcPr>
            <w:tcW w:type="dxa" w:w="3744"/>
            <w:vAlign w:val="center"/>
            <w:shd w:fill="F3F6FA"/>
          </w:tcPr>
          <w:p>
            <w:r/>
            <w:r>
              <w:rPr>
                <w:rFonts w:ascii="Aptos" w:hAnsi="Aptos"/>
                <w:b w:val="0"/>
                <w:sz w:val="16"/>
              </w:rPr>
              <w:t>Panel rules are breached</w:t>
            </w:r>
          </w:p>
        </w:tc>
        <w:tc>
          <w:tcPr>
            <w:tcW w:type="dxa" w:w="6624"/>
            <w:vAlign w:val="center"/>
            <w:shd w:fill="F3F6FA"/>
          </w:tcPr>
          <w:p>
            <w:r/>
            <w:r>
              <w:rPr>
                <w:rFonts w:ascii="Aptos" w:hAnsi="Aptos"/>
                <w:b w:val="0"/>
                <w:sz w:val="16"/>
              </w:rPr>
              <w:t>Procurement-configured sourcing cascade and audited exceptions</w:t>
            </w:r>
          </w:p>
        </w:tc>
      </w:tr>
      <w:tr>
        <w:tc>
          <w:tcPr>
            <w:tcW w:type="dxa" w:w="3744"/>
            <w:vAlign w:val="center"/>
          </w:tcPr>
          <w:p>
            <w:r/>
            <w:r>
              <w:rPr>
                <w:rFonts w:ascii="Aptos" w:hAnsi="Aptos"/>
                <w:b w:val="0"/>
                <w:sz w:val="16"/>
              </w:rPr>
              <w:t>Commercial terms become stale</w:t>
            </w:r>
          </w:p>
        </w:tc>
        <w:tc>
          <w:tcPr>
            <w:tcW w:type="dxa" w:w="6624"/>
            <w:vAlign w:val="center"/>
          </w:tcPr>
          <w:p>
            <w:r/>
            <w:r>
              <w:rPr>
                <w:rFonts w:ascii="Aptos" w:hAnsi="Aptos"/>
                <w:b w:val="0"/>
                <w:sz w:val="16"/>
              </w:rPr>
              <w:t>Versioned agreements and booking snapshots</w:t>
            </w:r>
          </w:p>
        </w:tc>
      </w:tr>
      <w:tr>
        <w:tc>
          <w:tcPr>
            <w:tcW w:type="dxa" w:w="3744"/>
            <w:vAlign w:val="center"/>
            <w:shd w:fill="F3F6FA"/>
          </w:tcPr>
          <w:p>
            <w:r/>
            <w:r>
              <w:rPr>
                <w:rFonts w:ascii="Aptos" w:hAnsi="Aptos"/>
                <w:b w:val="0"/>
                <w:sz w:val="16"/>
              </w:rPr>
              <w:t>Cyber/privacy breach</w:t>
            </w:r>
          </w:p>
        </w:tc>
        <w:tc>
          <w:tcPr>
            <w:tcW w:type="dxa" w:w="6624"/>
            <w:vAlign w:val="center"/>
            <w:shd w:fill="F3F6FA"/>
          </w:tcPr>
          <w:p>
            <w:r/>
            <w:r>
              <w:rPr>
                <w:rFonts w:ascii="Aptos" w:hAnsi="Aptos"/>
                <w:b w:val="0"/>
                <w:sz w:val="16"/>
              </w:rPr>
              <w:t>MFA, encryption, least privilege, secure sharing, PIA and security testing</w:t>
            </w:r>
          </w:p>
        </w:tc>
      </w:tr>
      <w:tr>
        <w:tc>
          <w:tcPr>
            <w:tcW w:type="dxa" w:w="3744"/>
            <w:vAlign w:val="center"/>
          </w:tcPr>
          <w:p>
            <w:r/>
            <w:r>
              <w:rPr>
                <w:rFonts w:ascii="Aptos" w:hAnsi="Aptos"/>
                <w:b w:val="0"/>
                <w:sz w:val="16"/>
              </w:rPr>
              <w:t>Project becomes too broad</w:t>
            </w:r>
          </w:p>
        </w:tc>
        <w:tc>
          <w:tcPr>
            <w:tcW w:type="dxa" w:w="6624"/>
            <w:vAlign w:val="center"/>
          </w:tcPr>
          <w:p>
            <w:r/>
            <w:r>
              <w:rPr>
                <w:rFonts w:ascii="Aptos" w:hAnsi="Aptos"/>
                <w:b w:val="0"/>
                <w:sz w:val="16"/>
              </w:rPr>
              <w:t>Stage gates and explicit exclusions</w:t>
            </w:r>
          </w:p>
        </w:tc>
      </w:tr>
      <w:tr>
        <w:tc>
          <w:tcPr>
            <w:tcW w:type="dxa" w:w="3744"/>
            <w:vAlign w:val="center"/>
            <w:shd w:fill="F3F6FA"/>
          </w:tcPr>
          <w:p>
            <w:r/>
            <w:r>
              <w:rPr>
                <w:rFonts w:ascii="Aptos" w:hAnsi="Aptos"/>
                <w:b w:val="0"/>
                <w:sz w:val="16"/>
              </w:rPr>
              <w:t>Perceived agenda to remove agencies undermines cooperation</w:t>
            </w:r>
          </w:p>
        </w:tc>
        <w:tc>
          <w:tcPr>
            <w:tcW w:type="dxa" w:w="6624"/>
            <w:vAlign w:val="center"/>
            <w:shd w:fill="F3F6FA"/>
          </w:tcPr>
          <w:p>
            <w:r/>
            <w:r>
              <w:rPr>
                <w:rFonts w:ascii="Aptos" w:hAnsi="Aptos"/>
                <w:b w:val="0"/>
                <w:sz w:val="16"/>
              </w:rPr>
              <w:t>Pilot explicitly improves existing panel workflow; future sourcing changes require separate approval</w:t>
            </w:r>
          </w:p>
        </w:tc>
      </w:tr>
    </w:tbl>
    <w:p/>
    <w:p>
      <w:pPr>
        <w:pStyle w:val="Heading1"/>
      </w:pPr>
      <w:r>
        <w:t>18. Stage 1 exclusions</w:t>
      </w:r>
    </w:p>
    <w:p>
      <w:pPr>
        <w:pStyle w:val="ListBullet"/>
      </w:pPr>
      <w:r>
        <w:t>replacement of existing YNLHN credentialling committees or delegations</w:t>
      </w:r>
    </w:p>
    <w:p>
      <w:pPr>
        <w:pStyle w:val="ListBullet"/>
      </w:pPr>
      <w:r>
        <w:t>automatic determination of clinical competence</w:t>
      </w:r>
    </w:p>
    <w:p>
      <w:pPr>
        <w:pStyle w:val="ListBullet"/>
      </w:pPr>
      <w:r>
        <w:t>automatic Ahpra surveillance unless separately integrated and assured</w:t>
      </w:r>
    </w:p>
    <w:p>
      <w:pPr>
        <w:pStyle w:val="ListBullet"/>
      </w:pPr>
      <w:r>
        <w:t>replacement of payroll</w:t>
      </w:r>
    </w:p>
    <w:p>
      <w:pPr>
        <w:pStyle w:val="ListBullet"/>
      </w:pPr>
      <w:r>
        <w:t>payment processing</w:t>
      </w:r>
    </w:p>
    <w:p>
      <w:pPr>
        <w:pStyle w:val="ListBullet"/>
      </w:pPr>
      <w:r>
        <w:t>public hospital league tables</w:t>
      </w:r>
    </w:p>
    <w:p>
      <w:pPr>
        <w:pStyle w:val="ListBullet"/>
      </w:pPr>
      <w:r>
        <w:t>uncontrolled direct advertising outside SA Health procurement rules</w:t>
      </w:r>
    </w:p>
    <w:p>
      <w:pPr>
        <w:pStyle w:val="ListBullet"/>
      </w:pPr>
      <w:r>
        <w:t>national or interstate credential recognition</w:t>
      </w:r>
    </w:p>
    <w:p>
      <w:pPr>
        <w:pStyle w:val="ListBullet"/>
      </w:pPr>
      <w:r>
        <w:t>automatic dynamic pricing</w:t>
      </w:r>
    </w:p>
    <w:p>
      <w:pPr>
        <w:pStyle w:val="ListBullet"/>
      </w:pPr>
      <w:r>
        <w:t>AI approval of credentials</w:t>
      </w:r>
    </w:p>
    <w:p>
      <w:pPr>
        <w:pStyle w:val="Heading1"/>
      </w:pPr>
      <w:r>
        <w:t>19. Indicative discovery deliverables</w:t>
      </w:r>
    </w:p>
    <w:p>
      <w:pPr>
        <w:pStyle w:val="ListBullet"/>
      </w:pPr>
      <w:r>
        <w:t>current-state process map from vacancy creation to payment</w:t>
      </w:r>
    </w:p>
    <w:p>
      <w:pPr>
        <w:pStyle w:val="ListBullet"/>
      </w:pPr>
      <w:r>
        <w:t>current credential/SoCP data map and data-quality assessment</w:t>
      </w:r>
    </w:p>
    <w:p>
      <w:pPr>
        <w:pStyle w:val="ListBullet"/>
      </w:pPr>
      <w:r>
        <w:t>SA Health panel rules and agency master data/configuration specification</w:t>
      </w:r>
    </w:p>
    <w:p>
      <w:pPr>
        <w:pStyle w:val="ListBullet"/>
      </w:pPr>
      <w:r>
        <w:t>baseline locum cohort, shift, fill, rate, commission, cancellation and return dataset</w:t>
      </w:r>
    </w:p>
    <w:p>
      <w:pPr>
        <w:pStyle w:val="ListBullet"/>
      </w:pPr>
      <w:r>
        <w:t>doctor and staff user-research report</w:t>
      </w:r>
    </w:p>
    <w:p>
      <w:pPr>
        <w:pStyle w:val="ListBullet"/>
      </w:pPr>
      <w:r>
        <w:t>Privacy Impact Assessment scoping</w:t>
      </w:r>
    </w:p>
    <w:p>
      <w:pPr>
        <w:pStyle w:val="ListBullet"/>
      </w:pPr>
      <w:r>
        <w:t>cyber/security architecture and information classification</w:t>
      </w:r>
    </w:p>
    <w:p>
      <w:pPr>
        <w:pStyle w:val="ListBullet"/>
      </w:pPr>
      <w:r>
        <w:t>market scan/build-versus-buy assessment</w:t>
      </w:r>
    </w:p>
    <w:p>
      <w:pPr>
        <w:pStyle w:val="ListBullet"/>
      </w:pPr>
      <w:r>
        <w:t>costed MVP delivery plan</w:t>
      </w:r>
    </w:p>
    <w:p>
      <w:pPr>
        <w:pStyle w:val="ListBullet"/>
      </w:pPr>
      <w:r>
        <w:t>implementation and evaluation plan</w:t>
      </w:r>
    </w:p>
    <w:p>
      <w:pPr>
        <w:pStyle w:val="ListBullet"/>
      </w:pPr>
      <w:r>
        <w:t>go/no-go paper for production pilot</w:t>
      </w:r>
    </w:p>
    <w:p>
      <w:pPr>
        <w:pStyle w:val="Heading1"/>
      </w:pPr>
      <w:r>
        <w:t>20. Indicative timeline</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7365D"/>
          </w:tcPr>
          <w:p>
            <w:r/>
            <w:r>
              <w:rPr>
                <w:rFonts w:ascii="Aptos" w:hAnsi="Aptos"/>
                <w:b/>
                <w:color w:val="FFFFFF"/>
                <w:sz w:val="16"/>
              </w:rPr>
              <w:t>Period</w:t>
            </w:r>
          </w:p>
        </w:tc>
        <w:tc>
          <w:tcPr>
            <w:tcW w:type="dxa" w:w="8352"/>
            <w:vAlign w:val="center"/>
            <w:shd w:fill="17365D"/>
          </w:tcPr>
          <w:p>
            <w:r/>
            <w:r>
              <w:rPr>
                <w:rFonts w:ascii="Aptos" w:hAnsi="Aptos"/>
                <w:b/>
                <w:color w:val="FFFFFF"/>
                <w:sz w:val="16"/>
              </w:rPr>
              <w:t>Activity</w:t>
            </w:r>
          </w:p>
        </w:tc>
      </w:tr>
      <w:tr>
        <w:tc>
          <w:tcPr>
            <w:tcW w:type="dxa" w:w="2016"/>
            <w:vAlign w:val="center"/>
          </w:tcPr>
          <w:p>
            <w:r/>
            <w:r>
              <w:rPr>
                <w:rFonts w:ascii="Aptos" w:hAnsi="Aptos"/>
                <w:b w:val="0"/>
                <w:sz w:val="16"/>
              </w:rPr>
              <w:t>Months 0–2</w:t>
            </w:r>
          </w:p>
        </w:tc>
        <w:tc>
          <w:tcPr>
            <w:tcW w:type="dxa" w:w="8352"/>
            <w:vAlign w:val="center"/>
          </w:tcPr>
          <w:p>
            <w:r/>
            <w:r>
              <w:rPr>
                <w:rFonts w:ascii="Aptos" w:hAnsi="Aptos"/>
                <w:b w:val="0"/>
                <w:sz w:val="16"/>
              </w:rPr>
              <w:t>Discovery, baseline, user research, procurement/privacy/security validation</w:t>
            </w:r>
          </w:p>
        </w:tc>
      </w:tr>
      <w:tr>
        <w:tc>
          <w:tcPr>
            <w:tcW w:type="dxa" w:w="2016"/>
            <w:vAlign w:val="center"/>
            <w:shd w:fill="F3F6FA"/>
          </w:tcPr>
          <w:p>
            <w:r/>
            <w:r>
              <w:rPr>
                <w:rFonts w:ascii="Aptos" w:hAnsi="Aptos"/>
                <w:b w:val="0"/>
                <w:sz w:val="16"/>
              </w:rPr>
              <w:t>Months 2–4</w:t>
            </w:r>
          </w:p>
        </w:tc>
        <w:tc>
          <w:tcPr>
            <w:tcW w:type="dxa" w:w="8352"/>
            <w:vAlign w:val="center"/>
            <w:shd w:fill="F3F6FA"/>
          </w:tcPr>
          <w:p>
            <w:r/>
            <w:r>
              <w:rPr>
                <w:rFonts w:ascii="Aptos" w:hAnsi="Aptos"/>
                <w:b w:val="0"/>
                <w:sz w:val="16"/>
              </w:rPr>
              <w:t>Detailed requirements, prototype, build/procure decision and technical assurance</w:t>
            </w:r>
          </w:p>
        </w:tc>
      </w:tr>
      <w:tr>
        <w:tc>
          <w:tcPr>
            <w:tcW w:type="dxa" w:w="2016"/>
            <w:vAlign w:val="center"/>
          </w:tcPr>
          <w:p>
            <w:r/>
            <w:r>
              <w:rPr>
                <w:rFonts w:ascii="Aptos" w:hAnsi="Aptos"/>
                <w:b w:val="0"/>
                <w:sz w:val="16"/>
              </w:rPr>
              <w:t>Months 4–6</w:t>
            </w:r>
          </w:p>
        </w:tc>
        <w:tc>
          <w:tcPr>
            <w:tcW w:type="dxa" w:w="8352"/>
            <w:vAlign w:val="center"/>
          </w:tcPr>
          <w:p>
            <w:r/>
            <w:r>
              <w:rPr>
                <w:rFonts w:ascii="Aptos" w:hAnsi="Aptos"/>
                <w:b w:val="0"/>
                <w:sz w:val="16"/>
              </w:rPr>
              <w:t>Credential Wallet, YNLHN linkage and Locum Experience closed pilot</w:t>
            </w:r>
          </w:p>
        </w:tc>
      </w:tr>
      <w:tr>
        <w:tc>
          <w:tcPr>
            <w:tcW w:type="dxa" w:w="2016"/>
            <w:vAlign w:val="center"/>
            <w:shd w:fill="F3F6FA"/>
          </w:tcPr>
          <w:p>
            <w:r/>
            <w:r>
              <w:rPr>
                <w:rFonts w:ascii="Aptos" w:hAnsi="Aptos"/>
                <w:b w:val="0"/>
                <w:sz w:val="16"/>
              </w:rPr>
              <w:t>Months 6–9</w:t>
            </w:r>
          </w:p>
        </w:tc>
        <w:tc>
          <w:tcPr>
            <w:tcW w:type="dxa" w:w="8352"/>
            <w:vAlign w:val="center"/>
            <w:shd w:fill="F3F6FA"/>
          </w:tcPr>
          <w:p>
            <w:r/>
            <w:r>
              <w:rPr>
                <w:rFonts w:ascii="Aptos" w:hAnsi="Aptos"/>
                <w:b w:val="0"/>
                <w:sz w:val="16"/>
              </w:rPr>
              <w:t>Vacancy Exchange and panel-agency workflow</w:t>
            </w:r>
          </w:p>
        </w:tc>
      </w:tr>
      <w:tr>
        <w:tc>
          <w:tcPr>
            <w:tcW w:type="dxa" w:w="2016"/>
            <w:vAlign w:val="center"/>
          </w:tcPr>
          <w:p>
            <w:r/>
            <w:r>
              <w:rPr>
                <w:rFonts w:ascii="Aptos" w:hAnsi="Aptos"/>
                <w:b w:val="0"/>
                <w:sz w:val="16"/>
              </w:rPr>
              <w:t>Months 9–12</w:t>
            </w:r>
          </w:p>
        </w:tc>
        <w:tc>
          <w:tcPr>
            <w:tcW w:type="dxa" w:w="8352"/>
            <w:vAlign w:val="center"/>
          </w:tcPr>
          <w:p>
            <w:r/>
            <w:r>
              <w:rPr>
                <w:rFonts w:ascii="Aptos" w:hAnsi="Aptos"/>
                <w:b w:val="0"/>
                <w:sz w:val="16"/>
              </w:rPr>
              <w:t>Digital timesheets, integrated analytics and formal pilot evaluation</w:t>
            </w:r>
          </w:p>
        </w:tc>
      </w:tr>
    </w:tbl>
    <w:p/>
    <w:p>
      <w:r>
        <w:t>Timing is indicative and should be reset once the delivery model, integration requirements and procurement pathway are known.</w:t>
      </w:r>
    </w:p>
    <w:p>
      <w:pPr>
        <w:pStyle w:val="Heading1"/>
      </w:pPr>
      <w:r>
        <w:t>21. Recommended approval pathway</w:t>
      </w:r>
    </w:p>
    <w:p>
      <w:pPr>
        <w:pStyle w:val="ListBullet"/>
      </w:pPr>
      <w:r>
        <w:t>Approve discovery and baseline collection.</w:t>
      </w:r>
    </w:p>
    <w:p>
      <w:pPr>
        <w:pStyle w:val="ListBullet"/>
      </w:pPr>
      <w:r>
        <w:t>Validate procurement and privacy/security constraints before software configuration.</w:t>
      </w:r>
    </w:p>
    <w:p>
      <w:pPr>
        <w:pStyle w:val="ListBullet"/>
      </w:pPr>
      <w:r>
        <w:t>Return to Executive with costed MVP and final pilot evaluation plan.</w:t>
      </w:r>
    </w:p>
    <w:p>
      <w:pPr>
        <w:pStyle w:val="ListBullet"/>
      </w:pPr>
      <w:r>
        <w:t>Run a controlled pilot with current credentialled locums and existing panel arrangements.</w:t>
      </w:r>
    </w:p>
    <w:p>
      <w:pPr>
        <w:pStyle w:val="ListBullet"/>
      </w:pPr>
      <w:r>
        <w:t>Evaluate at defined stage gates.</w:t>
      </w:r>
    </w:p>
    <w:p>
      <w:pPr>
        <w:pStyle w:val="ListBullet"/>
      </w:pPr>
      <w:r>
        <w:t>Only then consider additional YNLHN roles/sites, digital credentialling or expansion to another LHN.</w:t>
      </w:r>
    </w:p>
    <w:p>
      <w:pPr>
        <w:pStyle w:val="Heading1"/>
      </w:pPr>
      <w:r>
        <w:t>22. Strategic opportunity beyond the pilot</w:t>
      </w:r>
    </w:p>
    <w:p>
      <w:r>
        <w:t>The YNLHN pilot is intentionally useful on its own. It also tests the foundations of a larger model: practitioner-owned reusable credential evidence, organisation-owned scope decisions, procurement-compliant workforce matching and measurable clinician experience. If the model succeeds locally, a second LHN can test credential reuse without surrendering its own credentialling authority. This creates a pathway to a South Australian collaborative workforce exchange and, ultimately, a national credential interoperability and workforce mobility proposition.</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1"/>
              </w:rPr>
              <w:t>The strategic asset is the relationship between credential, scope, vacancy, sourcing pathway, price, clinician experience and actual return. YNLHN can begin measuring that relationship without committing to the national end-state.</w:t>
            </w:r>
          </w:p>
        </w:tc>
      </w:tr>
    </w:tbl>
    <w:p/>
    <w:p>
      <w:pPr>
        <w:pStyle w:val="Heading1"/>
      </w:pPr>
      <w:r>
        <w:t>Appendix A. Policy and standards references</w:t>
      </w:r>
    </w:p>
    <w:p>
      <w:r>
        <w:t>1. SA Health. Use of Locums Policy, Version 1.0, approved 16 September 2025, PDS D0531.</w:t>
      </w:r>
    </w:p>
    <w:p>
      <w:r>
        <w:t>2. Australian Commission on Safety and Quality in Health Care. Credentialing and defining scope of practice: guidance for health services and clinicians. 2026.</w:t>
      </w:r>
    </w:p>
    <w:p>
      <w:r>
        <w:t>3. Australian Digital Health Agency. Healthcare identifiers and the Healthcare Identifiers Service. Current guidance accessed September 2026.</w:t>
      </w:r>
    </w:p>
    <w:p>
      <w:r>
        <w:t>4. Australian Digital Health Agency. Provider Connect Australia. Current guidance accessed September 2026.</w:t>
      </w:r>
    </w:p>
    <w:p>
      <w:pPr>
        <w:pStyle w:val="Heading1"/>
      </w:pPr>
      <w:r>
        <w:t>Appendix B. Relationship to Master Specification</w:t>
      </w:r>
    </w:p>
    <w:p>
      <w:r>
        <w:t>This business case is derived from the Australian Medical Workforce Passport &amp; Exchange - Master Product &amp; Programme Specification v0.2. The Master Specification contains the broader staged product architecture, data model, ScopeGraph concept, statewide/national roadmap and detailed product domains. Where this business case and the Master Specification differ during pilot refinement, the YNLHN-approved pilot scope and governance decisions take precedence for local implementation.</w:t>
      </w:r>
    </w:p>
    <w:p>
      <w:pPr>
        <w:pStyle w:val="Heading1"/>
      </w:pPr>
      <w:r>
        <w:t>Appendix C. Version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7365D"/>
          </w:tcPr>
          <w:p>
            <w:r/>
            <w:r>
              <w:rPr>
                <w:rFonts w:ascii="Aptos" w:hAnsi="Aptos"/>
                <w:b/>
                <w:color w:val="FFFFFF"/>
                <w:sz w:val="16"/>
              </w:rPr>
              <w:t>Version</w:t>
            </w:r>
          </w:p>
        </w:tc>
        <w:tc>
          <w:tcPr>
            <w:tcW w:type="dxa" w:w="1872"/>
            <w:vAlign w:val="center"/>
            <w:shd w:fill="17365D"/>
          </w:tcPr>
          <w:p>
            <w:r/>
            <w:r>
              <w:rPr>
                <w:rFonts w:ascii="Aptos" w:hAnsi="Aptos"/>
                <w:b/>
                <w:color w:val="FFFFFF"/>
                <w:sz w:val="16"/>
              </w:rPr>
              <w:t>Date</w:t>
            </w:r>
          </w:p>
        </w:tc>
        <w:tc>
          <w:tcPr>
            <w:tcW w:type="dxa" w:w="1440"/>
            <w:vAlign w:val="center"/>
            <w:shd w:fill="17365D"/>
          </w:tcPr>
          <w:p>
            <w:r/>
            <w:r>
              <w:rPr>
                <w:rFonts w:ascii="Aptos" w:hAnsi="Aptos"/>
                <w:b/>
                <w:color w:val="FFFFFF"/>
                <w:sz w:val="16"/>
              </w:rPr>
              <w:t>Status</w:t>
            </w:r>
          </w:p>
        </w:tc>
        <w:tc>
          <w:tcPr>
            <w:tcW w:type="dxa" w:w="5904"/>
            <w:vAlign w:val="center"/>
            <w:shd w:fill="17365D"/>
          </w:tcPr>
          <w:p>
            <w:r/>
            <w:r>
              <w:rPr>
                <w:rFonts w:ascii="Aptos" w:hAnsi="Aptos"/>
                <w:b/>
                <w:color w:val="FFFFFF"/>
                <w:sz w:val="16"/>
              </w:rPr>
              <w:t>Key change</w:t>
            </w:r>
          </w:p>
        </w:tc>
      </w:tr>
      <w:tr>
        <w:tc>
          <w:tcPr>
            <w:tcW w:type="dxa" w:w="1152"/>
            <w:vAlign w:val="center"/>
          </w:tcPr>
          <w:p>
            <w:r/>
            <w:r>
              <w:rPr>
                <w:rFonts w:ascii="Aptos" w:hAnsi="Aptos"/>
                <w:b w:val="0"/>
                <w:sz w:val="16"/>
              </w:rPr>
              <w:t>0.1</w:t>
            </w:r>
          </w:p>
        </w:tc>
        <w:tc>
          <w:tcPr>
            <w:tcW w:type="dxa" w:w="1872"/>
            <w:vAlign w:val="center"/>
          </w:tcPr>
          <w:p>
            <w:r/>
            <w:r>
              <w:rPr>
                <w:rFonts w:ascii="Aptos" w:hAnsi="Aptos"/>
                <w:b w:val="0"/>
                <w:sz w:val="16"/>
              </w:rPr>
              <w:t>26 September 2026</w:t>
            </w:r>
          </w:p>
        </w:tc>
        <w:tc>
          <w:tcPr>
            <w:tcW w:type="dxa" w:w="1440"/>
            <w:vAlign w:val="center"/>
          </w:tcPr>
          <w:p>
            <w:r/>
            <w:r>
              <w:rPr>
                <w:rFonts w:ascii="Aptos" w:hAnsi="Aptos"/>
                <w:b w:val="0"/>
                <w:sz w:val="16"/>
              </w:rPr>
              <w:t>Draft</w:t>
            </w:r>
          </w:p>
        </w:tc>
        <w:tc>
          <w:tcPr>
            <w:tcW w:type="dxa" w:w="5904"/>
            <w:vAlign w:val="center"/>
          </w:tcPr>
          <w:p>
            <w:r/>
            <w:r>
              <w:rPr>
                <w:rFonts w:ascii="Aptos" w:hAnsi="Aptos"/>
                <w:b w:val="0"/>
                <w:sz w:val="16"/>
              </w:rPr>
              <w:t>Initial YNLHN pilot business case derived from Master Specification v0.2.</w:t>
            </w:r>
          </w:p>
        </w:tc>
      </w:tr>
    </w:tbl>
    <w:p/>
    <w:p>
      <w:r>
        <w:br w:type="page"/>
      </w:r>
    </w:p>
    <w:p>
      <w:pPr>
        <w:pStyle w:val="Heading1"/>
      </w:pPr>
      <w:r>
        <w:t>Strategic upside beyond the YNLHN pilot</w:t>
      </w:r>
    </w:p>
    <w:p>
      <w:r>
        <w:t>The YNLHN pilot remains deliberately constrained, but its value is strengthened because it can test foundations that may later support a broader workforce trust and mobilisation capability. These future opportunities are not required to justify or deliver the pilot.</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Opportunity</w:t>
            </w:r>
          </w:p>
        </w:tc>
        <w:tc>
          <w:tcPr>
            <w:tcW w:type="dxa" w:w="5083"/>
            <w:shd w:fill="17365D"/>
          </w:tcPr>
          <w:p>
            <w:r/>
            <w:r>
              <w:rPr>
                <w:b/>
                <w:color w:val="FFFFFF"/>
                <w:sz w:val="16"/>
              </w:rPr>
              <w:t>Strategic implication</w:t>
            </w:r>
          </w:p>
        </w:tc>
      </w:tr>
      <w:tr>
        <w:tc>
          <w:tcPr>
            <w:tcW w:type="dxa" w:w="5083"/>
          </w:tcPr>
          <w:p>
            <w:r>
              <w:rPr>
                <w:sz w:val="15"/>
              </w:rPr>
              <w:t>Workforce Trust Network</w:t>
            </w:r>
          </w:p>
        </w:tc>
        <w:tc>
          <w:tcPr>
            <w:tcW w:type="dxa" w:w="5083"/>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083"/>
            <w:shd w:fill="F4F7FA"/>
          </w:tcPr>
          <w:p>
            <w:r>
              <w:rPr>
                <w:sz w:val="15"/>
              </w:rPr>
              <w:t>Federated Scope of Practice Registry</w:t>
            </w:r>
          </w:p>
        </w:tc>
        <w:tc>
          <w:tcPr>
            <w:tcW w:type="dxa" w:w="5083"/>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083"/>
          </w:tcPr>
          <w:p>
            <w:r>
              <w:rPr>
                <w:sz w:val="15"/>
              </w:rPr>
              <w:t>Machine-enforceable scope</w:t>
            </w:r>
          </w:p>
        </w:tc>
        <w:tc>
          <w:tcPr>
            <w:tcW w:type="dxa" w:w="5083"/>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083"/>
            <w:shd w:fill="F4F7FA"/>
          </w:tcPr>
          <w:p>
            <w:r>
              <w:rPr>
                <w:sz w:val="15"/>
              </w:rPr>
              <w:t>Reusable onboarding passport</w:t>
            </w:r>
          </w:p>
        </w:tc>
        <w:tc>
          <w:tcPr>
            <w:tcW w:type="dxa" w:w="5083"/>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083"/>
          </w:tcPr>
          <w:p>
            <w:r>
              <w:rPr>
                <w:sz w:val="15"/>
              </w:rPr>
              <w:t>Workforce digital twin</w:t>
            </w:r>
          </w:p>
        </w:tc>
        <w:tc>
          <w:tcPr>
            <w:tcW w:type="dxa" w:w="5083"/>
          </w:tcPr>
          <w:p>
            <w:r>
              <w:rPr>
                <w:sz w:val="15"/>
              </w:rPr>
              <w:t>Combine structured vacancies, eligibility, scope, availability, preferences and sourcing data to show the real deployable workforce for a site, service, role and time period.</w:t>
            </w:r>
          </w:p>
        </w:tc>
      </w:tr>
      <w:tr>
        <w:tc>
          <w:tcPr>
            <w:tcW w:type="dxa" w:w="5083"/>
            <w:shd w:fill="F4F7FA"/>
          </w:tcPr>
          <w:p>
            <w:r>
              <w:rPr>
                <w:sz w:val="15"/>
              </w:rPr>
              <w:t>Predictive shortage management</w:t>
            </w:r>
          </w:p>
        </w:tc>
        <w:tc>
          <w:tcPr>
            <w:tcW w:type="dxa" w:w="5083"/>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083"/>
          </w:tcPr>
          <w:p>
            <w:r>
              <w:rPr>
                <w:sz w:val="15"/>
              </w:rPr>
              <w:t>Rural workforce laboratory</w:t>
            </w:r>
          </w:p>
        </w:tc>
        <w:tc>
          <w:tcPr>
            <w:tcW w:type="dxa" w:w="5083"/>
          </w:tcPr>
          <w:p>
            <w:r>
              <w:rPr>
                <w:sz w:val="15"/>
              </w:rPr>
              <w:t>Link clinician experience, culture, support, accommodation, workload, rates and actual return behaviour to identify modifiable drivers of rural attraction and retention and evaluate interventions.</w:t>
            </w:r>
          </w:p>
        </w:tc>
      </w:tr>
      <w:tr>
        <w:tc>
          <w:tcPr>
            <w:tcW w:type="dxa" w:w="5083"/>
            <w:shd w:fill="F4F7FA"/>
          </w:tcPr>
          <w:p>
            <w:r>
              <w:rPr>
                <w:sz w:val="15"/>
              </w:rPr>
              <w:t>Emergency workforce mobilisation</w:t>
            </w:r>
          </w:p>
        </w:tc>
        <w:tc>
          <w:tcPr>
            <w:tcW w:type="dxa" w:w="5083"/>
            <w:shd w:fill="F4F7FA"/>
          </w:tcPr>
          <w:p>
            <w:r>
              <w:rPr>
                <w:sz w:val="15"/>
              </w:rPr>
              <w:t>Provide a controlled mechanism to identify clinicians who are currently eligible, available and willing to deploy during surge, disaster, pandemic or sudden service failure.</w:t>
            </w:r>
          </w:p>
        </w:tc>
      </w:tr>
      <w:tr>
        <w:tc>
          <w:tcPr>
            <w:tcW w:type="dxa" w:w="5083"/>
          </w:tcPr>
          <w:p>
            <w:r>
              <w:rPr>
                <w:sz w:val="15"/>
              </w:rPr>
              <w:t>Multi-professional extensibility</w:t>
            </w:r>
          </w:p>
        </w:tc>
        <w:tc>
          <w:tcPr>
            <w:tcW w:type="dxa" w:w="5083"/>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083"/>
            <w:shd w:fill="F4F7FA"/>
          </w:tcPr>
          <w:p>
            <w:r>
              <w:rPr>
                <w:sz w:val="15"/>
              </w:rPr>
              <w:t>Longitudinal Clinical Professional Passport</w:t>
            </w:r>
          </w:p>
        </w:tc>
        <w:tc>
          <w:tcPr>
            <w:tcW w:type="dxa" w:w="5083"/>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Horizon</w:t>
            </w:r>
          </w:p>
        </w:tc>
        <w:tc>
          <w:tcPr>
            <w:tcW w:type="dxa" w:w="5083"/>
            <w:shd w:fill="17365D"/>
          </w:tcPr>
          <w:p>
            <w:r/>
            <w:r>
              <w:rPr>
                <w:b/>
                <w:color w:val="FFFFFF"/>
                <w:sz w:val="16"/>
              </w:rPr>
              <w:t>Position</w:t>
            </w:r>
          </w:p>
        </w:tc>
      </w:tr>
      <w:tr>
        <w:tc>
          <w:tcPr>
            <w:tcW w:type="dxa" w:w="5083"/>
          </w:tcPr>
          <w:p>
            <w:r>
              <w:rPr>
                <w:sz w:val="15"/>
              </w:rPr>
              <w:t>BUILD NOW</w:t>
            </w:r>
          </w:p>
        </w:tc>
        <w:tc>
          <w:tcPr>
            <w:tcW w:type="dxa" w:w="5083"/>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083"/>
            <w:shd w:fill="F4F7FA"/>
          </w:tcPr>
          <w:p>
            <w:r>
              <w:rPr>
                <w:sz w:val="15"/>
              </w:rPr>
              <w:t>ARCHITECT FOR</w:t>
            </w:r>
          </w:p>
        </w:tc>
        <w:tc>
          <w:tcPr>
            <w:tcW w:type="dxa" w:w="5083"/>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083"/>
          </w:tcPr>
          <w:p>
            <w:r>
              <w:rPr>
                <w:sz w:val="15"/>
              </w:rPr>
              <w:t>INVESTIGATE / PILOT LATER</w:t>
            </w:r>
          </w:p>
        </w:tc>
        <w:tc>
          <w:tcPr>
            <w:tcW w:type="dxa" w:w="5083"/>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083"/>
            <w:shd w:fill="F4F7FA"/>
          </w:tcPr>
          <w:p>
            <w:r>
              <w:rPr>
                <w:sz w:val="15"/>
              </w:rPr>
              <w:t>DELIBERATELY EXCLUDE FROM EARLY MVP</w:t>
            </w:r>
          </w:p>
        </w:tc>
        <w:tc>
          <w:tcPr>
            <w:tcW w:type="dxa" w:w="5083"/>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Product layer</w:t>
            </w:r>
          </w:p>
        </w:tc>
        <w:tc>
          <w:tcPr>
            <w:tcW w:type="dxa" w:w="5083"/>
            <w:shd w:fill="17365D"/>
          </w:tcPr>
          <w:p>
            <w:r/>
            <w:r>
              <w:rPr>
                <w:b/>
                <w:color w:val="FFFFFF"/>
                <w:sz w:val="16"/>
              </w:rPr>
              <w:t>Core question</w:t>
            </w:r>
          </w:p>
        </w:tc>
      </w:tr>
      <w:tr>
        <w:tc>
          <w:tcPr>
            <w:tcW w:type="dxa" w:w="5083"/>
          </w:tcPr>
          <w:p>
            <w:r>
              <w:rPr>
                <w:sz w:val="15"/>
              </w:rPr>
              <w:t>Passport</w:t>
            </w:r>
          </w:p>
        </w:tc>
        <w:tc>
          <w:tcPr>
            <w:tcW w:type="dxa" w:w="5083"/>
          </w:tcPr>
          <w:p>
            <w:r>
              <w:rPr>
                <w:sz w:val="15"/>
              </w:rPr>
              <w:t>What can I prove about myself?</w:t>
            </w:r>
          </w:p>
        </w:tc>
      </w:tr>
      <w:tr>
        <w:tc>
          <w:tcPr>
            <w:tcW w:type="dxa" w:w="5083"/>
            <w:shd w:fill="F4F7FA"/>
          </w:tcPr>
          <w:p>
            <w:r>
              <w:rPr>
                <w:sz w:val="15"/>
              </w:rPr>
              <w:t>Scope</w:t>
            </w:r>
          </w:p>
        </w:tc>
        <w:tc>
          <w:tcPr>
            <w:tcW w:type="dxa" w:w="5083"/>
            <w:shd w:fill="F4F7FA"/>
          </w:tcPr>
          <w:p>
            <w:r>
              <w:rPr>
                <w:sz w:val="15"/>
              </w:rPr>
              <w:t>What has this health service authorised me to do?</w:t>
            </w:r>
          </w:p>
        </w:tc>
      </w:tr>
      <w:tr>
        <w:tc>
          <w:tcPr>
            <w:tcW w:type="dxa" w:w="5083"/>
          </w:tcPr>
          <w:p>
            <w:r>
              <w:rPr>
                <w:sz w:val="15"/>
              </w:rPr>
              <w:t>Exchange</w:t>
            </w:r>
          </w:p>
        </w:tc>
        <w:tc>
          <w:tcPr>
            <w:tcW w:type="dxa" w:w="5083"/>
          </w:tcPr>
          <w:p>
            <w:r>
              <w:rPr>
                <w:sz w:val="15"/>
              </w:rPr>
              <w:t>Where can I work and where am I needed?</w:t>
            </w:r>
          </w:p>
        </w:tc>
      </w:tr>
      <w:tr>
        <w:tc>
          <w:tcPr>
            <w:tcW w:type="dxa" w:w="5083"/>
            <w:shd w:fill="F4F7FA"/>
          </w:tcPr>
          <w:p>
            <w:r>
              <w:rPr>
                <w:sz w:val="15"/>
              </w:rPr>
              <w:t>Intelligence</w:t>
            </w:r>
          </w:p>
        </w:tc>
        <w:tc>
          <w:tcPr>
            <w:tcW w:type="dxa" w:w="5083"/>
            <w:shd w:fill="F4F7FA"/>
          </w:tcPr>
          <w:p>
            <w:r>
              <w:rPr>
                <w:sz w:val="15"/>
              </w:rPr>
              <w:t>What should the system change to put the right workforce in the right place?</w:t>
            </w:r>
          </w:p>
        </w:tc>
      </w:tr>
    </w:tbl>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5"/>
      </w:rPr>
      <w:t>Draft v0.2 | September 2026 | For concept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5"/>
      </w:rPr>
      <w:t>YNLHN Medical Locum Experience &amp; Workforce Platform | Pilot Business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666666"/>
      <w:sz w:val="16"/>
    </w:rPr>
  </w:style>
  <w:style w:type="paragraph" w:customStyle="1" w:styleId="Callout">
    <w:name w:val="Callout"/>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