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YNLHN MEDICAL LOCUM EXPERIENCE</w:t>
        <w:br/>
        <w:t>&amp; WORKFORCE PLATFORM</w:t>
      </w:r>
    </w:p>
    <w:p>
      <w:pPr>
        <w:jc w:val="center"/>
      </w:pPr>
      <w:r>
        <w:rPr>
          <w:color w:val="2F5597"/>
          <w:sz w:val="34"/>
        </w:rPr>
        <w:t>Pilot Implementation &amp; Evaluation Plan</w:t>
      </w:r>
    </w:p>
    <w:p>
      <w:pPr>
        <w:jc w:val="center"/>
      </w:pPr>
      <w:r>
        <w:rPr>
          <w:color w:val="666666"/>
          <w:sz w:val="20"/>
        </w:rPr>
        <w:t>Version 0.2 | September 2026</w:t>
      </w:r>
    </w:p>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Purpose: translate the endorsed business case into a controlled, measurable pilot with explicit governance, workstreams, stage gates, baseline measures and stop/go criteria.</w:t>
            </w:r>
          </w:p>
        </w:tc>
      </w:tr>
    </w:tbl>
    <w:p/>
    <w:p>
      <w:pPr>
        <w:jc w:val="center"/>
      </w:pPr>
      <w:r>
        <w:rPr>
          <w:sz w:val="18"/>
        </w:rPr>
        <w:t>Proposed initial context: Port Pirie and Wallaroo medical locum workforce. Final sites and roles subject to discovery and readiness assessment.</w:t>
      </w:r>
    </w:p>
    <w:p>
      <w:r>
        <w:br w:type="page"/>
      </w:r>
    </w:p>
    <w:p>
      <w:pPr>
        <w:pStyle w:val="Heading1"/>
      </w:pPr>
      <w:r>
        <w:t>Executive summary</w:t>
      </w:r>
    </w:p>
    <w:p>
      <w:r>
        <w:t>This plan sets out how YNLHN can implement and evaluate a staged pilot of the Medical Locum Experience &amp; Workforce Platform. The pilot begins with functions that create immediate value for doctors and generate a baseline understanding of the locum workforce: a free Credential Wallet, secure credential sharing and confidential post-shift experience feedback. Operational functionality is then introduced in controlled increments: vacancy exchange, SA Health panel-agency-first sourcing, booking and digital timesheets.</w:t>
      </w:r>
    </w:p>
    <w:p>
      <w:r>
        <w:t>Existing YNLHN credentialling and scope-of-clinical-practice decisions remain authoritative throughout the initial pilot. The platform does not independently determine clinical competence, replace payroll or bypass applicable SA Health procurement arrangements. Each implementation stage is subject to explicit safety, privacy, procurement, adoption and technical gates.</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The pilot should be treated as a service-improvement and workforce-learning programme supported by digital technology, not as an IT deployment alone.</w:t>
            </w:r>
          </w:p>
        </w:tc>
      </w:tr>
    </w:tbl>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Pilot objective</w:t>
            </w:r>
          </w:p>
        </w:tc>
        <w:tc>
          <w:tcPr>
            <w:tcW w:type="dxa" w:w="5083"/>
            <w:vAlign w:val="center"/>
            <w:shd w:fill="17365D"/>
          </w:tcPr>
          <w:p>
            <w:r/>
            <w:r>
              <w:rPr>
                <w:rFonts w:ascii="Aptos" w:hAnsi="Aptos"/>
                <w:b/>
                <w:color w:val="FFFFFF"/>
                <w:sz w:val="16"/>
              </w:rPr>
              <w:t>How it will be tested</w:t>
            </w:r>
          </w:p>
        </w:tc>
      </w:tr>
      <w:tr>
        <w:tc>
          <w:tcPr>
            <w:tcW w:type="dxa" w:w="5083"/>
            <w:vAlign w:val="center"/>
          </w:tcPr>
          <w:p>
            <w:r/>
            <w:r>
              <w:rPr>
                <w:rFonts w:ascii="Aptos" w:hAnsi="Aptos"/>
                <w:b w:val="0"/>
                <w:sz w:val="16"/>
              </w:rPr>
              <w:t>Doctor utility</w:t>
            </w:r>
          </w:p>
        </w:tc>
        <w:tc>
          <w:tcPr>
            <w:tcW w:type="dxa" w:w="5083"/>
            <w:vAlign w:val="center"/>
          </w:tcPr>
          <w:p>
            <w:r/>
            <w:r>
              <w:rPr>
                <w:rFonts w:ascii="Aptos" w:hAnsi="Aptos"/>
                <w:b w:val="0"/>
                <w:sz w:val="16"/>
              </w:rPr>
              <w:t>Credential Wallet use, credential sharing, expiry tracking and qualitative usability</w:t>
            </w:r>
          </w:p>
        </w:tc>
      </w:tr>
      <w:tr>
        <w:tc>
          <w:tcPr>
            <w:tcW w:type="dxa" w:w="5083"/>
            <w:vAlign w:val="center"/>
            <w:shd w:fill="F3F6FA"/>
          </w:tcPr>
          <w:p>
            <w:r/>
            <w:r>
              <w:rPr>
                <w:rFonts w:ascii="Aptos" w:hAnsi="Aptos"/>
                <w:b w:val="0"/>
                <w:sz w:val="16"/>
              </w:rPr>
              <w:t>Locum experience</w:t>
            </w:r>
          </w:p>
        </w:tc>
        <w:tc>
          <w:tcPr>
            <w:tcW w:type="dxa" w:w="5083"/>
            <w:vAlign w:val="center"/>
            <w:shd w:fill="F3F6FA"/>
          </w:tcPr>
          <w:p>
            <w:r/>
            <w:r>
              <w:rPr>
                <w:rFonts w:ascii="Aptos" w:hAnsi="Aptos"/>
                <w:b w:val="0"/>
                <w:sz w:val="16"/>
              </w:rPr>
              <w:t>Culture/support/orientation/confidence measures plus actual return behaviour</w:t>
            </w:r>
          </w:p>
        </w:tc>
      </w:tr>
      <w:tr>
        <w:tc>
          <w:tcPr>
            <w:tcW w:type="dxa" w:w="5083"/>
            <w:vAlign w:val="center"/>
          </w:tcPr>
          <w:p>
            <w:r/>
            <w:r>
              <w:rPr>
                <w:rFonts w:ascii="Aptos" w:hAnsi="Aptos"/>
                <w:b w:val="0"/>
                <w:sz w:val="16"/>
              </w:rPr>
              <w:t>Operational efficiency</w:t>
            </w:r>
          </w:p>
        </w:tc>
        <w:tc>
          <w:tcPr>
            <w:tcW w:type="dxa" w:w="5083"/>
            <w:vAlign w:val="center"/>
          </w:tcPr>
          <w:p>
            <w:r/>
            <w:r>
              <w:rPr>
                <w:rFonts w:ascii="Aptos" w:hAnsi="Aptos"/>
                <w:b w:val="0"/>
                <w:sz w:val="16"/>
              </w:rPr>
              <w:t>Time-to-fill, contacts per vacancy, booking workflow and timesheet turnaround</w:t>
            </w:r>
          </w:p>
        </w:tc>
      </w:tr>
      <w:tr>
        <w:tc>
          <w:tcPr>
            <w:tcW w:type="dxa" w:w="5083"/>
            <w:vAlign w:val="center"/>
            <w:shd w:fill="F3F6FA"/>
          </w:tcPr>
          <w:p>
            <w:r/>
            <w:r>
              <w:rPr>
                <w:rFonts w:ascii="Aptos" w:hAnsi="Aptos"/>
                <w:b w:val="0"/>
                <w:sz w:val="16"/>
              </w:rPr>
              <w:t>Procurement governance</w:t>
            </w:r>
          </w:p>
        </w:tc>
        <w:tc>
          <w:tcPr>
            <w:tcW w:type="dxa" w:w="5083"/>
            <w:vAlign w:val="center"/>
            <w:shd w:fill="F3F6FA"/>
          </w:tcPr>
          <w:p>
            <w:r/>
            <w:r>
              <w:rPr>
                <w:rFonts w:ascii="Aptos" w:hAnsi="Aptos"/>
                <w:b w:val="0"/>
                <w:sz w:val="16"/>
              </w:rPr>
              <w:t>Panel-first sourcing compliance, agency response/fill and audited exceptions</w:t>
            </w:r>
          </w:p>
        </w:tc>
      </w:tr>
      <w:tr>
        <w:tc>
          <w:tcPr>
            <w:tcW w:type="dxa" w:w="5083"/>
            <w:vAlign w:val="center"/>
          </w:tcPr>
          <w:p>
            <w:r/>
            <w:r>
              <w:rPr>
                <w:rFonts w:ascii="Aptos" w:hAnsi="Aptos"/>
                <w:b w:val="0"/>
                <w:sz w:val="16"/>
              </w:rPr>
              <w:t>Workforce intelligence</w:t>
            </w:r>
          </w:p>
        </w:tc>
        <w:tc>
          <w:tcPr>
            <w:tcW w:type="dxa" w:w="5083"/>
            <w:vAlign w:val="center"/>
          </w:tcPr>
          <w:p>
            <w:r/>
            <w:r>
              <w:rPr>
                <w:rFonts w:ascii="Aptos" w:hAnsi="Aptos"/>
                <w:b w:val="0"/>
                <w:sz w:val="16"/>
              </w:rPr>
              <w:t>Reliable linkage of vacancy, source, cost, experience and return</w:t>
            </w:r>
          </w:p>
        </w:tc>
      </w:tr>
      <w:tr>
        <w:tc>
          <w:tcPr>
            <w:tcW w:type="dxa" w:w="5083"/>
            <w:vAlign w:val="center"/>
            <w:shd w:fill="F3F6FA"/>
          </w:tcPr>
          <w:p>
            <w:r/>
            <w:r>
              <w:rPr>
                <w:rFonts w:ascii="Aptos" w:hAnsi="Aptos"/>
                <w:b w:val="0"/>
                <w:sz w:val="16"/>
              </w:rPr>
              <w:t>Scalability</w:t>
            </w:r>
          </w:p>
        </w:tc>
        <w:tc>
          <w:tcPr>
            <w:tcW w:type="dxa" w:w="5083"/>
            <w:vAlign w:val="center"/>
            <w:shd w:fill="F3F6FA"/>
          </w:tcPr>
          <w:p>
            <w:r/>
            <w:r>
              <w:rPr>
                <w:rFonts w:ascii="Aptos" w:hAnsi="Aptos"/>
                <w:b w:val="0"/>
                <w:sz w:val="16"/>
              </w:rPr>
              <w:t>Data model, permissions and workflow suitable for additional YNLHN sites and later LHN expansion</w:t>
            </w:r>
          </w:p>
        </w:tc>
      </w:tr>
    </w:tbl>
    <w:p/>
    <w:p>
      <w:pPr>
        <w:pStyle w:val="Heading1"/>
      </w:pPr>
      <w:r>
        <w:t>1. Purpose</w:t>
      </w:r>
    </w:p>
    <w:p>
      <w:r>
        <w:t>This document is the operational companion to the YNLHN Pilot Business Case and the Australian Medical Workforce Passport &amp; Exchange Master Product &amp; Programme Specification. It defines the pilot scope, governance, workstreams, implementation sequence, evaluation design, data requirements, stage gates, risk controls and deliverables.</w:t>
      </w:r>
    </w:p>
    <w:p>
      <w:pPr>
        <w:pStyle w:val="Heading1"/>
      </w:pPr>
      <w:r>
        <w:t>2. Pilot aims</w:t>
      </w:r>
    </w:p>
    <w:p>
      <w:pPr>
        <w:pStyle w:val="ListBullet"/>
      </w:pPr>
      <w:r>
        <w:t>Provide current YNLHN locum doctors with a useful, reusable digital credential portfolio from the first release.</w:t>
      </w:r>
    </w:p>
    <w:p>
      <w:pPr>
        <w:pStyle w:val="ListBullet"/>
      </w:pPr>
      <w:r>
        <w:t>Establish a trusted mechanism for locums to provide confidential feedback on culture, clinical support, workload, orientation and confidence in care.</w:t>
      </w:r>
    </w:p>
    <w:p>
      <w:pPr>
        <w:pStyle w:val="ListBullet"/>
      </w:pPr>
      <w:r>
        <w:t>Improve the transparency and efficiency of medical vacancy advertising and response.</w:t>
      </w:r>
    </w:p>
    <w:p>
      <w:pPr>
        <w:pStyle w:val="ListBullet"/>
      </w:pPr>
      <w:r>
        <w:t>Embed applicable SA Health panel-agency sourcing rules in the workflow.</w:t>
      </w:r>
    </w:p>
    <w:p>
      <w:pPr>
        <w:pStyle w:val="ListBullet"/>
      </w:pPr>
      <w:r>
        <w:t>Reduce manual administrative contacts and simplify timesheet approval.</w:t>
      </w:r>
    </w:p>
    <w:p>
      <w:pPr>
        <w:pStyle w:val="ListBullet"/>
      </w:pPr>
      <w:r>
        <w:t>Create a reliable baseline and longitudinal dataset on locum supply, cost, agency performance, experience and return.</w:t>
      </w:r>
    </w:p>
    <w:p>
      <w:pPr>
        <w:pStyle w:val="ListBullet"/>
      </w:pPr>
      <w:r>
        <w:t>Test the technical and governance foundations required for later digital credentialling and multi-LHN expansion.</w:t>
      </w:r>
    </w:p>
    <w:p>
      <w:pPr>
        <w:pStyle w:val="Heading1"/>
      </w:pPr>
      <w:r>
        <w:t>3. Pilot principles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Principle</w:t>
            </w:r>
          </w:p>
        </w:tc>
        <w:tc>
          <w:tcPr>
            <w:tcW w:type="dxa" w:w="5083"/>
            <w:vAlign w:val="center"/>
            <w:shd w:fill="17365D"/>
          </w:tcPr>
          <w:p>
            <w:r/>
            <w:r>
              <w:rPr>
                <w:rFonts w:ascii="Aptos" w:hAnsi="Aptos"/>
                <w:b/>
                <w:color w:val="FFFFFF"/>
                <w:sz w:val="16"/>
              </w:rPr>
              <w:t>Operational rule</w:t>
            </w:r>
          </w:p>
        </w:tc>
      </w:tr>
      <w:tr>
        <w:tc>
          <w:tcPr>
            <w:tcW w:type="dxa" w:w="5083"/>
            <w:vAlign w:val="center"/>
          </w:tcPr>
          <w:p>
            <w:r/>
            <w:r>
              <w:rPr>
                <w:rFonts w:ascii="Aptos" w:hAnsi="Aptos"/>
                <w:b w:val="0"/>
                <w:sz w:val="16"/>
              </w:rPr>
              <w:t>Doctor value first</w:t>
            </w:r>
          </w:p>
        </w:tc>
        <w:tc>
          <w:tcPr>
            <w:tcW w:type="dxa" w:w="5083"/>
            <w:vAlign w:val="center"/>
          </w:tcPr>
          <w:p>
            <w:r/>
            <w:r>
              <w:rPr>
                <w:rFonts w:ascii="Aptos" w:hAnsi="Aptos"/>
                <w:b w:val="0"/>
                <w:sz w:val="16"/>
              </w:rPr>
              <w:t>Credential Wallet and sharing must be useful even if the doctor never accepts a YNLHN shift.</w:t>
            </w:r>
          </w:p>
        </w:tc>
      </w:tr>
      <w:tr>
        <w:tc>
          <w:tcPr>
            <w:tcW w:type="dxa" w:w="5083"/>
            <w:vAlign w:val="center"/>
            <w:shd w:fill="F3F6FA"/>
          </w:tcPr>
          <w:p>
            <w:r/>
            <w:r>
              <w:rPr>
                <w:rFonts w:ascii="Aptos" w:hAnsi="Aptos"/>
                <w:b w:val="0"/>
                <w:sz w:val="16"/>
              </w:rPr>
              <w:t>Current authority retained</w:t>
            </w:r>
          </w:p>
        </w:tc>
        <w:tc>
          <w:tcPr>
            <w:tcW w:type="dxa" w:w="5083"/>
            <w:vAlign w:val="center"/>
            <w:shd w:fill="F3F6FA"/>
          </w:tcPr>
          <w:p>
            <w:r/>
            <w:r>
              <w:rPr>
                <w:rFonts w:ascii="Aptos" w:hAnsi="Aptos"/>
                <w:b w:val="0"/>
                <w:sz w:val="16"/>
              </w:rPr>
              <w:t>YNLHN credentialling/SoCP records remain the source of authority for initial eligibility.</w:t>
            </w:r>
          </w:p>
        </w:tc>
      </w:tr>
      <w:tr>
        <w:tc>
          <w:tcPr>
            <w:tcW w:type="dxa" w:w="5083"/>
            <w:vAlign w:val="center"/>
          </w:tcPr>
          <w:p>
            <w:r/>
            <w:r>
              <w:rPr>
                <w:rFonts w:ascii="Aptos" w:hAnsi="Aptos"/>
                <w:b w:val="0"/>
                <w:sz w:val="16"/>
              </w:rPr>
              <w:t>Agency-compliant introduction</w:t>
            </w:r>
          </w:p>
        </w:tc>
        <w:tc>
          <w:tcPr>
            <w:tcW w:type="dxa" w:w="5083"/>
            <w:vAlign w:val="center"/>
          </w:tcPr>
          <w:p>
            <w:r/>
            <w:r>
              <w:rPr>
                <w:rFonts w:ascii="Aptos" w:hAnsi="Aptos"/>
                <w:b w:val="0"/>
                <w:sz w:val="16"/>
              </w:rPr>
              <w:t>Existing SA Health panel arrangements are supported and measured, not bypassed.</w:t>
            </w:r>
          </w:p>
        </w:tc>
      </w:tr>
      <w:tr>
        <w:tc>
          <w:tcPr>
            <w:tcW w:type="dxa" w:w="5083"/>
            <w:vAlign w:val="center"/>
            <w:shd w:fill="F3F6FA"/>
          </w:tcPr>
          <w:p>
            <w:r/>
            <w:r>
              <w:rPr>
                <w:rFonts w:ascii="Aptos" w:hAnsi="Aptos"/>
                <w:b w:val="0"/>
                <w:sz w:val="16"/>
              </w:rPr>
              <w:t>Human confirmation</w:t>
            </w:r>
          </w:p>
        </w:tc>
        <w:tc>
          <w:tcPr>
            <w:tcW w:type="dxa" w:w="5083"/>
            <w:vAlign w:val="center"/>
            <w:shd w:fill="F3F6FA"/>
          </w:tcPr>
          <w:p>
            <w:r/>
            <w:r>
              <w:rPr>
                <w:rFonts w:ascii="Aptos" w:hAnsi="Aptos"/>
                <w:b w:val="0"/>
                <w:sz w:val="16"/>
              </w:rPr>
              <w:t>Early bookings require Medical Workforce confirmation; no uncontrolled instant booking.</w:t>
            </w:r>
          </w:p>
        </w:tc>
      </w:tr>
      <w:tr>
        <w:tc>
          <w:tcPr>
            <w:tcW w:type="dxa" w:w="5083"/>
            <w:vAlign w:val="center"/>
          </w:tcPr>
          <w:p>
            <w:r/>
            <w:r>
              <w:rPr>
                <w:rFonts w:ascii="Aptos" w:hAnsi="Aptos"/>
                <w:b w:val="0"/>
                <w:sz w:val="16"/>
              </w:rPr>
              <w:t>Confidential feedback</w:t>
            </w:r>
          </w:p>
        </w:tc>
        <w:tc>
          <w:tcPr>
            <w:tcW w:type="dxa" w:w="5083"/>
            <w:vAlign w:val="center"/>
          </w:tcPr>
          <w:p>
            <w:r/>
            <w:r>
              <w:rPr>
                <w:rFonts w:ascii="Aptos" w:hAnsi="Aptos"/>
                <w:b w:val="0"/>
                <w:sz w:val="16"/>
              </w:rPr>
              <w:t>Operational users do not routinely see identifiable individual survey responses.</w:t>
            </w:r>
          </w:p>
        </w:tc>
      </w:tr>
      <w:tr>
        <w:tc>
          <w:tcPr>
            <w:tcW w:type="dxa" w:w="5083"/>
            <w:vAlign w:val="center"/>
            <w:shd w:fill="F3F6FA"/>
          </w:tcPr>
          <w:p>
            <w:r/>
            <w:r>
              <w:rPr>
                <w:rFonts w:ascii="Aptos" w:hAnsi="Aptos"/>
                <w:b w:val="0"/>
                <w:sz w:val="16"/>
              </w:rPr>
              <w:t>Formal safety pathways</w:t>
            </w:r>
          </w:p>
        </w:tc>
        <w:tc>
          <w:tcPr>
            <w:tcW w:type="dxa" w:w="5083"/>
            <w:vAlign w:val="center"/>
            <w:shd w:fill="F3F6FA"/>
          </w:tcPr>
          <w:p>
            <w:r/>
            <w:r>
              <w:rPr>
                <w:rFonts w:ascii="Aptos" w:hAnsi="Aptos"/>
                <w:b w:val="0"/>
                <w:sz w:val="16"/>
              </w:rPr>
              <w:t>Feedback does not replace incident, complaint or workplace reporting.</w:t>
            </w:r>
          </w:p>
        </w:tc>
      </w:tr>
      <w:tr>
        <w:tc>
          <w:tcPr>
            <w:tcW w:type="dxa" w:w="5083"/>
            <w:vAlign w:val="center"/>
          </w:tcPr>
          <w:p>
            <w:r/>
            <w:r>
              <w:rPr>
                <w:rFonts w:ascii="Aptos" w:hAnsi="Aptos"/>
                <w:b w:val="0"/>
                <w:sz w:val="16"/>
              </w:rPr>
              <w:t>Minimum necessary data</w:t>
            </w:r>
          </w:p>
        </w:tc>
        <w:tc>
          <w:tcPr>
            <w:tcW w:type="dxa" w:w="5083"/>
            <w:vAlign w:val="center"/>
          </w:tcPr>
          <w:p>
            <w:r/>
            <w:r>
              <w:rPr>
                <w:rFonts w:ascii="Aptos" w:hAnsi="Aptos"/>
                <w:b w:val="0"/>
                <w:sz w:val="16"/>
              </w:rPr>
              <w:t>Collect only data required for the defined purpose and stage.</w:t>
            </w:r>
          </w:p>
        </w:tc>
      </w:tr>
      <w:tr>
        <w:tc>
          <w:tcPr>
            <w:tcW w:type="dxa" w:w="5083"/>
            <w:vAlign w:val="center"/>
            <w:shd w:fill="F3F6FA"/>
          </w:tcPr>
          <w:p>
            <w:r/>
            <w:r>
              <w:rPr>
                <w:rFonts w:ascii="Aptos" w:hAnsi="Aptos"/>
                <w:b w:val="0"/>
                <w:sz w:val="16"/>
              </w:rPr>
              <w:t>Measure before claiming savings</w:t>
            </w:r>
          </w:p>
        </w:tc>
        <w:tc>
          <w:tcPr>
            <w:tcW w:type="dxa" w:w="5083"/>
            <w:vAlign w:val="center"/>
            <w:shd w:fill="F3F6FA"/>
          </w:tcPr>
          <w:p>
            <w:r/>
            <w:r>
              <w:rPr>
                <w:rFonts w:ascii="Aptos" w:hAnsi="Aptos"/>
                <w:b w:val="0"/>
                <w:sz w:val="16"/>
              </w:rPr>
              <w:t>Baseline cost and workload before benefits are monetised.</w:t>
            </w:r>
          </w:p>
        </w:tc>
      </w:tr>
      <w:tr>
        <w:tc>
          <w:tcPr>
            <w:tcW w:type="dxa" w:w="5083"/>
            <w:vAlign w:val="center"/>
          </w:tcPr>
          <w:p>
            <w:r/>
            <w:r>
              <w:rPr>
                <w:rFonts w:ascii="Aptos" w:hAnsi="Aptos"/>
                <w:b w:val="0"/>
                <w:sz w:val="16"/>
              </w:rPr>
              <w:t>Stage-gated expansion</w:t>
            </w:r>
          </w:p>
        </w:tc>
        <w:tc>
          <w:tcPr>
            <w:tcW w:type="dxa" w:w="5083"/>
            <w:vAlign w:val="center"/>
          </w:tcPr>
          <w:p>
            <w:r/>
            <w:r>
              <w:rPr>
                <w:rFonts w:ascii="Aptos" w:hAnsi="Aptos"/>
                <w:b w:val="0"/>
                <w:sz w:val="16"/>
              </w:rPr>
              <w:t>No new stage proceeds solely because the software functions.</w:t>
            </w:r>
          </w:p>
        </w:tc>
      </w:tr>
    </w:tbl>
    <w:p/>
    <w:p>
      <w:pPr>
        <w:pStyle w:val="Heading1"/>
      </w:pPr>
      <w:r>
        <w:t>4. Pilot scope</w:t>
      </w:r>
    </w:p>
    <w:p>
      <w:pPr>
        <w:pStyle w:val="Heading2"/>
      </w:pPr>
      <w:r>
        <w:t>4.1 Included</w:t>
      </w:r>
    </w:p>
    <w:p>
      <w:pPr>
        <w:pStyle w:val="ListBullet"/>
      </w:pPr>
      <w:r>
        <w:t>Practitioner account, MFA and profile</w:t>
      </w:r>
    </w:p>
    <w:p>
      <w:pPr>
        <w:pStyle w:val="ListBullet"/>
      </w:pPr>
      <w:r>
        <w:t>Credential Wallet, evidence upload, expiry tracking and assurance status</w:t>
      </w:r>
    </w:p>
    <w:p>
      <w:pPr>
        <w:pStyle w:val="ListBullet"/>
      </w:pPr>
      <w:r>
        <w:t>Credential bundles and secure external sharing</w:t>
      </w:r>
    </w:p>
    <w:p>
      <w:pPr>
        <w:pStyle w:val="ListBullet"/>
      </w:pPr>
      <w:r>
        <w:t>Import/linkage of current YNLHN credential and role/site scope information</w:t>
      </w:r>
    </w:p>
    <w:p>
      <w:pPr>
        <w:pStyle w:val="ListBullet"/>
      </w:pPr>
      <w:r>
        <w:t>Post-shift Locum Experience survey and aggregated dashboards</w:t>
      </w:r>
    </w:p>
    <w:p>
      <w:pPr>
        <w:pStyle w:val="ListBullet"/>
      </w:pPr>
      <w:r>
        <w:t>Vacancy creation and structured role/site information</w:t>
      </w:r>
    </w:p>
    <w:p>
      <w:pPr>
        <w:pStyle w:val="ListBullet"/>
      </w:pPr>
      <w:r>
        <w:t>Doctor preferences and availability</w:t>
      </w:r>
    </w:p>
    <w:p>
      <w:pPr>
        <w:pStyle w:val="ListBullet"/>
      </w:pPr>
      <w:r>
        <w:t>SA Health panel agency master data and sourcing cascade</w:t>
      </w:r>
    </w:p>
    <w:p>
      <w:pPr>
        <w:pStyle w:val="ListBullet"/>
      </w:pPr>
      <w:r>
        <w:t>Agency vacancy view and doctor proposal workflow</w:t>
      </w:r>
    </w:p>
    <w:p>
      <w:pPr>
        <w:pStyle w:val="ListBullet"/>
      </w:pPr>
      <w:r>
        <w:t>Medical Workforce booking confirmation</w:t>
      </w:r>
    </w:p>
    <w:p>
      <w:pPr>
        <w:pStyle w:val="ListBullet"/>
      </w:pPr>
      <w:r>
        <w:t>Digital shift briefing/orientation information</w:t>
      </w:r>
    </w:p>
    <w:p>
      <w:pPr>
        <w:pStyle w:val="ListBullet"/>
      </w:pPr>
      <w:r>
        <w:t>Digital timesheet submission and accountless approval</w:t>
      </w:r>
    </w:p>
    <w:p>
      <w:pPr>
        <w:pStyle w:val="ListBullet"/>
      </w:pPr>
      <w:r>
        <w:t>Operational, procurement, cost, experience and retention analytics</w:t>
      </w:r>
    </w:p>
    <w:p>
      <w:pPr>
        <w:pStyle w:val="ListBullet"/>
      </w:pPr>
      <w:r>
        <w:t>Audit logging and role-based access</w:t>
      </w:r>
    </w:p>
    <w:p>
      <w:pPr>
        <w:pStyle w:val="Heading2"/>
      </w:pPr>
      <w:r>
        <w:t>4.2 Excluded from initial pilot</w:t>
      </w:r>
    </w:p>
    <w:p>
      <w:pPr>
        <w:pStyle w:val="ListBullet"/>
      </w:pPr>
      <w:r>
        <w:t>replacement of credentialling committees or delegations</w:t>
      </w:r>
    </w:p>
    <w:p>
      <w:pPr>
        <w:pStyle w:val="ListBullet"/>
      </w:pPr>
      <w:r>
        <w:t>automatic competency determination</w:t>
      </w:r>
    </w:p>
    <w:p>
      <w:pPr>
        <w:pStyle w:val="ListBullet"/>
      </w:pPr>
      <w:r>
        <w:t>payroll replacement or payment processing</w:t>
      </w:r>
    </w:p>
    <w:p>
      <w:pPr>
        <w:pStyle w:val="ListBullet"/>
      </w:pPr>
      <w:r>
        <w:t>public hospital ratings or league tables</w:t>
      </w:r>
    </w:p>
    <w:p>
      <w:pPr>
        <w:pStyle w:val="ListBullet"/>
      </w:pPr>
      <w:r>
        <w:t>automatic dynamic pricing</w:t>
      </w:r>
    </w:p>
    <w:p>
      <w:pPr>
        <w:pStyle w:val="ListBullet"/>
      </w:pPr>
      <w:r>
        <w:t>unapproved direct sourcing outside procurement rules</w:t>
      </w:r>
    </w:p>
    <w:p>
      <w:pPr>
        <w:pStyle w:val="ListBullet"/>
      </w:pPr>
      <w:r>
        <w:t>interstate credential recognition</w:t>
      </w:r>
    </w:p>
    <w:p>
      <w:pPr>
        <w:pStyle w:val="ListBullet"/>
      </w:pPr>
      <w:r>
        <w:t>AI approval of credentials</w:t>
      </w:r>
    </w:p>
    <w:p>
      <w:pPr>
        <w:pStyle w:val="ListBullet"/>
      </w:pPr>
      <w:r>
        <w:t>automatic adverse regulatory action without human review</w:t>
      </w:r>
    </w:p>
    <w:p>
      <w:pPr>
        <w:pStyle w:val="Heading1"/>
      </w:pPr>
      <w:r>
        <w:t>5. Pilot population and setting</w:t>
      </w:r>
    </w:p>
    <w:p>
      <w:r>
        <w:t>The preferred initial setting is a bounded cohort with sufficient locum activity to generate learning. Port Pirie and Wallaroo are proposed as candidate sites, initially focusing on ED Senior and ED RMO roles, subject to baseline vacancy volume, local leadership readiness and procurement/credential data quality.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Cohort</w:t>
            </w:r>
          </w:p>
        </w:tc>
        <w:tc>
          <w:tcPr>
            <w:tcW w:type="dxa" w:w="3389"/>
            <w:vAlign w:val="center"/>
            <w:shd w:fill="17365D"/>
          </w:tcPr>
          <w:p>
            <w:r/>
            <w:r>
              <w:rPr>
                <w:rFonts w:ascii="Aptos" w:hAnsi="Aptos"/>
                <w:b/>
                <w:color w:val="FFFFFF"/>
                <w:sz w:val="16"/>
              </w:rPr>
              <w:t>Proposed inclusion</w:t>
            </w:r>
          </w:p>
        </w:tc>
        <w:tc>
          <w:tcPr>
            <w:tcW w:type="dxa" w:w="3389"/>
            <w:vAlign w:val="center"/>
            <w:shd w:fill="17365D"/>
          </w:tcPr>
          <w:p>
            <w:r/>
            <w:r>
              <w:rPr>
                <w:rFonts w:ascii="Aptos" w:hAnsi="Aptos"/>
                <w:b/>
                <w:color w:val="FFFFFF"/>
                <w:sz w:val="16"/>
              </w:rPr>
              <w:t>Rationale</w:t>
            </w:r>
          </w:p>
        </w:tc>
      </w:tr>
      <w:tr>
        <w:tc>
          <w:tcPr>
            <w:tcW w:type="dxa" w:w="3389"/>
            <w:vAlign w:val="center"/>
          </w:tcPr>
          <w:p>
            <w:r/>
            <w:r>
              <w:rPr>
                <w:rFonts w:ascii="Aptos" w:hAnsi="Aptos"/>
                <w:b w:val="0"/>
                <w:sz w:val="16"/>
              </w:rPr>
              <w:t>Doctors</w:t>
            </w:r>
          </w:p>
        </w:tc>
        <w:tc>
          <w:tcPr>
            <w:tcW w:type="dxa" w:w="3389"/>
            <w:vAlign w:val="center"/>
          </w:tcPr>
          <w:p>
            <w:r/>
            <w:r>
              <w:rPr>
                <w:rFonts w:ascii="Aptos" w:hAnsi="Aptos"/>
                <w:b w:val="0"/>
                <w:sz w:val="16"/>
              </w:rPr>
              <w:t>Current YNLHN credentialled locums in selected roles/sites</w:t>
            </w:r>
          </w:p>
        </w:tc>
        <w:tc>
          <w:tcPr>
            <w:tcW w:type="dxa" w:w="3389"/>
            <w:vAlign w:val="center"/>
          </w:tcPr>
          <w:p>
            <w:r/>
            <w:r>
              <w:rPr>
                <w:rFonts w:ascii="Aptos" w:hAnsi="Aptos"/>
                <w:b w:val="0"/>
                <w:sz w:val="16"/>
              </w:rPr>
              <w:t>Avoids changing credentialling authority during pilot</w:t>
            </w:r>
          </w:p>
        </w:tc>
      </w:tr>
      <w:tr>
        <w:tc>
          <w:tcPr>
            <w:tcW w:type="dxa" w:w="3389"/>
            <w:vAlign w:val="center"/>
            <w:shd w:fill="F3F6FA"/>
          </w:tcPr>
          <w:p>
            <w:r/>
            <w:r>
              <w:rPr>
                <w:rFonts w:ascii="Aptos" w:hAnsi="Aptos"/>
                <w:b w:val="0"/>
                <w:sz w:val="16"/>
              </w:rPr>
              <w:t>Agencies</w:t>
            </w:r>
          </w:p>
        </w:tc>
        <w:tc>
          <w:tcPr>
            <w:tcW w:type="dxa" w:w="3389"/>
            <w:vAlign w:val="center"/>
            <w:shd w:fill="F3F6FA"/>
          </w:tcPr>
          <w:p>
            <w:r/>
            <w:r>
              <w:rPr>
                <w:rFonts w:ascii="Aptos" w:hAnsi="Aptos"/>
                <w:b w:val="0"/>
                <w:sz w:val="16"/>
              </w:rPr>
              <w:t>Only suppliers eligible under applicable SA Health panel arrangements</w:t>
            </w:r>
          </w:p>
        </w:tc>
        <w:tc>
          <w:tcPr>
            <w:tcW w:type="dxa" w:w="3389"/>
            <w:vAlign w:val="center"/>
            <w:shd w:fill="F3F6FA"/>
          </w:tcPr>
          <w:p>
            <w:r/>
            <w:r>
              <w:rPr>
                <w:rFonts w:ascii="Aptos" w:hAnsi="Aptos"/>
                <w:b w:val="0"/>
                <w:sz w:val="16"/>
              </w:rPr>
              <w:t>Procurement-compliant test environment</w:t>
            </w:r>
          </w:p>
        </w:tc>
      </w:tr>
      <w:tr>
        <w:tc>
          <w:tcPr>
            <w:tcW w:type="dxa" w:w="3389"/>
            <w:vAlign w:val="center"/>
          </w:tcPr>
          <w:p>
            <w:r/>
            <w:r>
              <w:rPr>
                <w:rFonts w:ascii="Aptos" w:hAnsi="Aptos"/>
                <w:b w:val="0"/>
                <w:sz w:val="16"/>
              </w:rPr>
              <w:t>Medical Workforce</w:t>
            </w:r>
          </w:p>
        </w:tc>
        <w:tc>
          <w:tcPr>
            <w:tcW w:type="dxa" w:w="3389"/>
            <w:vAlign w:val="center"/>
          </w:tcPr>
          <w:p>
            <w:r/>
            <w:r>
              <w:rPr>
                <w:rFonts w:ascii="Aptos" w:hAnsi="Aptos"/>
                <w:b w:val="0"/>
                <w:sz w:val="16"/>
              </w:rPr>
              <w:t>YNLHN staff responsible for vacancy and locum coordination</w:t>
            </w:r>
          </w:p>
        </w:tc>
        <w:tc>
          <w:tcPr>
            <w:tcW w:type="dxa" w:w="3389"/>
            <w:vAlign w:val="center"/>
          </w:tcPr>
          <w:p>
            <w:r/>
            <w:r>
              <w:rPr>
                <w:rFonts w:ascii="Aptos" w:hAnsi="Aptos"/>
                <w:b w:val="0"/>
                <w:sz w:val="16"/>
              </w:rPr>
              <w:t>Primary operational users</w:t>
            </w:r>
          </w:p>
        </w:tc>
      </w:tr>
      <w:tr>
        <w:tc>
          <w:tcPr>
            <w:tcW w:type="dxa" w:w="3389"/>
            <w:vAlign w:val="center"/>
            <w:shd w:fill="F3F6FA"/>
          </w:tcPr>
          <w:p>
            <w:r/>
            <w:r>
              <w:rPr>
                <w:rFonts w:ascii="Aptos" w:hAnsi="Aptos"/>
                <w:b w:val="0"/>
                <w:sz w:val="16"/>
              </w:rPr>
              <w:t>Approvers</w:t>
            </w:r>
          </w:p>
        </w:tc>
        <w:tc>
          <w:tcPr>
            <w:tcW w:type="dxa" w:w="3389"/>
            <w:vAlign w:val="center"/>
            <w:shd w:fill="F3F6FA"/>
          </w:tcPr>
          <w:p>
            <w:r/>
            <w:r>
              <w:rPr>
                <w:rFonts w:ascii="Aptos" w:hAnsi="Aptos"/>
                <w:b w:val="0"/>
                <w:sz w:val="16"/>
              </w:rPr>
              <w:t>Clinical/administrative staff who verify worked hours</w:t>
            </w:r>
          </w:p>
        </w:tc>
        <w:tc>
          <w:tcPr>
            <w:tcW w:type="dxa" w:w="3389"/>
            <w:vAlign w:val="center"/>
            <w:shd w:fill="F3F6FA"/>
          </w:tcPr>
          <w:p>
            <w:r/>
            <w:r>
              <w:rPr>
                <w:rFonts w:ascii="Aptos" w:hAnsi="Aptos"/>
                <w:b w:val="0"/>
                <w:sz w:val="16"/>
              </w:rPr>
              <w:t>Tests accountless approval model</w:t>
            </w:r>
          </w:p>
        </w:tc>
      </w:tr>
      <w:tr>
        <w:tc>
          <w:tcPr>
            <w:tcW w:type="dxa" w:w="3389"/>
            <w:vAlign w:val="center"/>
          </w:tcPr>
          <w:p>
            <w:r/>
            <w:r>
              <w:rPr>
                <w:rFonts w:ascii="Aptos" w:hAnsi="Aptos"/>
                <w:b w:val="0"/>
                <w:sz w:val="16"/>
              </w:rPr>
              <w:t>Site leaders</w:t>
            </w:r>
          </w:p>
        </w:tc>
        <w:tc>
          <w:tcPr>
            <w:tcW w:type="dxa" w:w="3389"/>
            <w:vAlign w:val="center"/>
          </w:tcPr>
          <w:p>
            <w:r/>
            <w:r>
              <w:rPr>
                <w:rFonts w:ascii="Aptos" w:hAnsi="Aptos"/>
                <w:b w:val="0"/>
                <w:sz w:val="16"/>
              </w:rPr>
              <w:t>Selected managers/clinical leaders</w:t>
            </w:r>
          </w:p>
        </w:tc>
        <w:tc>
          <w:tcPr>
            <w:tcW w:type="dxa" w:w="3389"/>
            <w:vAlign w:val="center"/>
          </w:tcPr>
          <w:p>
            <w:r/>
            <w:r>
              <w:rPr>
                <w:rFonts w:ascii="Aptos" w:hAnsi="Aptos"/>
                <w:b w:val="0"/>
                <w:sz w:val="16"/>
              </w:rPr>
              <w:t>Receive aggregated improvement information</w:t>
            </w:r>
          </w:p>
        </w:tc>
      </w:tr>
    </w:tbl>
    <w:p/>
    <w:p>
      <w:pPr>
        <w:pStyle w:val="Heading1"/>
      </w:pPr>
      <w:r>
        <w:t>6. Governance structure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Body/role</w:t>
            </w:r>
          </w:p>
        </w:tc>
        <w:tc>
          <w:tcPr>
            <w:tcW w:type="dxa" w:w="3389"/>
            <w:vAlign w:val="center"/>
            <w:shd w:fill="17365D"/>
          </w:tcPr>
          <w:p>
            <w:r/>
            <w:r>
              <w:rPr>
                <w:rFonts w:ascii="Aptos" w:hAnsi="Aptos"/>
                <w:b/>
                <w:color w:val="FFFFFF"/>
                <w:sz w:val="16"/>
              </w:rPr>
              <w:t>Membership</w:t>
            </w:r>
          </w:p>
        </w:tc>
        <w:tc>
          <w:tcPr>
            <w:tcW w:type="dxa" w:w="3389"/>
            <w:vAlign w:val="center"/>
            <w:shd w:fill="17365D"/>
          </w:tcPr>
          <w:p>
            <w:r/>
            <w:r>
              <w:rPr>
                <w:rFonts w:ascii="Aptos" w:hAnsi="Aptos"/>
                <w:b/>
                <w:color w:val="FFFFFF"/>
                <w:sz w:val="16"/>
              </w:rPr>
              <w:t>Responsibilities</w:t>
            </w:r>
          </w:p>
        </w:tc>
      </w:tr>
      <w:tr>
        <w:tc>
          <w:tcPr>
            <w:tcW w:type="dxa" w:w="3389"/>
            <w:vAlign w:val="center"/>
          </w:tcPr>
          <w:p>
            <w:r/>
            <w:r>
              <w:rPr>
                <w:rFonts w:ascii="Aptos" w:hAnsi="Aptos"/>
                <w:b w:val="0"/>
                <w:sz w:val="16"/>
              </w:rPr>
              <w:t>Executive Sponsor</w:t>
            </w:r>
          </w:p>
        </w:tc>
        <w:tc>
          <w:tcPr>
            <w:tcW w:type="dxa" w:w="3389"/>
            <w:vAlign w:val="center"/>
          </w:tcPr>
          <w:p>
            <w:r/>
            <w:r>
              <w:rPr>
                <w:rFonts w:ascii="Aptos" w:hAnsi="Aptos"/>
                <w:b w:val="0"/>
                <w:sz w:val="16"/>
              </w:rPr>
              <w:t>Executive Director/appropriate executive sponsor</w:t>
            </w:r>
          </w:p>
        </w:tc>
        <w:tc>
          <w:tcPr>
            <w:tcW w:type="dxa" w:w="3389"/>
            <w:vAlign w:val="center"/>
          </w:tcPr>
          <w:p>
            <w:r/>
            <w:r>
              <w:rPr>
                <w:rFonts w:ascii="Aptos" w:hAnsi="Aptos"/>
                <w:b w:val="0"/>
                <w:sz w:val="16"/>
              </w:rPr>
              <w:t>Strategic sponsorship, escalation, stage-gate decisions</w:t>
            </w:r>
          </w:p>
        </w:tc>
      </w:tr>
      <w:tr>
        <w:tc>
          <w:tcPr>
            <w:tcW w:type="dxa" w:w="3389"/>
            <w:vAlign w:val="center"/>
            <w:shd w:fill="F3F6FA"/>
          </w:tcPr>
          <w:p>
            <w:r/>
            <w:r>
              <w:rPr>
                <w:rFonts w:ascii="Aptos" w:hAnsi="Aptos"/>
                <w:b w:val="0"/>
                <w:sz w:val="16"/>
              </w:rPr>
              <w:t>Pilot Steering Group</w:t>
            </w:r>
          </w:p>
        </w:tc>
        <w:tc>
          <w:tcPr>
            <w:tcW w:type="dxa" w:w="3389"/>
            <w:vAlign w:val="center"/>
            <w:shd w:fill="F3F6FA"/>
          </w:tcPr>
          <w:p>
            <w:r/>
            <w:r>
              <w:rPr>
                <w:rFonts w:ascii="Aptos" w:hAnsi="Aptos"/>
                <w:b w:val="0"/>
                <w:sz w:val="16"/>
              </w:rPr>
              <w:t>Medical Services, Medical Workforce, Clinical Governance, Credentialling, Procurement, Finance, Digital/Cyber, Privacy, site representation, evaluation</w:t>
            </w:r>
          </w:p>
        </w:tc>
        <w:tc>
          <w:tcPr>
            <w:tcW w:type="dxa" w:w="3389"/>
            <w:vAlign w:val="center"/>
            <w:shd w:fill="F3F6FA"/>
          </w:tcPr>
          <w:p>
            <w:r/>
            <w:r>
              <w:rPr>
                <w:rFonts w:ascii="Aptos" w:hAnsi="Aptos"/>
                <w:b w:val="0"/>
                <w:sz w:val="16"/>
              </w:rPr>
              <w:t>Oversight, risk, scope, benefits and decisions</w:t>
            </w:r>
          </w:p>
        </w:tc>
      </w:tr>
      <w:tr>
        <w:tc>
          <w:tcPr>
            <w:tcW w:type="dxa" w:w="3389"/>
            <w:vAlign w:val="center"/>
          </w:tcPr>
          <w:p>
            <w:r/>
            <w:r>
              <w:rPr>
                <w:rFonts w:ascii="Aptos" w:hAnsi="Aptos"/>
                <w:b w:val="0"/>
                <w:sz w:val="16"/>
              </w:rPr>
              <w:t>Product Owner</w:t>
            </w:r>
          </w:p>
        </w:tc>
        <w:tc>
          <w:tcPr>
            <w:tcW w:type="dxa" w:w="3389"/>
            <w:vAlign w:val="center"/>
          </w:tcPr>
          <w:p>
            <w:r/>
            <w:r>
              <w:rPr>
                <w:rFonts w:ascii="Aptos" w:hAnsi="Aptos"/>
                <w:b w:val="0"/>
                <w:sz w:val="16"/>
              </w:rPr>
              <w:t>Named YNLHN operational lead</w:t>
            </w:r>
          </w:p>
        </w:tc>
        <w:tc>
          <w:tcPr>
            <w:tcW w:type="dxa" w:w="3389"/>
            <w:vAlign w:val="center"/>
          </w:tcPr>
          <w:p>
            <w:r/>
            <w:r>
              <w:rPr>
                <w:rFonts w:ascii="Aptos" w:hAnsi="Aptos"/>
                <w:b w:val="0"/>
                <w:sz w:val="16"/>
              </w:rPr>
              <w:t>Prioritisation, requirements, acceptance and user liaison</w:t>
            </w:r>
          </w:p>
        </w:tc>
      </w:tr>
      <w:tr>
        <w:tc>
          <w:tcPr>
            <w:tcW w:type="dxa" w:w="3389"/>
            <w:vAlign w:val="center"/>
            <w:shd w:fill="F3F6FA"/>
          </w:tcPr>
          <w:p>
            <w:r/>
            <w:r>
              <w:rPr>
                <w:rFonts w:ascii="Aptos" w:hAnsi="Aptos"/>
                <w:b w:val="0"/>
                <w:sz w:val="16"/>
              </w:rPr>
              <w:t>Clinical Safety Lead</w:t>
            </w:r>
          </w:p>
        </w:tc>
        <w:tc>
          <w:tcPr>
            <w:tcW w:type="dxa" w:w="3389"/>
            <w:vAlign w:val="center"/>
            <w:shd w:fill="F3F6FA"/>
          </w:tcPr>
          <w:p>
            <w:r/>
            <w:r>
              <w:rPr>
                <w:rFonts w:ascii="Aptos" w:hAnsi="Aptos"/>
                <w:b w:val="0"/>
                <w:sz w:val="16"/>
              </w:rPr>
              <w:t>Senior medical/clinical governance nominee</w:t>
            </w:r>
          </w:p>
        </w:tc>
        <w:tc>
          <w:tcPr>
            <w:tcW w:type="dxa" w:w="3389"/>
            <w:vAlign w:val="center"/>
            <w:shd w:fill="F3F6FA"/>
          </w:tcPr>
          <w:p>
            <w:r/>
            <w:r>
              <w:rPr>
                <w:rFonts w:ascii="Aptos" w:hAnsi="Aptos"/>
                <w:b w:val="0"/>
                <w:sz w:val="16"/>
              </w:rPr>
              <w:t>Clinical safety case, scope/eligibility controls, safety escalation</w:t>
            </w:r>
          </w:p>
        </w:tc>
      </w:tr>
      <w:tr>
        <w:tc>
          <w:tcPr>
            <w:tcW w:type="dxa" w:w="3389"/>
            <w:vAlign w:val="center"/>
          </w:tcPr>
          <w:p>
            <w:r/>
            <w:r>
              <w:rPr>
                <w:rFonts w:ascii="Aptos" w:hAnsi="Aptos"/>
                <w:b w:val="0"/>
                <w:sz w:val="16"/>
              </w:rPr>
              <w:t>Credentialling Lead</w:t>
            </w:r>
          </w:p>
        </w:tc>
        <w:tc>
          <w:tcPr>
            <w:tcW w:type="dxa" w:w="3389"/>
            <w:vAlign w:val="center"/>
          </w:tcPr>
          <w:p>
            <w:r/>
            <w:r>
              <w:rPr>
                <w:rFonts w:ascii="Aptos" w:hAnsi="Aptos"/>
                <w:b w:val="0"/>
                <w:sz w:val="16"/>
              </w:rPr>
              <w:t>Credentialling manager/nominee</w:t>
            </w:r>
          </w:p>
        </w:tc>
        <w:tc>
          <w:tcPr>
            <w:tcW w:type="dxa" w:w="3389"/>
            <w:vAlign w:val="center"/>
          </w:tcPr>
          <w:p>
            <w:r/>
            <w:r>
              <w:rPr>
                <w:rFonts w:ascii="Aptos" w:hAnsi="Aptos"/>
                <w:b w:val="0"/>
                <w:sz w:val="16"/>
              </w:rPr>
              <w:t>Credential semantics, verification and SoCP linkage</w:t>
            </w:r>
          </w:p>
        </w:tc>
      </w:tr>
      <w:tr>
        <w:tc>
          <w:tcPr>
            <w:tcW w:type="dxa" w:w="3389"/>
            <w:vAlign w:val="center"/>
            <w:shd w:fill="F3F6FA"/>
          </w:tcPr>
          <w:p>
            <w:r/>
            <w:r>
              <w:rPr>
                <w:rFonts w:ascii="Aptos" w:hAnsi="Aptos"/>
                <w:b w:val="0"/>
                <w:sz w:val="16"/>
              </w:rPr>
              <w:t>Procurement Lead</w:t>
            </w:r>
          </w:p>
        </w:tc>
        <w:tc>
          <w:tcPr>
            <w:tcW w:type="dxa" w:w="3389"/>
            <w:vAlign w:val="center"/>
            <w:shd w:fill="F3F6FA"/>
          </w:tcPr>
          <w:p>
            <w:r/>
            <w:r>
              <w:rPr>
                <w:rFonts w:ascii="Aptos" w:hAnsi="Aptos"/>
                <w:b w:val="0"/>
                <w:sz w:val="16"/>
              </w:rPr>
              <w:t>Procurement/contract nominee</w:t>
            </w:r>
          </w:p>
        </w:tc>
        <w:tc>
          <w:tcPr>
            <w:tcW w:type="dxa" w:w="3389"/>
            <w:vAlign w:val="center"/>
            <w:shd w:fill="F3F6FA"/>
          </w:tcPr>
          <w:p>
            <w:r/>
            <w:r>
              <w:rPr>
                <w:rFonts w:ascii="Aptos" w:hAnsi="Aptos"/>
                <w:b w:val="0"/>
                <w:sz w:val="16"/>
              </w:rPr>
              <w:t>Panel rules, agency eligibility, agreement data and exceptions</w:t>
            </w:r>
          </w:p>
        </w:tc>
      </w:tr>
      <w:tr>
        <w:tc>
          <w:tcPr>
            <w:tcW w:type="dxa" w:w="3389"/>
            <w:vAlign w:val="center"/>
          </w:tcPr>
          <w:p>
            <w:r/>
            <w:r>
              <w:rPr>
                <w:rFonts w:ascii="Aptos" w:hAnsi="Aptos"/>
                <w:b w:val="0"/>
                <w:sz w:val="16"/>
              </w:rPr>
              <w:t>Privacy/Cyber Leads</w:t>
            </w:r>
          </w:p>
        </w:tc>
        <w:tc>
          <w:tcPr>
            <w:tcW w:type="dxa" w:w="3389"/>
            <w:vAlign w:val="center"/>
          </w:tcPr>
          <w:p>
            <w:r/>
            <w:r>
              <w:rPr>
                <w:rFonts w:ascii="Aptos" w:hAnsi="Aptos"/>
                <w:b w:val="0"/>
                <w:sz w:val="16"/>
              </w:rPr>
              <w:t>Relevant specialists</w:t>
            </w:r>
          </w:p>
        </w:tc>
        <w:tc>
          <w:tcPr>
            <w:tcW w:type="dxa" w:w="3389"/>
            <w:vAlign w:val="center"/>
          </w:tcPr>
          <w:p>
            <w:r/>
            <w:r>
              <w:rPr>
                <w:rFonts w:ascii="Aptos" w:hAnsi="Aptos"/>
                <w:b w:val="0"/>
                <w:sz w:val="16"/>
              </w:rPr>
              <w:t>PIA, security assessment, access and incident controls</w:t>
            </w:r>
          </w:p>
        </w:tc>
      </w:tr>
      <w:tr>
        <w:tc>
          <w:tcPr>
            <w:tcW w:type="dxa" w:w="3389"/>
            <w:vAlign w:val="center"/>
            <w:shd w:fill="F3F6FA"/>
          </w:tcPr>
          <w:p>
            <w:r/>
            <w:r>
              <w:rPr>
                <w:rFonts w:ascii="Aptos" w:hAnsi="Aptos"/>
                <w:b w:val="0"/>
                <w:sz w:val="16"/>
              </w:rPr>
              <w:t>Evaluation Lead</w:t>
            </w:r>
          </w:p>
        </w:tc>
        <w:tc>
          <w:tcPr>
            <w:tcW w:type="dxa" w:w="3389"/>
            <w:vAlign w:val="center"/>
            <w:shd w:fill="F3F6FA"/>
          </w:tcPr>
          <w:p>
            <w:r/>
            <w:r>
              <w:rPr>
                <w:rFonts w:ascii="Aptos" w:hAnsi="Aptos"/>
                <w:b w:val="0"/>
                <w:sz w:val="16"/>
              </w:rPr>
              <w:t>Named analyst/research/QI lead</w:t>
            </w:r>
          </w:p>
        </w:tc>
        <w:tc>
          <w:tcPr>
            <w:tcW w:type="dxa" w:w="3389"/>
            <w:vAlign w:val="center"/>
            <w:shd w:fill="F3F6FA"/>
          </w:tcPr>
          <w:p>
            <w:r/>
            <w:r>
              <w:rPr>
                <w:rFonts w:ascii="Aptos" w:hAnsi="Aptos"/>
                <w:b w:val="0"/>
                <w:sz w:val="16"/>
              </w:rPr>
              <w:t>Baseline, evaluation protocol, analysis and reporting</w:t>
            </w:r>
          </w:p>
        </w:tc>
      </w:tr>
      <w:tr>
        <w:tc>
          <w:tcPr>
            <w:tcW w:type="dxa" w:w="3389"/>
            <w:vAlign w:val="center"/>
          </w:tcPr>
          <w:p>
            <w:r/>
            <w:r>
              <w:rPr>
                <w:rFonts w:ascii="Aptos" w:hAnsi="Aptos"/>
                <w:b w:val="0"/>
                <w:sz w:val="16"/>
              </w:rPr>
              <w:t>Doctor Reference Group</w:t>
            </w:r>
          </w:p>
        </w:tc>
        <w:tc>
          <w:tcPr>
            <w:tcW w:type="dxa" w:w="3389"/>
            <w:vAlign w:val="center"/>
          </w:tcPr>
          <w:p>
            <w:r/>
            <w:r>
              <w:rPr>
                <w:rFonts w:ascii="Aptos" w:hAnsi="Aptos"/>
                <w:b w:val="0"/>
                <w:sz w:val="16"/>
              </w:rPr>
              <w:t>Small group of current locums</w:t>
            </w:r>
          </w:p>
        </w:tc>
        <w:tc>
          <w:tcPr>
            <w:tcW w:type="dxa" w:w="3389"/>
            <w:vAlign w:val="center"/>
          </w:tcPr>
          <w:p>
            <w:r/>
            <w:r>
              <w:rPr>
                <w:rFonts w:ascii="Aptos" w:hAnsi="Aptos"/>
                <w:b w:val="0"/>
                <w:sz w:val="16"/>
              </w:rPr>
              <w:t>Co-design, usability and trust testing</w:t>
            </w:r>
          </w:p>
        </w:tc>
      </w:tr>
    </w:tbl>
    <w:p/>
    <w:p>
      <w:pPr>
        <w:pStyle w:val="Heading1"/>
      </w:pPr>
      <w:r>
        <w:t>7. Workstreams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Workstream</w:t>
            </w:r>
          </w:p>
        </w:tc>
        <w:tc>
          <w:tcPr>
            <w:tcW w:type="dxa" w:w="5083"/>
            <w:vAlign w:val="center"/>
            <w:shd w:fill="17365D"/>
          </w:tcPr>
          <w:p>
            <w:r/>
            <w:r>
              <w:rPr>
                <w:rFonts w:ascii="Aptos" w:hAnsi="Aptos"/>
                <w:b/>
                <w:color w:val="FFFFFF"/>
                <w:sz w:val="16"/>
              </w:rPr>
              <w:t>Scope</w:t>
            </w:r>
          </w:p>
        </w:tc>
      </w:tr>
      <w:tr>
        <w:tc>
          <w:tcPr>
            <w:tcW w:type="dxa" w:w="5083"/>
            <w:vAlign w:val="center"/>
          </w:tcPr>
          <w:p>
            <w:r/>
            <w:r>
              <w:rPr>
                <w:rFonts w:ascii="Aptos" w:hAnsi="Aptos"/>
                <w:b w:val="0"/>
                <w:sz w:val="16"/>
              </w:rPr>
              <w:t>WS1 Governance &amp; assurance</w:t>
            </w:r>
          </w:p>
        </w:tc>
        <w:tc>
          <w:tcPr>
            <w:tcW w:type="dxa" w:w="5083"/>
            <w:vAlign w:val="center"/>
          </w:tcPr>
          <w:p>
            <w:r/>
            <w:r>
              <w:rPr>
                <w:rFonts w:ascii="Aptos" w:hAnsi="Aptos"/>
                <w:b w:val="0"/>
                <w:sz w:val="16"/>
              </w:rPr>
              <w:t>Business owner, governance, legal/privacy, clinical safety, procurement and stage gates</w:t>
            </w:r>
          </w:p>
        </w:tc>
      </w:tr>
      <w:tr>
        <w:tc>
          <w:tcPr>
            <w:tcW w:type="dxa" w:w="5083"/>
            <w:vAlign w:val="center"/>
            <w:shd w:fill="F3F6FA"/>
          </w:tcPr>
          <w:p>
            <w:r/>
            <w:r>
              <w:rPr>
                <w:rFonts w:ascii="Aptos" w:hAnsi="Aptos"/>
                <w:b w:val="0"/>
                <w:sz w:val="16"/>
              </w:rPr>
              <w:t>WS2 Doctor Passport &amp; Credential Wallet</w:t>
            </w:r>
          </w:p>
        </w:tc>
        <w:tc>
          <w:tcPr>
            <w:tcW w:type="dxa" w:w="5083"/>
            <w:vAlign w:val="center"/>
            <w:shd w:fill="F3F6FA"/>
          </w:tcPr>
          <w:p>
            <w:r/>
            <w:r>
              <w:rPr>
                <w:rFonts w:ascii="Aptos" w:hAnsi="Aptos"/>
                <w:b w:val="0"/>
                <w:sz w:val="16"/>
              </w:rPr>
              <w:t>Profile, credential taxonomy, sharing, expiry and doctor onboarding</w:t>
            </w:r>
          </w:p>
        </w:tc>
      </w:tr>
      <w:tr>
        <w:tc>
          <w:tcPr>
            <w:tcW w:type="dxa" w:w="5083"/>
            <w:vAlign w:val="center"/>
          </w:tcPr>
          <w:p>
            <w:r/>
            <w:r>
              <w:rPr>
                <w:rFonts w:ascii="Aptos" w:hAnsi="Aptos"/>
                <w:b w:val="0"/>
                <w:sz w:val="16"/>
              </w:rPr>
              <w:t>WS3 Locum Experience</w:t>
            </w:r>
          </w:p>
        </w:tc>
        <w:tc>
          <w:tcPr>
            <w:tcW w:type="dxa" w:w="5083"/>
            <w:vAlign w:val="center"/>
          </w:tcPr>
          <w:p>
            <w:r/>
            <w:r>
              <w:rPr>
                <w:rFonts w:ascii="Aptos" w:hAnsi="Aptos"/>
                <w:b w:val="0"/>
                <w:sz w:val="16"/>
              </w:rPr>
              <w:t>Survey design, anonymity, safety routing, dashboards and improvement loop</w:t>
            </w:r>
          </w:p>
        </w:tc>
      </w:tr>
      <w:tr>
        <w:tc>
          <w:tcPr>
            <w:tcW w:type="dxa" w:w="5083"/>
            <w:vAlign w:val="center"/>
            <w:shd w:fill="F3F6FA"/>
          </w:tcPr>
          <w:p>
            <w:r/>
            <w:r>
              <w:rPr>
                <w:rFonts w:ascii="Aptos" w:hAnsi="Aptos"/>
                <w:b w:val="0"/>
                <w:sz w:val="16"/>
              </w:rPr>
              <w:t>WS4 Workforce Exchange</w:t>
            </w:r>
          </w:p>
        </w:tc>
        <w:tc>
          <w:tcPr>
            <w:tcW w:type="dxa" w:w="5083"/>
            <w:vAlign w:val="center"/>
            <w:shd w:fill="F3F6FA"/>
          </w:tcPr>
          <w:p>
            <w:r/>
            <w:r>
              <w:rPr>
                <w:rFonts w:ascii="Aptos" w:hAnsi="Aptos"/>
                <w:b w:val="0"/>
                <w:sz w:val="16"/>
              </w:rPr>
              <w:t>Vacancies, matching, applications, booking, orientation and notifications</w:t>
            </w:r>
          </w:p>
        </w:tc>
      </w:tr>
      <w:tr>
        <w:tc>
          <w:tcPr>
            <w:tcW w:type="dxa" w:w="5083"/>
            <w:vAlign w:val="center"/>
          </w:tcPr>
          <w:p>
            <w:r/>
            <w:r>
              <w:rPr>
                <w:rFonts w:ascii="Aptos" w:hAnsi="Aptos"/>
                <w:b w:val="0"/>
                <w:sz w:val="16"/>
              </w:rPr>
              <w:t>WS5 Agency &amp; procurement</w:t>
            </w:r>
          </w:p>
        </w:tc>
        <w:tc>
          <w:tcPr>
            <w:tcW w:type="dxa" w:w="5083"/>
            <w:vAlign w:val="center"/>
          </w:tcPr>
          <w:p>
            <w:r/>
            <w:r>
              <w:rPr>
                <w:rFonts w:ascii="Aptos" w:hAnsi="Aptos"/>
                <w:b w:val="0"/>
                <w:sz w:val="16"/>
              </w:rPr>
              <w:t>Panel agency data, agreements, sourcing policy, proposal workflow and audit</w:t>
            </w:r>
          </w:p>
        </w:tc>
      </w:tr>
      <w:tr>
        <w:tc>
          <w:tcPr>
            <w:tcW w:type="dxa" w:w="5083"/>
            <w:vAlign w:val="center"/>
            <w:shd w:fill="F3F6FA"/>
          </w:tcPr>
          <w:p>
            <w:r/>
            <w:r>
              <w:rPr>
                <w:rFonts w:ascii="Aptos" w:hAnsi="Aptos"/>
                <w:b w:val="0"/>
                <w:sz w:val="16"/>
              </w:rPr>
              <w:t>WS6 Timesheets &amp; finance</w:t>
            </w:r>
          </w:p>
        </w:tc>
        <w:tc>
          <w:tcPr>
            <w:tcW w:type="dxa" w:w="5083"/>
            <w:vAlign w:val="center"/>
            <w:shd w:fill="F3F6FA"/>
          </w:tcPr>
          <w:p>
            <w:r/>
            <w:r>
              <w:rPr>
                <w:rFonts w:ascii="Aptos" w:hAnsi="Aptos"/>
                <w:b w:val="0"/>
                <w:sz w:val="16"/>
              </w:rPr>
              <w:t>Claimed hours, accountless approval, export and cost attribution</w:t>
            </w:r>
          </w:p>
        </w:tc>
      </w:tr>
      <w:tr>
        <w:tc>
          <w:tcPr>
            <w:tcW w:type="dxa" w:w="5083"/>
            <w:vAlign w:val="center"/>
          </w:tcPr>
          <w:p>
            <w:r/>
            <w:r>
              <w:rPr>
                <w:rFonts w:ascii="Aptos" w:hAnsi="Aptos"/>
                <w:b w:val="0"/>
                <w:sz w:val="16"/>
              </w:rPr>
              <w:t>WS7 Data &amp; analytics</w:t>
            </w:r>
          </w:p>
        </w:tc>
        <w:tc>
          <w:tcPr>
            <w:tcW w:type="dxa" w:w="5083"/>
            <w:vAlign w:val="center"/>
          </w:tcPr>
          <w:p>
            <w:r/>
            <w:r>
              <w:rPr>
                <w:rFonts w:ascii="Aptos" w:hAnsi="Aptos"/>
                <w:b w:val="0"/>
                <w:sz w:val="16"/>
              </w:rPr>
              <w:t>Baseline, data model, dashboards, retention and benefits</w:t>
            </w:r>
          </w:p>
        </w:tc>
      </w:tr>
      <w:tr>
        <w:tc>
          <w:tcPr>
            <w:tcW w:type="dxa" w:w="5083"/>
            <w:vAlign w:val="center"/>
            <w:shd w:fill="F3F6FA"/>
          </w:tcPr>
          <w:p>
            <w:r/>
            <w:r>
              <w:rPr>
                <w:rFonts w:ascii="Aptos" w:hAnsi="Aptos"/>
                <w:b w:val="0"/>
                <w:sz w:val="16"/>
              </w:rPr>
              <w:t>WS8 Technology &amp; integration</w:t>
            </w:r>
          </w:p>
        </w:tc>
        <w:tc>
          <w:tcPr>
            <w:tcW w:type="dxa" w:w="5083"/>
            <w:vAlign w:val="center"/>
            <w:shd w:fill="F3F6FA"/>
          </w:tcPr>
          <w:p>
            <w:r/>
            <w:r>
              <w:rPr>
                <w:rFonts w:ascii="Aptos" w:hAnsi="Aptos"/>
                <w:b w:val="0"/>
                <w:sz w:val="16"/>
              </w:rPr>
              <w:t>Architecture, identity, hosting, integrations, testing and support</w:t>
            </w:r>
          </w:p>
        </w:tc>
      </w:tr>
      <w:tr>
        <w:tc>
          <w:tcPr>
            <w:tcW w:type="dxa" w:w="5083"/>
            <w:vAlign w:val="center"/>
          </w:tcPr>
          <w:p>
            <w:r/>
            <w:r>
              <w:rPr>
                <w:rFonts w:ascii="Aptos" w:hAnsi="Aptos"/>
                <w:b w:val="0"/>
                <w:sz w:val="16"/>
              </w:rPr>
              <w:t>WS9 Change &amp; adoption</w:t>
            </w:r>
          </w:p>
        </w:tc>
        <w:tc>
          <w:tcPr>
            <w:tcW w:type="dxa" w:w="5083"/>
            <w:vAlign w:val="center"/>
          </w:tcPr>
          <w:p>
            <w:r/>
            <w:r>
              <w:rPr>
                <w:rFonts w:ascii="Aptos" w:hAnsi="Aptos"/>
                <w:b w:val="0"/>
                <w:sz w:val="16"/>
              </w:rPr>
              <w:t>Communications, training, doctor engagement, agency engagement and site readiness</w:t>
            </w:r>
          </w:p>
        </w:tc>
      </w:tr>
      <w:tr>
        <w:tc>
          <w:tcPr>
            <w:tcW w:type="dxa" w:w="5083"/>
            <w:vAlign w:val="center"/>
            <w:shd w:fill="F3F6FA"/>
          </w:tcPr>
          <w:p>
            <w:r/>
            <w:r>
              <w:rPr>
                <w:rFonts w:ascii="Aptos" w:hAnsi="Aptos"/>
                <w:b w:val="0"/>
                <w:sz w:val="16"/>
              </w:rPr>
              <w:t>WS10 Evaluation</w:t>
            </w:r>
          </w:p>
        </w:tc>
        <w:tc>
          <w:tcPr>
            <w:tcW w:type="dxa" w:w="5083"/>
            <w:vAlign w:val="center"/>
            <w:shd w:fill="F3F6FA"/>
          </w:tcPr>
          <w:p>
            <w:r/>
            <w:r>
              <w:rPr>
                <w:rFonts w:ascii="Aptos" w:hAnsi="Aptos"/>
                <w:b w:val="0"/>
                <w:sz w:val="16"/>
              </w:rPr>
              <w:t>Process, outcome, balancing measures, qualitative evaluation and final report</w:t>
            </w:r>
          </w:p>
        </w:tc>
      </w:tr>
    </w:tbl>
    <w:p/>
    <w:p>
      <w:pPr>
        <w:pStyle w:val="Heading1"/>
      </w:pPr>
      <w:r>
        <w:t>8. Implementation stages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
              <w:rPr>
                <w:rFonts w:ascii="Aptos" w:hAnsi="Aptos"/>
                <w:b/>
                <w:color w:val="FFFFFF"/>
                <w:sz w:val="16"/>
              </w:rPr>
              <w:t>Stage</w:t>
            </w:r>
          </w:p>
        </w:tc>
        <w:tc>
          <w:tcPr>
            <w:tcW w:type="dxa" w:w="2541"/>
            <w:vAlign w:val="center"/>
            <w:shd w:fill="17365D"/>
          </w:tcPr>
          <w:p>
            <w:r/>
            <w:r>
              <w:rPr>
                <w:rFonts w:ascii="Aptos" w:hAnsi="Aptos"/>
                <w:b/>
                <w:color w:val="FFFFFF"/>
                <w:sz w:val="16"/>
              </w:rPr>
              <w:t>Timing</w:t>
            </w:r>
          </w:p>
        </w:tc>
        <w:tc>
          <w:tcPr>
            <w:tcW w:type="dxa" w:w="2541"/>
            <w:vAlign w:val="center"/>
            <w:shd w:fill="17365D"/>
          </w:tcPr>
          <w:p>
            <w:r/>
            <w:r>
              <w:rPr>
                <w:rFonts w:ascii="Aptos" w:hAnsi="Aptos"/>
                <w:b/>
                <w:color w:val="FFFFFF"/>
                <w:sz w:val="16"/>
              </w:rPr>
              <w:t>Core activity</w:t>
            </w:r>
          </w:p>
        </w:tc>
        <w:tc>
          <w:tcPr>
            <w:tcW w:type="dxa" w:w="2541"/>
            <w:vAlign w:val="center"/>
            <w:shd w:fill="17365D"/>
          </w:tcPr>
          <w:p>
            <w:r/>
            <w:r>
              <w:rPr>
                <w:rFonts w:ascii="Aptos" w:hAnsi="Aptos"/>
                <w:b/>
                <w:color w:val="FFFFFF"/>
                <w:sz w:val="16"/>
              </w:rPr>
              <w:t>Exit gate</w:t>
            </w:r>
          </w:p>
        </w:tc>
      </w:tr>
      <w:tr>
        <w:tc>
          <w:tcPr>
            <w:tcW w:type="dxa" w:w="2541"/>
            <w:vAlign w:val="center"/>
          </w:tcPr>
          <w:p>
            <w:r/>
            <w:r>
              <w:rPr>
                <w:rFonts w:ascii="Aptos" w:hAnsi="Aptos"/>
                <w:b w:val="0"/>
                <w:sz w:val="16"/>
              </w:rPr>
              <w:t>0. Discovery &amp; baseline</w:t>
            </w:r>
          </w:p>
        </w:tc>
        <w:tc>
          <w:tcPr>
            <w:tcW w:type="dxa" w:w="2541"/>
            <w:vAlign w:val="center"/>
          </w:tcPr>
          <w:p>
            <w:r/>
            <w:r>
              <w:rPr>
                <w:rFonts w:ascii="Aptos" w:hAnsi="Aptos"/>
                <w:b w:val="0"/>
                <w:sz w:val="16"/>
              </w:rPr>
              <w:t>Weeks 0–8</w:t>
            </w:r>
          </w:p>
        </w:tc>
        <w:tc>
          <w:tcPr>
            <w:tcW w:type="dxa" w:w="2541"/>
            <w:vAlign w:val="center"/>
          </w:tcPr>
          <w:p>
            <w:r/>
            <w:r>
              <w:rPr>
                <w:rFonts w:ascii="Aptos" w:hAnsi="Aptos"/>
                <w:b w:val="0"/>
                <w:sz w:val="16"/>
              </w:rPr>
              <w:t>Current-state mapping, data baseline, user research, procurement rules, PIA/security scoping, market scan</w:t>
            </w:r>
          </w:p>
        </w:tc>
        <w:tc>
          <w:tcPr>
            <w:tcW w:type="dxa" w:w="2541"/>
            <w:vAlign w:val="center"/>
          </w:tcPr>
          <w:p>
            <w:r/>
            <w:r>
              <w:rPr>
                <w:rFonts w:ascii="Aptos" w:hAnsi="Aptos"/>
                <w:b w:val="0"/>
                <w:sz w:val="16"/>
              </w:rPr>
              <w:t>Approved requirements and costed delivery approach</w:t>
            </w:r>
          </w:p>
        </w:tc>
      </w:tr>
      <w:tr>
        <w:tc>
          <w:tcPr>
            <w:tcW w:type="dxa" w:w="2541"/>
            <w:vAlign w:val="center"/>
            <w:shd w:fill="F3F6FA"/>
          </w:tcPr>
          <w:p>
            <w:r/>
            <w:r>
              <w:rPr>
                <w:rFonts w:ascii="Aptos" w:hAnsi="Aptos"/>
                <w:b w:val="0"/>
                <w:sz w:val="16"/>
              </w:rPr>
              <w:t>1. Passport + Experience closed pilot</w:t>
            </w:r>
          </w:p>
        </w:tc>
        <w:tc>
          <w:tcPr>
            <w:tcW w:type="dxa" w:w="2541"/>
            <w:vAlign w:val="center"/>
            <w:shd w:fill="F3F6FA"/>
          </w:tcPr>
          <w:p>
            <w:r/>
            <w:r>
              <w:rPr>
                <w:rFonts w:ascii="Aptos" w:hAnsi="Aptos"/>
                <w:b w:val="0"/>
                <w:sz w:val="16"/>
              </w:rPr>
              <w:t>Months 2–6</w:t>
            </w:r>
          </w:p>
        </w:tc>
        <w:tc>
          <w:tcPr>
            <w:tcW w:type="dxa" w:w="2541"/>
            <w:vAlign w:val="center"/>
            <w:shd w:fill="F3F6FA"/>
          </w:tcPr>
          <w:p>
            <w:r/>
            <w:r>
              <w:rPr>
                <w:rFonts w:ascii="Aptos" w:hAnsi="Aptos"/>
                <w:b w:val="0"/>
                <w:sz w:val="16"/>
              </w:rPr>
              <w:t>Wallet, sharing, YNLHN linkage and feedback with 10–20 doctors</w:t>
            </w:r>
          </w:p>
        </w:tc>
        <w:tc>
          <w:tcPr>
            <w:tcW w:type="dxa" w:w="2541"/>
            <w:vAlign w:val="center"/>
            <w:shd w:fill="F3F6FA"/>
          </w:tcPr>
          <w:p>
            <w:r/>
            <w:r>
              <w:rPr>
                <w:rFonts w:ascii="Aptos" w:hAnsi="Aptos"/>
                <w:b w:val="0"/>
                <w:sz w:val="16"/>
              </w:rPr>
              <w:t>Usability, trust, privacy and data-quality gate</w:t>
            </w:r>
          </w:p>
        </w:tc>
      </w:tr>
      <w:tr>
        <w:tc>
          <w:tcPr>
            <w:tcW w:type="dxa" w:w="2541"/>
            <w:vAlign w:val="center"/>
          </w:tcPr>
          <w:p>
            <w:r/>
            <w:r>
              <w:rPr>
                <w:rFonts w:ascii="Aptos" w:hAnsi="Aptos"/>
                <w:b w:val="0"/>
                <w:sz w:val="16"/>
              </w:rPr>
              <w:t>2. Expanded Passport + Experience</w:t>
            </w:r>
          </w:p>
        </w:tc>
        <w:tc>
          <w:tcPr>
            <w:tcW w:type="dxa" w:w="2541"/>
            <w:vAlign w:val="center"/>
          </w:tcPr>
          <w:p>
            <w:r/>
            <w:r>
              <w:rPr>
                <w:rFonts w:ascii="Aptos" w:hAnsi="Aptos"/>
                <w:b w:val="0"/>
                <w:sz w:val="16"/>
              </w:rPr>
              <w:t>Months 5–7</w:t>
            </w:r>
          </w:p>
        </w:tc>
        <w:tc>
          <w:tcPr>
            <w:tcW w:type="dxa" w:w="2541"/>
            <w:vAlign w:val="center"/>
          </w:tcPr>
          <w:p>
            <w:r/>
            <w:r>
              <w:rPr>
                <w:rFonts w:ascii="Aptos" w:hAnsi="Aptos"/>
                <w:b w:val="0"/>
                <w:sz w:val="16"/>
              </w:rPr>
              <w:t>Broader selected locum cohort and site dashboards</w:t>
            </w:r>
          </w:p>
        </w:tc>
        <w:tc>
          <w:tcPr>
            <w:tcW w:type="dxa" w:w="2541"/>
            <w:vAlign w:val="center"/>
          </w:tcPr>
          <w:p>
            <w:r/>
            <w:r>
              <w:rPr>
                <w:rFonts w:ascii="Aptos" w:hAnsi="Aptos"/>
                <w:b w:val="0"/>
                <w:sz w:val="16"/>
              </w:rPr>
              <w:t>Adoption and feedback-quality gate</w:t>
            </w:r>
          </w:p>
        </w:tc>
      </w:tr>
      <w:tr>
        <w:tc>
          <w:tcPr>
            <w:tcW w:type="dxa" w:w="2541"/>
            <w:vAlign w:val="center"/>
            <w:shd w:fill="F3F6FA"/>
          </w:tcPr>
          <w:p>
            <w:r/>
            <w:r>
              <w:rPr>
                <w:rFonts w:ascii="Aptos" w:hAnsi="Aptos"/>
                <w:b w:val="0"/>
                <w:sz w:val="16"/>
              </w:rPr>
              <w:t>3. Vacancy Exchange + agency cascade</w:t>
            </w:r>
          </w:p>
        </w:tc>
        <w:tc>
          <w:tcPr>
            <w:tcW w:type="dxa" w:w="2541"/>
            <w:vAlign w:val="center"/>
            <w:shd w:fill="F3F6FA"/>
          </w:tcPr>
          <w:p>
            <w:r/>
            <w:r>
              <w:rPr>
                <w:rFonts w:ascii="Aptos" w:hAnsi="Aptos"/>
                <w:b w:val="0"/>
                <w:sz w:val="16"/>
              </w:rPr>
              <w:t>Months 6–9</w:t>
            </w:r>
          </w:p>
        </w:tc>
        <w:tc>
          <w:tcPr>
            <w:tcW w:type="dxa" w:w="2541"/>
            <w:vAlign w:val="center"/>
            <w:shd w:fill="F3F6FA"/>
          </w:tcPr>
          <w:p>
            <w:r/>
            <w:r>
              <w:rPr>
                <w:rFonts w:ascii="Aptos" w:hAnsi="Aptos"/>
                <w:b w:val="0"/>
                <w:sz w:val="16"/>
              </w:rPr>
              <w:t>Structured vacancies, panel agencies, doctor requests and booking</w:t>
            </w:r>
          </w:p>
        </w:tc>
        <w:tc>
          <w:tcPr>
            <w:tcW w:type="dxa" w:w="2541"/>
            <w:vAlign w:val="center"/>
            <w:shd w:fill="F3F6FA"/>
          </w:tcPr>
          <w:p>
            <w:r/>
            <w:r>
              <w:rPr>
                <w:rFonts w:ascii="Aptos" w:hAnsi="Aptos"/>
                <w:b w:val="0"/>
                <w:sz w:val="16"/>
              </w:rPr>
              <w:t>Procurement and workflow reliability gate</w:t>
            </w:r>
          </w:p>
        </w:tc>
      </w:tr>
      <w:tr>
        <w:tc>
          <w:tcPr>
            <w:tcW w:type="dxa" w:w="2541"/>
            <w:vAlign w:val="center"/>
          </w:tcPr>
          <w:p>
            <w:r/>
            <w:r>
              <w:rPr>
                <w:rFonts w:ascii="Aptos" w:hAnsi="Aptos"/>
                <w:b w:val="0"/>
                <w:sz w:val="16"/>
              </w:rPr>
              <w:t>4. Digital timesheets</w:t>
            </w:r>
          </w:p>
        </w:tc>
        <w:tc>
          <w:tcPr>
            <w:tcW w:type="dxa" w:w="2541"/>
            <w:vAlign w:val="center"/>
          </w:tcPr>
          <w:p>
            <w:r/>
            <w:r>
              <w:rPr>
                <w:rFonts w:ascii="Aptos" w:hAnsi="Aptos"/>
                <w:b w:val="0"/>
                <w:sz w:val="16"/>
              </w:rPr>
              <w:t>Months 8–10</w:t>
            </w:r>
          </w:p>
        </w:tc>
        <w:tc>
          <w:tcPr>
            <w:tcW w:type="dxa" w:w="2541"/>
            <w:vAlign w:val="center"/>
          </w:tcPr>
          <w:p>
            <w:r/>
            <w:r>
              <w:rPr>
                <w:rFonts w:ascii="Aptos" w:hAnsi="Aptos"/>
                <w:b w:val="0"/>
                <w:sz w:val="16"/>
              </w:rPr>
              <w:t>Submission, accountless approval and reconciliation export</w:t>
            </w:r>
          </w:p>
        </w:tc>
        <w:tc>
          <w:tcPr>
            <w:tcW w:type="dxa" w:w="2541"/>
            <w:vAlign w:val="center"/>
          </w:tcPr>
          <w:p>
            <w:r/>
            <w:r>
              <w:rPr>
                <w:rFonts w:ascii="Aptos" w:hAnsi="Aptos"/>
                <w:b w:val="0"/>
                <w:sz w:val="16"/>
              </w:rPr>
              <w:t>Finance/audit gate</w:t>
            </w:r>
          </w:p>
        </w:tc>
      </w:tr>
      <w:tr>
        <w:tc>
          <w:tcPr>
            <w:tcW w:type="dxa" w:w="2541"/>
            <w:vAlign w:val="center"/>
            <w:shd w:fill="F3F6FA"/>
          </w:tcPr>
          <w:p>
            <w:r/>
            <w:r>
              <w:rPr>
                <w:rFonts w:ascii="Aptos" w:hAnsi="Aptos"/>
                <w:b w:val="0"/>
                <w:sz w:val="16"/>
              </w:rPr>
              <w:t>5. Integrated pilot</w:t>
            </w:r>
          </w:p>
        </w:tc>
        <w:tc>
          <w:tcPr>
            <w:tcW w:type="dxa" w:w="2541"/>
            <w:vAlign w:val="center"/>
            <w:shd w:fill="F3F6FA"/>
          </w:tcPr>
          <w:p>
            <w:r/>
            <w:r>
              <w:rPr>
                <w:rFonts w:ascii="Aptos" w:hAnsi="Aptos"/>
                <w:b w:val="0"/>
                <w:sz w:val="16"/>
              </w:rPr>
              <w:t>Months 10–12</w:t>
            </w:r>
          </w:p>
        </w:tc>
        <w:tc>
          <w:tcPr>
            <w:tcW w:type="dxa" w:w="2541"/>
            <w:vAlign w:val="center"/>
            <w:shd w:fill="F3F6FA"/>
          </w:tcPr>
          <w:p>
            <w:r/>
            <w:r>
              <w:rPr>
                <w:rFonts w:ascii="Aptos" w:hAnsi="Aptos"/>
                <w:b w:val="0"/>
                <w:sz w:val="16"/>
              </w:rPr>
              <w:t>End-to-end operation and benefits measurement</w:t>
            </w:r>
          </w:p>
        </w:tc>
        <w:tc>
          <w:tcPr>
            <w:tcW w:type="dxa" w:w="2541"/>
            <w:vAlign w:val="center"/>
            <w:shd w:fill="F3F6FA"/>
          </w:tcPr>
          <w:p>
            <w:r/>
            <w:r>
              <w:rPr>
                <w:rFonts w:ascii="Aptos" w:hAnsi="Aptos"/>
                <w:b w:val="0"/>
                <w:sz w:val="16"/>
              </w:rPr>
              <w:t>Executive evaluation and expansion decision</w:t>
            </w:r>
          </w:p>
        </w:tc>
      </w:tr>
    </w:tbl>
    <w:p/>
    <w:p>
      <w:pPr>
        <w:pStyle w:val="Heading1"/>
      </w:pPr>
      <w:r>
        <w:t>9. Discovery phase plan</w:t>
      </w:r>
    </w:p>
    <w:p>
      <w:pPr>
        <w:pStyle w:val="Heading2"/>
      </w:pPr>
      <w:r>
        <w:t>9.1 Current-state workflow mapping</w:t>
      </w:r>
    </w:p>
    <w:p>
      <w:pPr>
        <w:pStyle w:val="ListBullet"/>
      </w:pPr>
      <w:r>
        <w:t>Vacancy identified and authorised</w:t>
      </w:r>
    </w:p>
    <w:p>
      <w:pPr>
        <w:pStyle w:val="ListBullet"/>
      </w:pPr>
      <w:r>
        <w:t>Internal workforce search</w:t>
      </w:r>
    </w:p>
    <w:p>
      <w:pPr>
        <w:pStyle w:val="ListBullet"/>
      </w:pPr>
      <w:r>
        <w:t>Agency notification and response</w:t>
      </w:r>
    </w:p>
    <w:p>
      <w:pPr>
        <w:pStyle w:val="ListBullet"/>
      </w:pPr>
      <w:r>
        <w:t>Doctor proposal/selection</w:t>
      </w:r>
    </w:p>
    <w:p>
      <w:pPr>
        <w:pStyle w:val="ListBullet"/>
      </w:pPr>
      <w:r>
        <w:t>Credential/scope confirmation</w:t>
      </w:r>
    </w:p>
    <w:p>
      <w:pPr>
        <w:pStyle w:val="ListBullet"/>
      </w:pPr>
      <w:r>
        <w:t>Rate and commercial approval</w:t>
      </w:r>
    </w:p>
    <w:p>
      <w:pPr>
        <w:pStyle w:val="ListBullet"/>
      </w:pPr>
      <w:r>
        <w:t>Roster confirmation</w:t>
      </w:r>
    </w:p>
    <w:p>
      <w:pPr>
        <w:pStyle w:val="ListBullet"/>
      </w:pPr>
      <w:r>
        <w:t>Travel/accommodation arrangements</w:t>
      </w:r>
    </w:p>
    <w:p>
      <w:pPr>
        <w:pStyle w:val="ListBullet"/>
      </w:pPr>
      <w:r>
        <w:t>Shift worked</w:t>
      </w:r>
    </w:p>
    <w:p>
      <w:pPr>
        <w:pStyle w:val="ListBullet"/>
      </w:pPr>
      <w:r>
        <w:t>Timesheet approval</w:t>
      </w:r>
    </w:p>
    <w:p>
      <w:pPr>
        <w:pStyle w:val="ListBullet"/>
      </w:pPr>
      <w:r>
        <w:t>Agency invoice/payment</w:t>
      </w:r>
    </w:p>
    <w:p>
      <w:pPr>
        <w:pStyle w:val="ListBullet"/>
      </w:pPr>
      <w:r>
        <w:t>Post-shift issues and re-engagement</w:t>
      </w:r>
    </w:p>
    <w:p>
      <w:pPr>
        <w:pStyle w:val="Heading2"/>
      </w:pPr>
      <w:r>
        <w:t>9.2 Baseline dataset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Data domain</w:t>
            </w:r>
          </w:p>
        </w:tc>
        <w:tc>
          <w:tcPr>
            <w:tcW w:type="dxa" w:w="5083"/>
            <w:vAlign w:val="center"/>
            <w:shd w:fill="17365D"/>
          </w:tcPr>
          <w:p>
            <w:r/>
            <w:r>
              <w:rPr>
                <w:rFonts w:ascii="Aptos" w:hAnsi="Aptos"/>
                <w:b/>
                <w:color w:val="FFFFFF"/>
                <w:sz w:val="16"/>
              </w:rPr>
              <w:t>Minimum fields</w:t>
            </w:r>
          </w:p>
        </w:tc>
      </w:tr>
      <w:tr>
        <w:tc>
          <w:tcPr>
            <w:tcW w:type="dxa" w:w="5083"/>
            <w:vAlign w:val="center"/>
          </w:tcPr>
          <w:p>
            <w:r/>
            <w:r>
              <w:rPr>
                <w:rFonts w:ascii="Aptos" w:hAnsi="Aptos"/>
                <w:b w:val="0"/>
                <w:sz w:val="16"/>
              </w:rPr>
              <w:t>Practitioner</w:t>
            </w:r>
          </w:p>
        </w:tc>
        <w:tc>
          <w:tcPr>
            <w:tcW w:type="dxa" w:w="5083"/>
            <w:vAlign w:val="center"/>
          </w:tcPr>
          <w:p>
            <w:r/>
            <w:r>
              <w:rPr>
                <w:rFonts w:ascii="Aptos" w:hAnsi="Aptos"/>
                <w:b w:val="0"/>
                <w:sz w:val="16"/>
              </w:rPr>
              <w:t>De-identified analytical ID, role, sites, agency/direct source, credential status</w:t>
            </w:r>
          </w:p>
        </w:tc>
      </w:tr>
      <w:tr>
        <w:tc>
          <w:tcPr>
            <w:tcW w:type="dxa" w:w="5083"/>
            <w:vAlign w:val="center"/>
            <w:shd w:fill="F3F6FA"/>
          </w:tcPr>
          <w:p>
            <w:r/>
            <w:r>
              <w:rPr>
                <w:rFonts w:ascii="Aptos" w:hAnsi="Aptos"/>
                <w:b w:val="0"/>
                <w:sz w:val="16"/>
              </w:rPr>
              <w:t>Vacancy</w:t>
            </w:r>
          </w:p>
        </w:tc>
        <w:tc>
          <w:tcPr>
            <w:tcW w:type="dxa" w:w="5083"/>
            <w:vAlign w:val="center"/>
            <w:shd w:fill="F3F6FA"/>
          </w:tcPr>
          <w:p>
            <w:r/>
            <w:r>
              <w:rPr>
                <w:rFonts w:ascii="Aptos" w:hAnsi="Aptos"/>
                <w:b w:val="0"/>
                <w:sz w:val="16"/>
              </w:rPr>
              <w:t>Site, department, role, date, shift times, creation time, lead time</w:t>
            </w:r>
          </w:p>
        </w:tc>
      </w:tr>
      <w:tr>
        <w:tc>
          <w:tcPr>
            <w:tcW w:type="dxa" w:w="5083"/>
            <w:vAlign w:val="center"/>
          </w:tcPr>
          <w:p>
            <w:r/>
            <w:r>
              <w:rPr>
                <w:rFonts w:ascii="Aptos" w:hAnsi="Aptos"/>
                <w:b w:val="0"/>
                <w:sz w:val="16"/>
              </w:rPr>
              <w:t>Sourcing</w:t>
            </w:r>
          </w:p>
        </w:tc>
        <w:tc>
          <w:tcPr>
            <w:tcW w:type="dxa" w:w="5083"/>
            <w:vAlign w:val="center"/>
          </w:tcPr>
          <w:p>
            <w:r/>
            <w:r>
              <w:rPr>
                <w:rFonts w:ascii="Aptos" w:hAnsi="Aptos"/>
                <w:b w:val="0"/>
                <w:sz w:val="16"/>
              </w:rPr>
              <w:t>Channels/tier, agencies contacted, response timestamps, proposals</w:t>
            </w:r>
          </w:p>
        </w:tc>
      </w:tr>
      <w:tr>
        <w:tc>
          <w:tcPr>
            <w:tcW w:type="dxa" w:w="5083"/>
            <w:vAlign w:val="center"/>
            <w:shd w:fill="F3F6FA"/>
          </w:tcPr>
          <w:p>
            <w:r/>
            <w:r>
              <w:rPr>
                <w:rFonts w:ascii="Aptos" w:hAnsi="Aptos"/>
                <w:b w:val="0"/>
                <w:sz w:val="16"/>
              </w:rPr>
              <w:t>Booking</w:t>
            </w:r>
          </w:p>
        </w:tc>
        <w:tc>
          <w:tcPr>
            <w:tcW w:type="dxa" w:w="5083"/>
            <w:vAlign w:val="center"/>
            <w:shd w:fill="F3F6FA"/>
          </w:tcPr>
          <w:p>
            <w:r/>
            <w:r>
              <w:rPr>
                <w:rFonts w:ascii="Aptos" w:hAnsi="Aptos"/>
                <w:b w:val="0"/>
                <w:sz w:val="16"/>
              </w:rPr>
              <w:t>Doctor, source, confirmation time, cancellation/replacement</w:t>
            </w:r>
          </w:p>
        </w:tc>
      </w:tr>
      <w:tr>
        <w:tc>
          <w:tcPr>
            <w:tcW w:type="dxa" w:w="5083"/>
            <w:vAlign w:val="center"/>
          </w:tcPr>
          <w:p>
            <w:r/>
            <w:r>
              <w:rPr>
                <w:rFonts w:ascii="Aptos" w:hAnsi="Aptos"/>
                <w:b w:val="0"/>
                <w:sz w:val="16"/>
              </w:rPr>
              <w:t>Cost</w:t>
            </w:r>
          </w:p>
        </w:tc>
        <w:tc>
          <w:tcPr>
            <w:tcW w:type="dxa" w:w="5083"/>
            <w:vAlign w:val="center"/>
          </w:tcPr>
          <w:p>
            <w:r/>
            <w:r>
              <w:rPr>
                <w:rFonts w:ascii="Aptos" w:hAnsi="Aptos"/>
                <w:b w:val="0"/>
                <w:sz w:val="16"/>
              </w:rPr>
              <w:t>Doctor rate, hours, agency commission/fee, travel, accommodation, other approved cost</w:t>
            </w:r>
          </w:p>
        </w:tc>
      </w:tr>
      <w:tr>
        <w:tc>
          <w:tcPr>
            <w:tcW w:type="dxa" w:w="5083"/>
            <w:vAlign w:val="center"/>
            <w:shd w:fill="F3F6FA"/>
          </w:tcPr>
          <w:p>
            <w:r/>
            <w:r>
              <w:rPr>
                <w:rFonts w:ascii="Aptos" w:hAnsi="Aptos"/>
                <w:b w:val="0"/>
                <w:sz w:val="16"/>
              </w:rPr>
              <w:t>Timesheet</w:t>
            </w:r>
          </w:p>
        </w:tc>
        <w:tc>
          <w:tcPr>
            <w:tcW w:type="dxa" w:w="5083"/>
            <w:vAlign w:val="center"/>
            <w:shd w:fill="F3F6FA"/>
          </w:tcPr>
          <w:p>
            <w:r/>
            <w:r>
              <w:rPr>
                <w:rFonts w:ascii="Aptos" w:hAnsi="Aptos"/>
                <w:b w:val="0"/>
                <w:sz w:val="16"/>
              </w:rPr>
              <w:t>Submitted time, approved time, amendments and approval delay</w:t>
            </w:r>
          </w:p>
        </w:tc>
      </w:tr>
      <w:tr>
        <w:tc>
          <w:tcPr>
            <w:tcW w:type="dxa" w:w="5083"/>
            <w:vAlign w:val="center"/>
          </w:tcPr>
          <w:p>
            <w:r/>
            <w:r>
              <w:rPr>
                <w:rFonts w:ascii="Aptos" w:hAnsi="Aptos"/>
                <w:b w:val="0"/>
                <w:sz w:val="16"/>
              </w:rPr>
              <w:t>Return</w:t>
            </w:r>
          </w:p>
        </w:tc>
        <w:tc>
          <w:tcPr>
            <w:tcW w:type="dxa" w:w="5083"/>
            <w:vAlign w:val="center"/>
          </w:tcPr>
          <w:p>
            <w:r/>
            <w:r>
              <w:rPr>
                <w:rFonts w:ascii="Aptos" w:hAnsi="Aptos"/>
                <w:b w:val="0"/>
                <w:sz w:val="16"/>
              </w:rPr>
              <w:t>Subsequent suitable opportunities and accepted subsequent shifts</w:t>
            </w:r>
          </w:p>
        </w:tc>
      </w:tr>
      <w:tr>
        <w:tc>
          <w:tcPr>
            <w:tcW w:type="dxa" w:w="5083"/>
            <w:vAlign w:val="center"/>
            <w:shd w:fill="F3F6FA"/>
          </w:tcPr>
          <w:p>
            <w:r/>
            <w:r>
              <w:rPr>
                <w:rFonts w:ascii="Aptos" w:hAnsi="Aptos"/>
                <w:b w:val="0"/>
                <w:sz w:val="16"/>
              </w:rPr>
              <w:t>Administration</w:t>
            </w:r>
          </w:p>
        </w:tc>
        <w:tc>
          <w:tcPr>
            <w:tcW w:type="dxa" w:w="5083"/>
            <w:vAlign w:val="center"/>
            <w:shd w:fill="F3F6FA"/>
          </w:tcPr>
          <w:p>
            <w:r/>
            <w:r>
              <w:rPr>
                <w:rFonts w:ascii="Aptos" w:hAnsi="Aptos"/>
                <w:b w:val="0"/>
                <w:sz w:val="16"/>
              </w:rPr>
              <w:t>Number/type of manual contacts and indicative staff time</w:t>
            </w:r>
          </w:p>
        </w:tc>
      </w:tr>
    </w:tbl>
    <w:p/>
    <w:p>
      <w:r>
        <w:t>Where historic commission or contact data are incomplete, the limitation should be documented rather than estimated without evidence. The pilot should improve data completeness prospectively.</w:t>
      </w:r>
    </w:p>
    <w:p>
      <w:pPr>
        <w:pStyle w:val="Heading1"/>
      </w:pPr>
      <w:r>
        <w:t>10. Doctor co-design and user research</w:t>
      </w:r>
    </w:p>
    <w:p>
      <w:r>
        <w:t>Before final UX is approved, conduct structured interviews/usability sessions with a purposive sample of current locums.</w:t>
      </w:r>
    </w:p>
    <w:p>
      <w:pPr>
        <w:pStyle w:val="ListBullet"/>
      </w:pPr>
      <w:r>
        <w:t>How doctors currently store and submit credentials</w:t>
      </w:r>
    </w:p>
    <w:p>
      <w:pPr>
        <w:pStyle w:val="ListBullet"/>
      </w:pPr>
      <w:r>
        <w:t>Which credentials are repeatedly requested</w:t>
      </w:r>
    </w:p>
    <w:p>
      <w:pPr>
        <w:pStyle w:val="ListBullet"/>
      </w:pPr>
      <w:r>
        <w:t>What would make a credential wallet worth maintaining</w:t>
      </w:r>
    </w:p>
    <w:p>
      <w:pPr>
        <w:pStyle w:val="ListBullet"/>
      </w:pPr>
      <w:r>
        <w:t>Preferred sharing method and privacy concerns</w:t>
      </w:r>
    </w:p>
    <w:p>
      <w:pPr>
        <w:pStyle w:val="ListBullet"/>
      </w:pPr>
      <w:r>
        <w:t>How much credential metadata doctors are willing to enter manually</w:t>
      </w:r>
    </w:p>
    <w:p>
      <w:pPr>
        <w:pStyle w:val="ListBullet"/>
      </w:pPr>
      <w:r>
        <w:t>How doctors want expiry reminders delivered</w:t>
      </w:r>
    </w:p>
    <w:p>
      <w:pPr>
        <w:pStyle w:val="ListBullet"/>
      </w:pPr>
      <w:r>
        <w:t>How vacancy notifications should be controlled</w:t>
      </w:r>
    </w:p>
    <w:p>
      <w:pPr>
        <w:pStyle w:val="ListBullet"/>
      </w:pPr>
      <w:r>
        <w:t>Whether minimum rate preferences feel safe/confidential</w:t>
      </w:r>
    </w:p>
    <w:p>
      <w:pPr>
        <w:pStyle w:val="ListBullet"/>
      </w:pPr>
      <w:r>
        <w:t>What would make post-shift feedback trustworthy</w:t>
      </w:r>
    </w:p>
    <w:p>
      <w:pPr>
        <w:pStyle w:val="ListBullet"/>
      </w:pPr>
      <w:r>
        <w:t>Concerns about hospital managers identifying respondents</w:t>
      </w:r>
    </w:p>
    <w:p>
      <w:pPr>
        <w:pStyle w:val="ListBullet"/>
      </w:pPr>
      <w:r>
        <w:t>Timesheet pain points</w:t>
      </w:r>
    </w:p>
    <w:p>
      <w:pPr>
        <w:pStyle w:val="ListBullet"/>
      </w:pPr>
      <w:r>
        <w:t>Reasons doctors return or do not return to YNLHN sites</w:t>
      </w:r>
    </w:p>
    <w:tbl>
      <w:tblPr>
        <w:tblStyle w:val="TableGrid"/>
        <w:tblW w:type="auto" w:w="0"/>
        <w:tblLook w:firstColumn="1" w:firstRow="1" w:lastColumn="0" w:lastRow="0" w:noHBand="0" w:noVBand="1" w:val="04A0"/>
      </w:tblPr>
      <w:tblGrid>
        <w:gridCol w:w="10166"/>
      </w:tblGrid>
      <w:tr>
        <w:tc>
          <w:tcPr>
            <w:tcW w:type="dxa" w:w="10166"/>
            <w:shd w:fill="EAF0F8"/>
          </w:tcPr>
          <w:p>
            <w:r/>
            <w:r>
              <w:rPr>
                <w:rFonts w:ascii="Aptos" w:hAnsi="Aptos"/>
                <w:b/>
                <w:color w:val="17365D"/>
                <w:sz w:val="20"/>
              </w:rPr>
              <w:t>Usability target: a doctor should be able to add a common credential and share a credential pack without training.</w:t>
            </w:r>
          </w:p>
        </w:tc>
      </w:tr>
    </w:tbl>
    <w:p/>
    <w:p>
      <w:pPr>
        <w:pStyle w:val="Heading1"/>
      </w:pPr>
      <w:r>
        <w:t>11. Credential Wallet implementation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Requirement</w:t>
            </w:r>
          </w:p>
        </w:tc>
        <w:tc>
          <w:tcPr>
            <w:tcW w:type="dxa" w:w="5083"/>
            <w:vAlign w:val="center"/>
            <w:shd w:fill="17365D"/>
          </w:tcPr>
          <w:p>
            <w:r/>
            <w:r>
              <w:rPr>
                <w:rFonts w:ascii="Aptos" w:hAnsi="Aptos"/>
                <w:b/>
                <w:color w:val="FFFFFF"/>
                <w:sz w:val="16"/>
              </w:rPr>
              <w:t>Pilot implementation</w:t>
            </w:r>
          </w:p>
        </w:tc>
      </w:tr>
      <w:tr>
        <w:tc>
          <w:tcPr>
            <w:tcW w:type="dxa" w:w="5083"/>
            <w:vAlign w:val="center"/>
          </w:tcPr>
          <w:p>
            <w:r/>
            <w:r>
              <w:rPr>
                <w:rFonts w:ascii="Aptos" w:hAnsi="Aptos"/>
                <w:b w:val="0"/>
                <w:sz w:val="16"/>
              </w:rPr>
              <w:t>Credential taxonomy</w:t>
            </w:r>
          </w:p>
        </w:tc>
        <w:tc>
          <w:tcPr>
            <w:tcW w:type="dxa" w:w="5083"/>
            <w:vAlign w:val="center"/>
          </w:tcPr>
          <w:p>
            <w:r/>
            <w:r>
              <w:rPr>
                <w:rFonts w:ascii="Aptos" w:hAnsi="Aptos"/>
                <w:b w:val="0"/>
                <w:sz w:val="16"/>
              </w:rPr>
              <w:t>Start with high-frequency medical locum credentials and extend through observed use</w:t>
            </w:r>
          </w:p>
        </w:tc>
      </w:tr>
      <w:tr>
        <w:tc>
          <w:tcPr>
            <w:tcW w:type="dxa" w:w="5083"/>
            <w:vAlign w:val="center"/>
            <w:shd w:fill="F3F6FA"/>
          </w:tcPr>
          <w:p>
            <w:r/>
            <w:r>
              <w:rPr>
                <w:rFonts w:ascii="Aptos" w:hAnsi="Aptos"/>
                <w:b w:val="0"/>
                <w:sz w:val="16"/>
              </w:rPr>
              <w:t>Evidence</w:t>
            </w:r>
          </w:p>
        </w:tc>
        <w:tc>
          <w:tcPr>
            <w:tcW w:type="dxa" w:w="5083"/>
            <w:vAlign w:val="center"/>
            <w:shd w:fill="F3F6FA"/>
          </w:tcPr>
          <w:p>
            <w:r/>
            <w:r>
              <w:rPr>
                <w:rFonts w:ascii="Aptos" w:hAnsi="Aptos"/>
                <w:b w:val="0"/>
                <w:sz w:val="16"/>
              </w:rPr>
              <w:t>Encrypted file storage linked to structured credential</w:t>
            </w:r>
          </w:p>
        </w:tc>
      </w:tr>
      <w:tr>
        <w:tc>
          <w:tcPr>
            <w:tcW w:type="dxa" w:w="5083"/>
            <w:vAlign w:val="center"/>
          </w:tcPr>
          <w:p>
            <w:r/>
            <w:r>
              <w:rPr>
                <w:rFonts w:ascii="Aptos" w:hAnsi="Aptos"/>
                <w:b w:val="0"/>
                <w:sz w:val="16"/>
              </w:rPr>
              <w:t>Expiry</w:t>
            </w:r>
          </w:p>
        </w:tc>
        <w:tc>
          <w:tcPr>
            <w:tcW w:type="dxa" w:w="5083"/>
            <w:vAlign w:val="center"/>
          </w:tcPr>
          <w:p>
            <w:r/>
            <w:r>
              <w:rPr>
                <w:rFonts w:ascii="Aptos" w:hAnsi="Aptos"/>
                <w:b w:val="0"/>
                <w:sz w:val="16"/>
              </w:rPr>
              <w:t>Issue/expiry dates and reminders</w:t>
            </w:r>
          </w:p>
        </w:tc>
      </w:tr>
      <w:tr>
        <w:tc>
          <w:tcPr>
            <w:tcW w:type="dxa" w:w="5083"/>
            <w:vAlign w:val="center"/>
            <w:shd w:fill="F3F6FA"/>
          </w:tcPr>
          <w:p>
            <w:r/>
            <w:r>
              <w:rPr>
                <w:rFonts w:ascii="Aptos" w:hAnsi="Aptos"/>
                <w:b w:val="0"/>
                <w:sz w:val="16"/>
              </w:rPr>
              <w:t>Assurance</w:t>
            </w:r>
          </w:p>
        </w:tc>
        <w:tc>
          <w:tcPr>
            <w:tcW w:type="dxa" w:w="5083"/>
            <w:vAlign w:val="center"/>
            <w:shd w:fill="F3F6FA"/>
          </w:tcPr>
          <w:p>
            <w:r/>
            <w:r>
              <w:rPr>
                <w:rFonts w:ascii="Aptos" w:hAnsi="Aptos"/>
                <w:b w:val="0"/>
                <w:sz w:val="16"/>
              </w:rPr>
              <w:t>Self-supplied, organisation-verified, primary-source verified where available</w:t>
            </w:r>
          </w:p>
        </w:tc>
      </w:tr>
      <w:tr>
        <w:tc>
          <w:tcPr>
            <w:tcW w:type="dxa" w:w="5083"/>
            <w:vAlign w:val="center"/>
          </w:tcPr>
          <w:p>
            <w:r/>
            <w:r>
              <w:rPr>
                <w:rFonts w:ascii="Aptos" w:hAnsi="Aptos"/>
                <w:b w:val="0"/>
                <w:sz w:val="16"/>
              </w:rPr>
              <w:t>YNLHN scope</w:t>
            </w:r>
          </w:p>
        </w:tc>
        <w:tc>
          <w:tcPr>
            <w:tcW w:type="dxa" w:w="5083"/>
            <w:vAlign w:val="center"/>
          </w:tcPr>
          <w:p>
            <w:r/>
            <w:r>
              <w:rPr>
                <w:rFonts w:ascii="Aptos" w:hAnsi="Aptos"/>
                <w:b w:val="0"/>
                <w:sz w:val="16"/>
              </w:rPr>
              <w:t>Imported organisation attestation, not practitioner-editable</w:t>
            </w:r>
          </w:p>
        </w:tc>
      </w:tr>
      <w:tr>
        <w:tc>
          <w:tcPr>
            <w:tcW w:type="dxa" w:w="5083"/>
            <w:vAlign w:val="center"/>
            <w:shd w:fill="F3F6FA"/>
          </w:tcPr>
          <w:p>
            <w:r/>
            <w:r>
              <w:rPr>
                <w:rFonts w:ascii="Aptos" w:hAnsi="Aptos"/>
                <w:b w:val="0"/>
                <w:sz w:val="16"/>
              </w:rPr>
              <w:t>Sharing</w:t>
            </w:r>
          </w:p>
        </w:tc>
        <w:tc>
          <w:tcPr>
            <w:tcW w:type="dxa" w:w="5083"/>
            <w:vAlign w:val="center"/>
            <w:shd w:fill="F3F6FA"/>
          </w:tcPr>
          <w:p>
            <w:r/>
            <w:r>
              <w:rPr>
                <w:rFonts w:ascii="Aptos" w:hAnsi="Aptos"/>
                <w:b w:val="0"/>
                <w:sz w:val="16"/>
              </w:rPr>
              <w:t>Selectable bundle, secure expiring link, access log and revoke</w:t>
            </w:r>
          </w:p>
        </w:tc>
      </w:tr>
      <w:tr>
        <w:tc>
          <w:tcPr>
            <w:tcW w:type="dxa" w:w="5083"/>
            <w:vAlign w:val="center"/>
          </w:tcPr>
          <w:p>
            <w:r/>
            <w:r>
              <w:rPr>
                <w:rFonts w:ascii="Aptos" w:hAnsi="Aptos"/>
                <w:b w:val="0"/>
                <w:sz w:val="16"/>
              </w:rPr>
              <w:t>Sensitive identity evidence</w:t>
            </w:r>
          </w:p>
        </w:tc>
        <w:tc>
          <w:tcPr>
            <w:tcW w:type="dxa" w:w="5083"/>
            <w:vAlign w:val="center"/>
          </w:tcPr>
          <w:p>
            <w:r/>
            <w:r>
              <w:rPr>
                <w:rFonts w:ascii="Aptos" w:hAnsi="Aptos"/>
                <w:b w:val="0"/>
                <w:sz w:val="16"/>
              </w:rPr>
              <w:t>Separate permissions; excluded from default packs</w:t>
            </w:r>
          </w:p>
        </w:tc>
      </w:tr>
      <w:tr>
        <w:tc>
          <w:tcPr>
            <w:tcW w:type="dxa" w:w="5083"/>
            <w:vAlign w:val="center"/>
            <w:shd w:fill="F3F6FA"/>
          </w:tcPr>
          <w:p>
            <w:r/>
            <w:r>
              <w:rPr>
                <w:rFonts w:ascii="Aptos" w:hAnsi="Aptos"/>
                <w:b w:val="0"/>
                <w:sz w:val="16"/>
              </w:rPr>
              <w:t>Update request</w:t>
            </w:r>
          </w:p>
        </w:tc>
        <w:tc>
          <w:tcPr>
            <w:tcW w:type="dxa" w:w="5083"/>
            <w:vAlign w:val="center"/>
            <w:shd w:fill="F3F6FA"/>
          </w:tcPr>
          <w:p>
            <w:r/>
            <w:r>
              <w:rPr>
                <w:rFonts w:ascii="Aptos" w:hAnsi="Aptos"/>
                <w:b w:val="0"/>
                <w:sz w:val="16"/>
              </w:rPr>
              <w:t>YNLHN can request replacement evidence without taking ownership of the wallet</w:t>
            </w:r>
          </w:p>
        </w:tc>
      </w:tr>
      <w:tr>
        <w:tc>
          <w:tcPr>
            <w:tcW w:type="dxa" w:w="5083"/>
            <w:vAlign w:val="center"/>
          </w:tcPr>
          <w:p>
            <w:r/>
            <w:r>
              <w:rPr>
                <w:rFonts w:ascii="Aptos" w:hAnsi="Aptos"/>
                <w:b w:val="0"/>
                <w:sz w:val="16"/>
              </w:rPr>
              <w:t>Data quality</w:t>
            </w:r>
          </w:p>
        </w:tc>
        <w:tc>
          <w:tcPr>
            <w:tcW w:type="dxa" w:w="5083"/>
            <w:vAlign w:val="center"/>
          </w:tcPr>
          <w:p>
            <w:r/>
            <w:r>
              <w:rPr>
                <w:rFonts w:ascii="Aptos" w:hAnsi="Aptos"/>
                <w:b w:val="0"/>
                <w:sz w:val="16"/>
              </w:rPr>
              <w:t>Duplicate/superseded credential handling and validation rules</w:t>
            </w:r>
          </w:p>
        </w:tc>
      </w:tr>
    </w:tbl>
    <w:p/>
    <w:p>
      <w:pPr>
        <w:pStyle w:val="Heading1"/>
      </w:pPr>
      <w:r>
        <w:t>12. Locum Experience implementation</w:t>
      </w:r>
    </w:p>
    <w:p>
      <w:pPr>
        <w:pStyle w:val="Heading2"/>
      </w:pPr>
      <w:r>
        <w:t>12.1 Survey trigger</w:t>
      </w:r>
    </w:p>
    <w:p>
      <w:r>
        <w:t>A survey is triggered after a completed shift or defined block. Frequency rules should avoid survey fatigue for doctors working repeated shifts at the same site, while retaining sufficient temporal sensitivity to detect changes.</w:t>
      </w:r>
    </w:p>
    <w:p>
      <w:pPr>
        <w:pStyle w:val="Heading2"/>
      </w:pPr>
      <w:r>
        <w:t>12.2 Core measures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Measure</w:t>
            </w:r>
          </w:p>
        </w:tc>
        <w:tc>
          <w:tcPr>
            <w:tcW w:type="dxa" w:w="5083"/>
            <w:vAlign w:val="center"/>
            <w:shd w:fill="17365D"/>
          </w:tcPr>
          <w:p>
            <w:r/>
            <w:r>
              <w:rPr>
                <w:rFonts w:ascii="Aptos" w:hAnsi="Aptos"/>
                <w:b/>
                <w:color w:val="FFFFFF"/>
                <w:sz w:val="16"/>
              </w:rPr>
              <w:t>Scale</w:t>
            </w:r>
          </w:p>
        </w:tc>
      </w:tr>
      <w:tr>
        <w:tc>
          <w:tcPr>
            <w:tcW w:type="dxa" w:w="5083"/>
            <w:vAlign w:val="center"/>
          </w:tcPr>
          <w:p>
            <w:r/>
            <w:r>
              <w:rPr>
                <w:rFonts w:ascii="Aptos" w:hAnsi="Aptos"/>
                <w:b w:val="0"/>
                <w:sz w:val="16"/>
              </w:rPr>
              <w:t>Confidence in care for a close friend/relative passing through town</w:t>
            </w:r>
          </w:p>
        </w:tc>
        <w:tc>
          <w:tcPr>
            <w:tcW w:type="dxa" w:w="5083"/>
            <w:vAlign w:val="center"/>
          </w:tcPr>
          <w:p>
            <w:r/>
            <w:r>
              <w:rPr>
                <w:rFonts w:ascii="Aptos" w:hAnsi="Aptos"/>
                <w:b w:val="0"/>
                <w:sz w:val="16"/>
              </w:rPr>
              <w:t>0–10</w:t>
            </w:r>
          </w:p>
        </w:tc>
      </w:tr>
      <w:tr>
        <w:tc>
          <w:tcPr>
            <w:tcW w:type="dxa" w:w="5083"/>
            <w:vAlign w:val="center"/>
            <w:shd w:fill="F3F6FA"/>
          </w:tcPr>
          <w:p>
            <w:r/>
            <w:r>
              <w:rPr>
                <w:rFonts w:ascii="Aptos" w:hAnsi="Aptos"/>
                <w:b w:val="0"/>
                <w:sz w:val="16"/>
              </w:rPr>
              <w:t>Clinical team culture</w:t>
            </w:r>
          </w:p>
        </w:tc>
        <w:tc>
          <w:tcPr>
            <w:tcW w:type="dxa" w:w="5083"/>
            <w:vAlign w:val="center"/>
            <w:shd w:fill="F3F6FA"/>
          </w:tcPr>
          <w:p>
            <w:r/>
            <w:r>
              <w:rPr>
                <w:rFonts w:ascii="Aptos" w:hAnsi="Aptos"/>
                <w:b w:val="0"/>
                <w:sz w:val="16"/>
              </w:rPr>
              <w:t>0–10</w:t>
            </w:r>
          </w:p>
        </w:tc>
      </w:tr>
      <w:tr>
        <w:tc>
          <w:tcPr>
            <w:tcW w:type="dxa" w:w="5083"/>
            <w:vAlign w:val="center"/>
          </w:tcPr>
          <w:p>
            <w:r/>
            <w:r>
              <w:rPr>
                <w:rFonts w:ascii="Aptos" w:hAnsi="Aptos"/>
                <w:b w:val="0"/>
                <w:sz w:val="16"/>
              </w:rPr>
              <w:t>Safe to raise a clinical concern</w:t>
            </w:r>
          </w:p>
        </w:tc>
        <w:tc>
          <w:tcPr>
            <w:tcW w:type="dxa" w:w="5083"/>
            <w:vAlign w:val="center"/>
          </w:tcPr>
          <w:p>
            <w:r/>
            <w:r>
              <w:rPr>
                <w:rFonts w:ascii="Aptos" w:hAnsi="Aptos"/>
                <w:b w:val="0"/>
                <w:sz w:val="16"/>
              </w:rPr>
              <w:t>Yes / Mostly / No</w:t>
            </w:r>
          </w:p>
        </w:tc>
      </w:tr>
      <w:tr>
        <w:tc>
          <w:tcPr>
            <w:tcW w:type="dxa" w:w="5083"/>
            <w:vAlign w:val="center"/>
            <w:shd w:fill="F3F6FA"/>
          </w:tcPr>
          <w:p>
            <w:r/>
            <w:r>
              <w:rPr>
                <w:rFonts w:ascii="Aptos" w:hAnsi="Aptos"/>
                <w:b w:val="0"/>
                <w:sz w:val="16"/>
              </w:rPr>
              <w:t>Access to appropriate clinical support</w:t>
            </w:r>
          </w:p>
        </w:tc>
        <w:tc>
          <w:tcPr>
            <w:tcW w:type="dxa" w:w="5083"/>
            <w:vAlign w:val="center"/>
            <w:shd w:fill="F3F6FA"/>
          </w:tcPr>
          <w:p>
            <w:r/>
            <w:r>
              <w:rPr>
                <w:rFonts w:ascii="Aptos" w:hAnsi="Aptos"/>
                <w:b w:val="0"/>
                <w:sz w:val="16"/>
              </w:rPr>
              <w:t>Yes / Mostly / No</w:t>
            </w:r>
          </w:p>
        </w:tc>
      </w:tr>
      <w:tr>
        <w:tc>
          <w:tcPr>
            <w:tcW w:type="dxa" w:w="5083"/>
            <w:vAlign w:val="center"/>
          </w:tcPr>
          <w:p>
            <w:r/>
            <w:r>
              <w:rPr>
                <w:rFonts w:ascii="Aptos" w:hAnsi="Aptos"/>
                <w:b w:val="0"/>
                <w:sz w:val="16"/>
              </w:rPr>
              <w:t>Workload safe/manageable</w:t>
            </w:r>
          </w:p>
        </w:tc>
        <w:tc>
          <w:tcPr>
            <w:tcW w:type="dxa" w:w="5083"/>
            <w:vAlign w:val="center"/>
          </w:tcPr>
          <w:p>
            <w:r/>
            <w:r>
              <w:rPr>
                <w:rFonts w:ascii="Aptos" w:hAnsi="Aptos"/>
                <w:b w:val="0"/>
                <w:sz w:val="16"/>
              </w:rPr>
              <w:t>Yes / Mostly / No</w:t>
            </w:r>
          </w:p>
        </w:tc>
      </w:tr>
      <w:tr>
        <w:tc>
          <w:tcPr>
            <w:tcW w:type="dxa" w:w="5083"/>
            <w:vAlign w:val="center"/>
            <w:shd w:fill="F3F6FA"/>
          </w:tcPr>
          <w:p>
            <w:r/>
            <w:r>
              <w:rPr>
                <w:rFonts w:ascii="Aptos" w:hAnsi="Aptos"/>
                <w:b w:val="0"/>
                <w:sz w:val="16"/>
              </w:rPr>
              <w:t>Orientation/information adequate</w:t>
            </w:r>
          </w:p>
        </w:tc>
        <w:tc>
          <w:tcPr>
            <w:tcW w:type="dxa" w:w="5083"/>
            <w:vAlign w:val="center"/>
            <w:shd w:fill="F3F6FA"/>
          </w:tcPr>
          <w:p>
            <w:r/>
            <w:r>
              <w:rPr>
                <w:rFonts w:ascii="Aptos" w:hAnsi="Aptos"/>
                <w:b w:val="0"/>
                <w:sz w:val="16"/>
              </w:rPr>
              <w:t>Yes / Mostly / No or 0–10</w:t>
            </w:r>
          </w:p>
        </w:tc>
      </w:tr>
      <w:tr>
        <w:tc>
          <w:tcPr>
            <w:tcW w:type="dxa" w:w="5083"/>
            <w:vAlign w:val="center"/>
          </w:tcPr>
          <w:p>
            <w:r/>
            <w:r>
              <w:rPr>
                <w:rFonts w:ascii="Aptos" w:hAnsi="Aptos"/>
                <w:b w:val="0"/>
                <w:sz w:val="16"/>
              </w:rPr>
              <w:t>Likelihood of choosing to work at site again</w:t>
            </w:r>
          </w:p>
        </w:tc>
        <w:tc>
          <w:tcPr>
            <w:tcW w:type="dxa" w:w="5083"/>
            <w:vAlign w:val="center"/>
          </w:tcPr>
          <w:p>
            <w:r/>
            <w:r>
              <w:rPr>
                <w:rFonts w:ascii="Aptos" w:hAnsi="Aptos"/>
                <w:b w:val="0"/>
                <w:sz w:val="16"/>
              </w:rPr>
              <w:t>0–10</w:t>
            </w:r>
          </w:p>
        </w:tc>
      </w:tr>
      <w:tr>
        <w:tc>
          <w:tcPr>
            <w:tcW w:type="dxa" w:w="5083"/>
            <w:vAlign w:val="center"/>
            <w:shd w:fill="F3F6FA"/>
          </w:tcPr>
          <w:p>
            <w:r/>
            <w:r>
              <w:rPr>
                <w:rFonts w:ascii="Aptos" w:hAnsi="Aptos"/>
                <w:b w:val="0"/>
                <w:sz w:val="16"/>
              </w:rPr>
              <w:t>Single improvement most likely to increase return</w:t>
            </w:r>
          </w:p>
        </w:tc>
        <w:tc>
          <w:tcPr>
            <w:tcW w:type="dxa" w:w="5083"/>
            <w:vAlign w:val="center"/>
            <w:shd w:fill="F3F6FA"/>
          </w:tcPr>
          <w:p>
            <w:r/>
            <w:r>
              <w:rPr>
                <w:rFonts w:ascii="Aptos" w:hAnsi="Aptos"/>
                <w:b w:val="0"/>
                <w:sz w:val="16"/>
              </w:rPr>
              <w:t>Free text</w:t>
            </w:r>
          </w:p>
        </w:tc>
      </w:tr>
    </w:tbl>
    <w:p/>
    <w:p>
      <w:pPr>
        <w:pStyle w:val="Heading2"/>
      </w:pPr>
      <w:r>
        <w:t>12.3 Confidentiality rules</w:t>
      </w:r>
    </w:p>
    <w:p>
      <w:pPr>
        <w:pStyle w:val="ListBullet"/>
      </w:pPr>
      <w:r>
        <w:t>Routine dashboards show aggregated results only.</w:t>
      </w:r>
    </w:p>
    <w:p>
      <w:pPr>
        <w:pStyle w:val="ListBullet"/>
      </w:pPr>
      <w:r>
        <w:t>Minimum n threshold before site/domain scores are displayed; initial recommendation n≥5, to be confirmed by privacy review.</w:t>
      </w:r>
    </w:p>
    <w:p>
      <w:pPr>
        <w:pStyle w:val="ListBullet"/>
      </w:pPr>
      <w:r>
        <w:t>For very small sites, extend aggregation period or report network-level themes.</w:t>
      </w:r>
    </w:p>
    <w:p>
      <w:pPr>
        <w:pStyle w:val="ListBullet"/>
      </w:pPr>
      <w:r>
        <w:t>Raw free text is restricted and screened for identifiable patient/staff information before wider use.</w:t>
      </w:r>
    </w:p>
    <w:p>
      <w:pPr>
        <w:pStyle w:val="ListBullet"/>
      </w:pPr>
      <w:r>
        <w:t>Operational managers cannot routinely trace a score to a named doctor.</w:t>
      </w:r>
    </w:p>
    <w:p>
      <w:pPr>
        <w:pStyle w:val="ListBullet"/>
      </w:pPr>
      <w:r>
        <w:t>Survey data retention and linkage rules are documented in the PIA.</w:t>
      </w:r>
    </w:p>
    <w:p>
      <w:pPr>
        <w:pStyle w:val="Heading2"/>
      </w:pPr>
      <w:r>
        <w:t>12.4 Safety routing</w:t>
      </w:r>
    </w:p>
    <w:p>
      <w:r>
        <w:t>If a respondent indicates an event requiring formal clinical or workplace follow-up, the platform should explain that the survey is not the reporting channel and provide the appropriate YNLHN route. The design should not create an expectation that an anonymous improvement survey is continuously monitored for urgent safety events.</w:t>
      </w:r>
    </w:p>
    <w:p>
      <w:pPr>
        <w:pStyle w:val="Heading1"/>
      </w:pPr>
      <w:r>
        <w:t>13. Vacancy Exchange implementation</w:t>
      </w:r>
    </w:p>
    <w:p>
      <w:pPr>
        <w:pStyle w:val="ListBullet"/>
      </w:pPr>
      <w:r>
        <w:t>Use current YNLHN role/site scope as the hard eligibility gate.</w:t>
      </w:r>
    </w:p>
    <w:p>
      <w:pPr>
        <w:pStyle w:val="ListBullet"/>
      </w:pPr>
      <w:r>
        <w:t>Separate eligibility from doctor preference.</w:t>
      </w:r>
    </w:p>
    <w:p>
      <w:pPr>
        <w:pStyle w:val="ListBullet"/>
      </w:pPr>
      <w:r>
        <w:t>Allow doctors to select sites, roles, availability, travel preferences and confidential minimum rates.</w:t>
      </w:r>
    </w:p>
    <w:p>
      <w:pPr>
        <w:pStyle w:val="ListBullet"/>
      </w:pPr>
      <w:r>
        <w:t>Medical Workforce creates structured vacancies with rate, travel/accommodation and site briefing.</w:t>
      </w:r>
    </w:p>
    <w:p>
      <w:pPr>
        <w:pStyle w:val="ListBullet"/>
      </w:pPr>
      <w:r>
        <w:t>Initial booking mode is request + Medical Workforce confirmation.</w:t>
      </w:r>
    </w:p>
    <w:p>
      <w:pPr>
        <w:pStyle w:val="ListBullet"/>
      </w:pPr>
      <w:r>
        <w:t>Record all publication, notification, request, proposal, booking and cancellation events.</w:t>
      </w:r>
    </w:p>
    <w:p>
      <w:pPr>
        <w:pStyle w:val="ListBullet"/>
      </w:pPr>
      <w:r>
        <w:t>Provide clear reason codes for unsuccessful or withdrawn applications where appropriate.</w:t>
      </w:r>
    </w:p>
    <w:p>
      <w:pPr>
        <w:pStyle w:val="Heading1"/>
      </w:pPr>
      <w:r>
        <w:t>14. Agency sourcing implementation</w:t>
      </w:r>
    </w:p>
    <w:p>
      <w:r>
        <w:t>Before configuration, Procurement must confirm the current panel supplier list, categories, contract dates, applicable Buyers Guide, sourcing sequence, exemptions and how variable fees/commissions are represented.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Control</w:t>
            </w:r>
          </w:p>
        </w:tc>
        <w:tc>
          <w:tcPr>
            <w:tcW w:type="dxa" w:w="5083"/>
            <w:vAlign w:val="center"/>
            <w:shd w:fill="17365D"/>
          </w:tcPr>
          <w:p>
            <w:r/>
            <w:r>
              <w:rPr>
                <w:rFonts w:ascii="Aptos" w:hAnsi="Aptos"/>
                <w:b/>
                <w:color w:val="FFFFFF"/>
                <w:sz w:val="16"/>
              </w:rPr>
              <w:t>Implementation</w:t>
            </w:r>
          </w:p>
        </w:tc>
      </w:tr>
      <w:tr>
        <w:tc>
          <w:tcPr>
            <w:tcW w:type="dxa" w:w="5083"/>
            <w:vAlign w:val="center"/>
          </w:tcPr>
          <w:p>
            <w:r/>
            <w:r>
              <w:rPr>
                <w:rFonts w:ascii="Aptos" w:hAnsi="Aptos"/>
                <w:b w:val="0"/>
                <w:sz w:val="16"/>
              </w:rPr>
              <w:t>Eligible suppliers</w:t>
            </w:r>
          </w:p>
        </w:tc>
        <w:tc>
          <w:tcPr>
            <w:tcW w:type="dxa" w:w="5083"/>
            <w:vAlign w:val="center"/>
          </w:tcPr>
          <w:p>
            <w:r/>
            <w:r>
              <w:rPr>
                <w:rFonts w:ascii="Aptos" w:hAnsi="Aptos"/>
                <w:b w:val="0"/>
                <w:sz w:val="16"/>
              </w:rPr>
              <w:t>Effective-dated agency master data</w:t>
            </w:r>
          </w:p>
        </w:tc>
      </w:tr>
      <w:tr>
        <w:tc>
          <w:tcPr>
            <w:tcW w:type="dxa" w:w="5083"/>
            <w:vAlign w:val="center"/>
            <w:shd w:fill="F3F6FA"/>
          </w:tcPr>
          <w:p>
            <w:r/>
            <w:r>
              <w:rPr>
                <w:rFonts w:ascii="Aptos" w:hAnsi="Aptos"/>
                <w:b w:val="0"/>
                <w:sz w:val="16"/>
              </w:rPr>
              <w:t>Commercial terms</w:t>
            </w:r>
          </w:p>
        </w:tc>
        <w:tc>
          <w:tcPr>
            <w:tcW w:type="dxa" w:w="5083"/>
            <w:vAlign w:val="center"/>
            <w:shd w:fill="F3F6FA"/>
          </w:tcPr>
          <w:p>
            <w:r/>
            <w:r>
              <w:rPr>
                <w:rFonts w:ascii="Aptos" w:hAnsi="Aptos"/>
                <w:b w:val="0"/>
                <w:sz w:val="16"/>
              </w:rPr>
              <w:t>Versioned agreement records; access restricted</w:t>
            </w:r>
          </w:p>
        </w:tc>
      </w:tr>
      <w:tr>
        <w:tc>
          <w:tcPr>
            <w:tcW w:type="dxa" w:w="5083"/>
            <w:vAlign w:val="center"/>
          </w:tcPr>
          <w:p>
            <w:r/>
            <w:r>
              <w:rPr>
                <w:rFonts w:ascii="Aptos" w:hAnsi="Aptos"/>
                <w:b w:val="0"/>
                <w:sz w:val="16"/>
              </w:rPr>
              <w:t>Sourcing sequence</w:t>
            </w:r>
          </w:p>
        </w:tc>
        <w:tc>
          <w:tcPr>
            <w:tcW w:type="dxa" w:w="5083"/>
            <w:vAlign w:val="center"/>
          </w:tcPr>
          <w:p>
            <w:r/>
            <w:r>
              <w:rPr>
                <w:rFonts w:ascii="Aptos" w:hAnsi="Aptos"/>
                <w:b w:val="0"/>
                <w:sz w:val="16"/>
              </w:rPr>
              <w:t>Configurable SourcingPolicy</w:t>
            </w:r>
          </w:p>
        </w:tc>
      </w:tr>
      <w:tr>
        <w:tc>
          <w:tcPr>
            <w:tcW w:type="dxa" w:w="5083"/>
            <w:vAlign w:val="center"/>
            <w:shd w:fill="F3F6FA"/>
          </w:tcPr>
          <w:p>
            <w:r/>
            <w:r>
              <w:rPr>
                <w:rFonts w:ascii="Aptos" w:hAnsi="Aptos"/>
                <w:b w:val="0"/>
                <w:sz w:val="16"/>
              </w:rPr>
              <w:t>Protected period</w:t>
            </w:r>
          </w:p>
        </w:tc>
        <w:tc>
          <w:tcPr>
            <w:tcW w:type="dxa" w:w="5083"/>
            <w:vAlign w:val="center"/>
            <w:shd w:fill="F3F6FA"/>
          </w:tcPr>
          <w:p>
            <w:r/>
            <w:r>
              <w:rPr>
                <w:rFonts w:ascii="Aptos" w:hAnsi="Aptos"/>
                <w:b w:val="0"/>
                <w:sz w:val="16"/>
              </w:rPr>
              <w:t>Configured from confirmed procurement rule, not assumed</w:t>
            </w:r>
          </w:p>
        </w:tc>
      </w:tr>
      <w:tr>
        <w:tc>
          <w:tcPr>
            <w:tcW w:type="dxa" w:w="5083"/>
            <w:vAlign w:val="center"/>
          </w:tcPr>
          <w:p>
            <w:r/>
            <w:r>
              <w:rPr>
                <w:rFonts w:ascii="Aptos" w:hAnsi="Aptos"/>
                <w:b w:val="0"/>
                <w:sz w:val="16"/>
              </w:rPr>
              <w:t>Proposal</w:t>
            </w:r>
          </w:p>
        </w:tc>
        <w:tc>
          <w:tcPr>
            <w:tcW w:type="dxa" w:w="5083"/>
            <w:vAlign w:val="center"/>
          </w:tcPr>
          <w:p>
            <w:r/>
            <w:r>
              <w:rPr>
                <w:rFonts w:ascii="Aptos" w:hAnsi="Aptos"/>
                <w:b w:val="0"/>
                <w:sz w:val="16"/>
              </w:rPr>
              <w:t>Agency proposes represented doctor and applicable quote/terms</w:t>
            </w:r>
          </w:p>
        </w:tc>
      </w:tr>
      <w:tr>
        <w:tc>
          <w:tcPr>
            <w:tcW w:type="dxa" w:w="5083"/>
            <w:vAlign w:val="center"/>
            <w:shd w:fill="F3F6FA"/>
          </w:tcPr>
          <w:p>
            <w:r/>
            <w:r>
              <w:rPr>
                <w:rFonts w:ascii="Aptos" w:hAnsi="Aptos"/>
                <w:b w:val="0"/>
                <w:sz w:val="16"/>
              </w:rPr>
              <w:t>Eligibility</w:t>
            </w:r>
          </w:p>
        </w:tc>
        <w:tc>
          <w:tcPr>
            <w:tcW w:type="dxa" w:w="5083"/>
            <w:vAlign w:val="center"/>
            <w:shd w:fill="F3F6FA"/>
          </w:tcPr>
          <w:p>
            <w:r/>
            <w:r>
              <w:rPr>
                <w:rFonts w:ascii="Aptos" w:hAnsi="Aptos"/>
                <w:b w:val="0"/>
                <w:sz w:val="16"/>
              </w:rPr>
              <w:t>YNLHN credential/scope checked before booking</w:t>
            </w:r>
          </w:p>
        </w:tc>
      </w:tr>
      <w:tr>
        <w:tc>
          <w:tcPr>
            <w:tcW w:type="dxa" w:w="5083"/>
            <w:vAlign w:val="center"/>
          </w:tcPr>
          <w:p>
            <w:r/>
            <w:r>
              <w:rPr>
                <w:rFonts w:ascii="Aptos" w:hAnsi="Aptos"/>
                <w:b w:val="0"/>
                <w:sz w:val="16"/>
              </w:rPr>
              <w:t>Exception</w:t>
            </w:r>
          </w:p>
        </w:tc>
        <w:tc>
          <w:tcPr>
            <w:tcW w:type="dxa" w:w="5083"/>
            <w:vAlign w:val="center"/>
          </w:tcPr>
          <w:p>
            <w:r/>
            <w:r>
              <w:rPr>
                <w:rFonts w:ascii="Aptos" w:hAnsi="Aptos"/>
                <w:b w:val="0"/>
                <w:sz w:val="16"/>
              </w:rPr>
              <w:t>Authorised override/exemption with reason and approver</w:t>
            </w:r>
          </w:p>
        </w:tc>
      </w:tr>
      <w:tr>
        <w:tc>
          <w:tcPr>
            <w:tcW w:type="dxa" w:w="5083"/>
            <w:vAlign w:val="center"/>
            <w:shd w:fill="F3F6FA"/>
          </w:tcPr>
          <w:p>
            <w:r/>
            <w:r>
              <w:rPr>
                <w:rFonts w:ascii="Aptos" w:hAnsi="Aptos"/>
                <w:b w:val="0"/>
                <w:sz w:val="16"/>
              </w:rPr>
              <w:t>Audit</w:t>
            </w:r>
          </w:p>
        </w:tc>
        <w:tc>
          <w:tcPr>
            <w:tcW w:type="dxa" w:w="5083"/>
            <w:vAlign w:val="center"/>
            <w:shd w:fill="F3F6FA"/>
          </w:tcPr>
          <w:p>
            <w:r/>
            <w:r>
              <w:rPr>
                <w:rFonts w:ascii="Aptos" w:hAnsi="Aptos"/>
                <w:b w:val="0"/>
                <w:sz w:val="16"/>
              </w:rPr>
              <w:t>Vacancy-level record of each sourcing step</w:t>
            </w:r>
          </w:p>
        </w:tc>
      </w:tr>
    </w:tbl>
    <w:p/>
    <w:p>
      <w:pPr>
        <w:pStyle w:val="Heading1"/>
      </w:pPr>
      <w:r>
        <w:t>15. Timesheet implementation</w:t>
      </w:r>
    </w:p>
    <w:p>
      <w:pPr>
        <w:pStyle w:val="ListBullet"/>
      </w:pPr>
      <w:r>
        <w:t>Pre-populate booked shift times.</w:t>
      </w:r>
    </w:p>
    <w:p>
      <w:pPr>
        <w:pStyle w:val="ListBullet"/>
      </w:pPr>
      <w:r>
        <w:t>Doctor records actual start/finish and required break/allowance fields.</w:t>
      </w:r>
    </w:p>
    <w:p>
      <w:pPr>
        <w:pStyle w:val="ListBullet"/>
      </w:pPr>
      <w:r>
        <w:t>Approver is selected from known list or nominated under controlled rules.</w:t>
      </w:r>
    </w:p>
    <w:p>
      <w:pPr>
        <w:pStyle w:val="ListBullet"/>
      </w:pPr>
      <w:r>
        <w:t>Approver receives expiring limited-purpose link.</w:t>
      </w:r>
    </w:p>
    <w:p>
      <w:pPr>
        <w:pStyle w:val="ListBullet"/>
      </w:pPr>
      <w:r>
        <w:t>OTP or equivalent identity assurance applied according to security design.</w:t>
      </w:r>
    </w:p>
    <w:p>
      <w:pPr>
        <w:pStyle w:val="ListBullet"/>
      </w:pPr>
      <w:r>
        <w:t>Approver can approve, amend or reject with reason.</w:t>
      </w:r>
    </w:p>
    <w:p>
      <w:pPr>
        <w:pStyle w:val="ListBullet"/>
      </w:pPr>
      <w:r>
        <w:t>Every version is retained.</w:t>
      </w:r>
    </w:p>
    <w:p>
      <w:pPr>
        <w:pStyle w:val="ListBullet"/>
      </w:pPr>
      <w:r>
        <w:t>Approved data are exported/reconciled through the existing finance/agency process.</w:t>
      </w:r>
    </w:p>
    <w:p>
      <w:pPr>
        <w:pStyle w:val="ListBullet"/>
      </w:pPr>
      <w:r>
        <w:t>Measure submission-to-approval time and amendment rate.</w:t>
      </w:r>
    </w:p>
    <w:p>
      <w:pPr>
        <w:pStyle w:val="Heading1"/>
      </w:pPr>
      <w:r>
        <w:t>16. Technical delivery and environments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Environment</w:t>
            </w:r>
          </w:p>
        </w:tc>
        <w:tc>
          <w:tcPr>
            <w:tcW w:type="dxa" w:w="3389"/>
            <w:vAlign w:val="center"/>
            <w:shd w:fill="17365D"/>
          </w:tcPr>
          <w:p>
            <w:r/>
            <w:r>
              <w:rPr>
                <w:rFonts w:ascii="Aptos" w:hAnsi="Aptos"/>
                <w:b/>
                <w:color w:val="FFFFFF"/>
                <w:sz w:val="16"/>
              </w:rPr>
              <w:t>Purpose</w:t>
            </w:r>
          </w:p>
        </w:tc>
        <w:tc>
          <w:tcPr>
            <w:tcW w:type="dxa" w:w="3389"/>
            <w:vAlign w:val="center"/>
            <w:shd w:fill="17365D"/>
          </w:tcPr>
          <w:p>
            <w:r/>
            <w:r>
              <w:rPr>
                <w:rFonts w:ascii="Aptos" w:hAnsi="Aptos"/>
                <w:b/>
                <w:color w:val="FFFFFF"/>
                <w:sz w:val="16"/>
              </w:rPr>
              <w:t>Data</w:t>
            </w:r>
          </w:p>
        </w:tc>
      </w:tr>
      <w:tr>
        <w:tc>
          <w:tcPr>
            <w:tcW w:type="dxa" w:w="3389"/>
            <w:vAlign w:val="center"/>
          </w:tcPr>
          <w:p>
            <w:r/>
            <w:r>
              <w:rPr>
                <w:rFonts w:ascii="Aptos" w:hAnsi="Aptos"/>
                <w:b w:val="0"/>
                <w:sz w:val="16"/>
              </w:rPr>
              <w:t>Development</w:t>
            </w:r>
          </w:p>
        </w:tc>
        <w:tc>
          <w:tcPr>
            <w:tcW w:type="dxa" w:w="3389"/>
            <w:vAlign w:val="center"/>
          </w:tcPr>
          <w:p>
            <w:r/>
            <w:r>
              <w:rPr>
                <w:rFonts w:ascii="Aptos" w:hAnsi="Aptos"/>
                <w:b w:val="0"/>
                <w:sz w:val="16"/>
              </w:rPr>
              <w:t>Engineering and automated tests</w:t>
            </w:r>
          </w:p>
        </w:tc>
        <w:tc>
          <w:tcPr>
            <w:tcW w:type="dxa" w:w="3389"/>
            <w:vAlign w:val="center"/>
          </w:tcPr>
          <w:p>
            <w:r/>
            <w:r>
              <w:rPr>
                <w:rFonts w:ascii="Aptos" w:hAnsi="Aptos"/>
                <w:b w:val="0"/>
                <w:sz w:val="16"/>
              </w:rPr>
              <w:t>Synthetic only</w:t>
            </w:r>
          </w:p>
        </w:tc>
      </w:tr>
      <w:tr>
        <w:tc>
          <w:tcPr>
            <w:tcW w:type="dxa" w:w="3389"/>
            <w:vAlign w:val="center"/>
            <w:shd w:fill="F3F6FA"/>
          </w:tcPr>
          <w:p>
            <w:r/>
            <w:r>
              <w:rPr>
                <w:rFonts w:ascii="Aptos" w:hAnsi="Aptos"/>
                <w:b w:val="0"/>
                <w:sz w:val="16"/>
              </w:rPr>
              <w:t>Test/UAT</w:t>
            </w:r>
          </w:p>
        </w:tc>
        <w:tc>
          <w:tcPr>
            <w:tcW w:type="dxa" w:w="3389"/>
            <w:vAlign w:val="center"/>
            <w:shd w:fill="F3F6FA"/>
          </w:tcPr>
          <w:p>
            <w:r/>
            <w:r>
              <w:rPr>
                <w:rFonts w:ascii="Aptos" w:hAnsi="Aptos"/>
                <w:b w:val="0"/>
                <w:sz w:val="16"/>
              </w:rPr>
              <w:t>Workflow, integration and user acceptance</w:t>
            </w:r>
          </w:p>
        </w:tc>
        <w:tc>
          <w:tcPr>
            <w:tcW w:type="dxa" w:w="3389"/>
            <w:vAlign w:val="center"/>
            <w:shd w:fill="F3F6FA"/>
          </w:tcPr>
          <w:p>
            <w:r/>
            <w:r>
              <w:rPr>
                <w:rFonts w:ascii="Aptos" w:hAnsi="Aptos"/>
                <w:b w:val="0"/>
                <w:sz w:val="16"/>
              </w:rPr>
              <w:t>Synthetic/de-identified where possible</w:t>
            </w:r>
          </w:p>
        </w:tc>
      </w:tr>
      <w:tr>
        <w:tc>
          <w:tcPr>
            <w:tcW w:type="dxa" w:w="3389"/>
            <w:vAlign w:val="center"/>
          </w:tcPr>
          <w:p>
            <w:r/>
            <w:r>
              <w:rPr>
                <w:rFonts w:ascii="Aptos" w:hAnsi="Aptos"/>
                <w:b w:val="0"/>
                <w:sz w:val="16"/>
              </w:rPr>
              <w:t>Pilot production</w:t>
            </w:r>
          </w:p>
        </w:tc>
        <w:tc>
          <w:tcPr>
            <w:tcW w:type="dxa" w:w="3389"/>
            <w:vAlign w:val="center"/>
          </w:tcPr>
          <w:p>
            <w:r/>
            <w:r>
              <w:rPr>
                <w:rFonts w:ascii="Aptos" w:hAnsi="Aptos"/>
                <w:b w:val="0"/>
                <w:sz w:val="16"/>
              </w:rPr>
              <w:t>Controlled real users and records</w:t>
            </w:r>
          </w:p>
        </w:tc>
        <w:tc>
          <w:tcPr>
            <w:tcW w:type="dxa" w:w="3389"/>
            <w:vAlign w:val="center"/>
          </w:tcPr>
          <w:p>
            <w:r/>
            <w:r>
              <w:rPr>
                <w:rFonts w:ascii="Aptos" w:hAnsi="Aptos"/>
                <w:b w:val="0"/>
                <w:sz w:val="16"/>
              </w:rPr>
              <w:t>Approved production data with full controls</w:t>
            </w:r>
          </w:p>
        </w:tc>
      </w:tr>
    </w:tbl>
    <w:p/>
    <w:p>
      <w:pPr>
        <w:pStyle w:val="ListBullet"/>
      </w:pPr>
      <w:r>
        <w:t>Responsive web/PWA is preferred for pilot speed unless user research identifies a critical native-app requirement.</w:t>
      </w:r>
    </w:p>
    <w:p>
      <w:pPr>
        <w:pStyle w:val="ListBullet"/>
      </w:pPr>
      <w:r>
        <w:t>MFA for authenticated users and enterprise federation where appropriate.</w:t>
      </w:r>
    </w:p>
    <w:p>
      <w:pPr>
        <w:pStyle w:val="ListBullet"/>
      </w:pPr>
      <w:r>
        <w:t>Role-based permissions with separate access to credential evidence, commercial data and confidential feedback.</w:t>
      </w:r>
    </w:p>
    <w:p>
      <w:pPr>
        <w:pStyle w:val="ListBullet"/>
      </w:pPr>
      <w:r>
        <w:t>Encryption in transit and at rest.</w:t>
      </w:r>
    </w:p>
    <w:p>
      <w:pPr>
        <w:pStyle w:val="ListBullet"/>
      </w:pPr>
      <w:r>
        <w:t>Comprehensive audit events.</w:t>
      </w:r>
    </w:p>
    <w:p>
      <w:pPr>
        <w:pStyle w:val="ListBullet"/>
      </w:pPr>
      <w:r>
        <w:t>Backup, recovery, monitoring and support arrangements defined before production.</w:t>
      </w:r>
    </w:p>
    <w:p>
      <w:pPr>
        <w:pStyle w:val="ListBullet"/>
      </w:pPr>
      <w:r>
        <w:t>No production data used in development environments.</w:t>
      </w:r>
    </w:p>
    <w:p>
      <w:pPr>
        <w:pStyle w:val="ListBullet"/>
      </w:pPr>
      <w:r>
        <w:t>Penetration/security testing proportionate to information classification before pilot production.</w:t>
      </w:r>
    </w:p>
    <w:p>
      <w:pPr>
        <w:pStyle w:val="Heading1"/>
      </w:pPr>
      <w:r>
        <w:t>17. Privacy, legal and information governance gates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Gate</w:t>
            </w:r>
          </w:p>
        </w:tc>
        <w:tc>
          <w:tcPr>
            <w:tcW w:type="dxa" w:w="5083"/>
            <w:vAlign w:val="center"/>
            <w:shd w:fill="17365D"/>
          </w:tcPr>
          <w:p>
            <w:r/>
            <w:r>
              <w:rPr>
                <w:rFonts w:ascii="Aptos" w:hAnsi="Aptos"/>
                <w:b/>
                <w:color w:val="FFFFFF"/>
                <w:sz w:val="16"/>
              </w:rPr>
              <w:t>Required evidence before production</w:t>
            </w:r>
          </w:p>
        </w:tc>
      </w:tr>
      <w:tr>
        <w:tc>
          <w:tcPr>
            <w:tcW w:type="dxa" w:w="5083"/>
            <w:vAlign w:val="center"/>
          </w:tcPr>
          <w:p>
            <w:r/>
            <w:r>
              <w:rPr>
                <w:rFonts w:ascii="Aptos" w:hAnsi="Aptos"/>
                <w:b w:val="0"/>
                <w:sz w:val="16"/>
              </w:rPr>
              <w:t>Privacy</w:t>
            </w:r>
          </w:p>
        </w:tc>
        <w:tc>
          <w:tcPr>
            <w:tcW w:type="dxa" w:w="5083"/>
            <w:vAlign w:val="center"/>
          </w:tcPr>
          <w:p>
            <w:r/>
            <w:r>
              <w:rPr>
                <w:rFonts w:ascii="Aptos" w:hAnsi="Aptos"/>
                <w:b w:val="0"/>
                <w:sz w:val="16"/>
              </w:rPr>
              <w:t>PIA completed/accepted; sharing consent and feedback confidentiality model approved</w:t>
            </w:r>
          </w:p>
        </w:tc>
      </w:tr>
      <w:tr>
        <w:tc>
          <w:tcPr>
            <w:tcW w:type="dxa" w:w="5083"/>
            <w:vAlign w:val="center"/>
            <w:shd w:fill="F3F6FA"/>
          </w:tcPr>
          <w:p>
            <w:r/>
            <w:r>
              <w:rPr>
                <w:rFonts w:ascii="Aptos" w:hAnsi="Aptos"/>
                <w:b w:val="0"/>
                <w:sz w:val="16"/>
              </w:rPr>
              <w:t>Information classification</w:t>
            </w:r>
          </w:p>
        </w:tc>
        <w:tc>
          <w:tcPr>
            <w:tcW w:type="dxa" w:w="5083"/>
            <w:vAlign w:val="center"/>
            <w:shd w:fill="F3F6FA"/>
          </w:tcPr>
          <w:p>
            <w:r/>
            <w:r>
              <w:rPr>
                <w:rFonts w:ascii="Aptos" w:hAnsi="Aptos"/>
                <w:b w:val="0"/>
                <w:sz w:val="16"/>
              </w:rPr>
              <w:t>Credential, identity and survey data classified; storage/access requirements confirmed</w:t>
            </w:r>
          </w:p>
        </w:tc>
      </w:tr>
      <w:tr>
        <w:tc>
          <w:tcPr>
            <w:tcW w:type="dxa" w:w="5083"/>
            <w:vAlign w:val="center"/>
          </w:tcPr>
          <w:p>
            <w:r/>
            <w:r>
              <w:rPr>
                <w:rFonts w:ascii="Aptos" w:hAnsi="Aptos"/>
                <w:b w:val="0"/>
                <w:sz w:val="16"/>
              </w:rPr>
              <w:t>Legal/terms</w:t>
            </w:r>
          </w:p>
        </w:tc>
        <w:tc>
          <w:tcPr>
            <w:tcW w:type="dxa" w:w="5083"/>
            <w:vAlign w:val="center"/>
          </w:tcPr>
          <w:p>
            <w:r/>
            <w:r>
              <w:rPr>
                <w:rFonts w:ascii="Aptos" w:hAnsi="Aptos"/>
                <w:b w:val="0"/>
                <w:sz w:val="16"/>
              </w:rPr>
              <w:t>Doctor terms, agency terms, external share recipient notice and liability boundaries reviewed</w:t>
            </w:r>
          </w:p>
        </w:tc>
      </w:tr>
      <w:tr>
        <w:tc>
          <w:tcPr>
            <w:tcW w:type="dxa" w:w="5083"/>
            <w:vAlign w:val="center"/>
            <w:shd w:fill="F3F6FA"/>
          </w:tcPr>
          <w:p>
            <w:r/>
            <w:r>
              <w:rPr>
                <w:rFonts w:ascii="Aptos" w:hAnsi="Aptos"/>
                <w:b w:val="0"/>
                <w:sz w:val="16"/>
              </w:rPr>
              <w:t>Records management</w:t>
            </w:r>
          </w:p>
        </w:tc>
        <w:tc>
          <w:tcPr>
            <w:tcW w:type="dxa" w:w="5083"/>
            <w:vAlign w:val="center"/>
            <w:shd w:fill="F3F6FA"/>
          </w:tcPr>
          <w:p>
            <w:r/>
            <w:r>
              <w:rPr>
                <w:rFonts w:ascii="Aptos" w:hAnsi="Aptos"/>
                <w:b w:val="0"/>
                <w:sz w:val="16"/>
              </w:rPr>
              <w:t>Retention, disposal, audit and access-log requirements defined</w:t>
            </w:r>
          </w:p>
        </w:tc>
      </w:tr>
      <w:tr>
        <w:tc>
          <w:tcPr>
            <w:tcW w:type="dxa" w:w="5083"/>
            <w:vAlign w:val="center"/>
          </w:tcPr>
          <w:p>
            <w:r/>
            <w:r>
              <w:rPr>
                <w:rFonts w:ascii="Aptos" w:hAnsi="Aptos"/>
                <w:b w:val="0"/>
                <w:sz w:val="16"/>
              </w:rPr>
              <w:t>Data ownership/stewardship</w:t>
            </w:r>
          </w:p>
        </w:tc>
        <w:tc>
          <w:tcPr>
            <w:tcW w:type="dxa" w:w="5083"/>
            <w:vAlign w:val="center"/>
          </w:tcPr>
          <w:p>
            <w:r/>
            <w:r>
              <w:rPr>
                <w:rFonts w:ascii="Aptos" w:hAnsi="Aptos"/>
                <w:b w:val="0"/>
                <w:sz w:val="16"/>
              </w:rPr>
              <w:t>Practitioner portfolio ownership/rights and YNLHN organisational records clearly separated</w:t>
            </w:r>
          </w:p>
        </w:tc>
      </w:tr>
      <w:tr>
        <w:tc>
          <w:tcPr>
            <w:tcW w:type="dxa" w:w="5083"/>
            <w:vAlign w:val="center"/>
            <w:shd w:fill="F3F6FA"/>
          </w:tcPr>
          <w:p>
            <w:r/>
            <w:r>
              <w:rPr>
                <w:rFonts w:ascii="Aptos" w:hAnsi="Aptos"/>
                <w:b w:val="0"/>
                <w:sz w:val="16"/>
              </w:rPr>
              <w:t>Cross-organisation sharing</w:t>
            </w:r>
          </w:p>
        </w:tc>
        <w:tc>
          <w:tcPr>
            <w:tcW w:type="dxa" w:w="5083"/>
            <w:vAlign w:val="center"/>
            <w:shd w:fill="F3F6FA"/>
          </w:tcPr>
          <w:p>
            <w:r/>
            <w:r>
              <w:rPr>
                <w:rFonts w:ascii="Aptos" w:hAnsi="Aptos"/>
                <w:b w:val="0"/>
                <w:sz w:val="16"/>
              </w:rPr>
              <w:t>No multi-LHN sharing until lawful basis, consent and governance are defined</w:t>
            </w:r>
          </w:p>
        </w:tc>
      </w:tr>
    </w:tbl>
    <w:p/>
    <w:p>
      <w:pPr>
        <w:pStyle w:val="Heading1"/>
      </w:pPr>
      <w:r>
        <w:t>18. Clinical safety and credentialling gates</w:t>
      </w:r>
    </w:p>
    <w:p>
      <w:pPr>
        <w:pStyle w:val="ListBullet"/>
      </w:pPr>
      <w:r>
        <w:t>Pilot eligibility uses existing YNLHN scope records.</w:t>
      </w:r>
    </w:p>
    <w:p>
      <w:pPr>
        <w:pStyle w:val="ListBullet"/>
      </w:pPr>
      <w:r>
        <w:t>Role/site mappings are validated by Credentialling and Medical Workforce before release.</w:t>
      </w:r>
    </w:p>
    <w:p>
      <w:pPr>
        <w:pStyle w:val="ListBullet"/>
      </w:pPr>
      <w:r>
        <w:t>Expired or withdrawn scope blocks new booking.</w:t>
      </w:r>
    </w:p>
    <w:p>
      <w:pPr>
        <w:pStyle w:val="ListBullet"/>
      </w:pPr>
      <w:r>
        <w:t>Credential Wallet status cannot override YNLHN scope.</w:t>
      </w:r>
    </w:p>
    <w:p>
      <w:pPr>
        <w:pStyle w:val="ListBullet"/>
      </w:pPr>
      <w:r>
        <w:t>Any future automated eligibility rule must be explainable and validated before use.</w:t>
      </w:r>
    </w:p>
    <w:p>
      <w:pPr>
        <w:pStyle w:val="ListBullet"/>
      </w:pPr>
      <w:r>
        <w:t>Temporary credentialling is outside initial pilot unless separately approved.</w:t>
      </w:r>
    </w:p>
    <w:p>
      <w:pPr>
        <w:pStyle w:val="ListBullet"/>
      </w:pPr>
      <w:r>
        <w:t>Clinical safety hazards and mitigations are maintained in a pilot hazard log.</w:t>
      </w:r>
    </w:p>
    <w:p>
      <w:pPr>
        <w:pStyle w:val="Heading1"/>
      </w:pPr>
      <w:r>
        <w:t>19. Change and communication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Audience</w:t>
            </w:r>
          </w:p>
        </w:tc>
        <w:tc>
          <w:tcPr>
            <w:tcW w:type="dxa" w:w="3389"/>
            <w:vAlign w:val="center"/>
            <w:shd w:fill="17365D"/>
          </w:tcPr>
          <w:p>
            <w:r/>
            <w:r>
              <w:rPr>
                <w:rFonts w:ascii="Aptos" w:hAnsi="Aptos"/>
                <w:b/>
                <w:color w:val="FFFFFF"/>
                <w:sz w:val="16"/>
              </w:rPr>
              <w:t>Core message</w:t>
            </w:r>
          </w:p>
        </w:tc>
        <w:tc>
          <w:tcPr>
            <w:tcW w:type="dxa" w:w="3389"/>
            <w:vAlign w:val="center"/>
            <w:shd w:fill="17365D"/>
          </w:tcPr>
          <w:p>
            <w:r/>
            <w:r>
              <w:rPr>
                <w:rFonts w:ascii="Aptos" w:hAnsi="Aptos"/>
                <w:b/>
                <w:color w:val="FFFFFF"/>
                <w:sz w:val="16"/>
              </w:rPr>
              <w:t>Channel</w:t>
            </w:r>
          </w:p>
        </w:tc>
      </w:tr>
      <w:tr>
        <w:tc>
          <w:tcPr>
            <w:tcW w:type="dxa" w:w="3389"/>
            <w:vAlign w:val="center"/>
          </w:tcPr>
          <w:p>
            <w:r/>
            <w:r>
              <w:rPr>
                <w:rFonts w:ascii="Aptos" w:hAnsi="Aptos"/>
                <w:b w:val="0"/>
                <w:sz w:val="16"/>
              </w:rPr>
              <w:t>Doctors</w:t>
            </w:r>
          </w:p>
        </w:tc>
        <w:tc>
          <w:tcPr>
            <w:tcW w:type="dxa" w:w="3389"/>
            <w:vAlign w:val="center"/>
          </w:tcPr>
          <w:p>
            <w:r/>
            <w:r>
              <w:rPr>
                <w:rFonts w:ascii="Aptos" w:hAnsi="Aptos"/>
                <w:b w:val="0"/>
                <w:sz w:val="16"/>
              </w:rPr>
              <w:t>Free credential wallet; easier sharing; simpler YNLHN shifts/timesheets; confidential voice</w:t>
            </w:r>
          </w:p>
        </w:tc>
        <w:tc>
          <w:tcPr>
            <w:tcW w:type="dxa" w:w="3389"/>
            <w:vAlign w:val="center"/>
          </w:tcPr>
          <w:p>
            <w:r/>
            <w:r>
              <w:rPr>
                <w:rFonts w:ascii="Aptos" w:hAnsi="Aptos"/>
                <w:b w:val="0"/>
                <w:sz w:val="16"/>
              </w:rPr>
              <w:t>Direct invitation, short video/demo, FAQ, locum champions</w:t>
            </w:r>
          </w:p>
        </w:tc>
      </w:tr>
      <w:tr>
        <w:tc>
          <w:tcPr>
            <w:tcW w:type="dxa" w:w="3389"/>
            <w:vAlign w:val="center"/>
            <w:shd w:fill="F3F6FA"/>
          </w:tcPr>
          <w:p>
            <w:r/>
            <w:r>
              <w:rPr>
                <w:rFonts w:ascii="Aptos" w:hAnsi="Aptos"/>
                <w:b w:val="0"/>
                <w:sz w:val="16"/>
              </w:rPr>
              <w:t>Medical Workforce</w:t>
            </w:r>
          </w:p>
        </w:tc>
        <w:tc>
          <w:tcPr>
            <w:tcW w:type="dxa" w:w="3389"/>
            <w:vAlign w:val="center"/>
            <w:shd w:fill="F3F6FA"/>
          </w:tcPr>
          <w:p>
            <w:r/>
            <w:r>
              <w:rPr>
                <w:rFonts w:ascii="Aptos" w:hAnsi="Aptos"/>
                <w:b w:val="0"/>
                <w:sz w:val="16"/>
              </w:rPr>
              <w:t>One workflow, less chasing, better visibility and audit</w:t>
            </w:r>
          </w:p>
        </w:tc>
        <w:tc>
          <w:tcPr>
            <w:tcW w:type="dxa" w:w="3389"/>
            <w:vAlign w:val="center"/>
            <w:shd w:fill="F3F6FA"/>
          </w:tcPr>
          <w:p>
            <w:r/>
            <w:r>
              <w:rPr>
                <w:rFonts w:ascii="Aptos" w:hAnsi="Aptos"/>
                <w:b w:val="0"/>
                <w:sz w:val="16"/>
              </w:rPr>
              <w:t>Workshops, UAT, quick-reference guide</w:t>
            </w:r>
          </w:p>
        </w:tc>
      </w:tr>
      <w:tr>
        <w:tc>
          <w:tcPr>
            <w:tcW w:type="dxa" w:w="3389"/>
            <w:vAlign w:val="center"/>
          </w:tcPr>
          <w:p>
            <w:r/>
            <w:r>
              <w:rPr>
                <w:rFonts w:ascii="Aptos" w:hAnsi="Aptos"/>
                <w:b w:val="0"/>
                <w:sz w:val="16"/>
              </w:rPr>
              <w:t>Agencies</w:t>
            </w:r>
          </w:p>
        </w:tc>
        <w:tc>
          <w:tcPr>
            <w:tcW w:type="dxa" w:w="3389"/>
            <w:vAlign w:val="center"/>
          </w:tcPr>
          <w:p>
            <w:r/>
            <w:r>
              <w:rPr>
                <w:rFonts w:ascii="Aptos" w:hAnsi="Aptos"/>
                <w:b w:val="0"/>
                <w:sz w:val="16"/>
              </w:rPr>
              <w:t>Single structured channel supporting existing panel arrangements</w:t>
            </w:r>
          </w:p>
        </w:tc>
        <w:tc>
          <w:tcPr>
            <w:tcW w:type="dxa" w:w="3389"/>
            <w:vAlign w:val="center"/>
          </w:tcPr>
          <w:p>
            <w:r/>
            <w:r>
              <w:rPr>
                <w:rFonts w:ascii="Aptos" w:hAnsi="Aptos"/>
                <w:b w:val="0"/>
                <w:sz w:val="16"/>
              </w:rPr>
              <w:t>Briefing, agency portal guide, support contact</w:t>
            </w:r>
          </w:p>
        </w:tc>
      </w:tr>
      <w:tr>
        <w:tc>
          <w:tcPr>
            <w:tcW w:type="dxa" w:w="3389"/>
            <w:vAlign w:val="center"/>
            <w:shd w:fill="F3F6FA"/>
          </w:tcPr>
          <w:p>
            <w:r/>
            <w:r>
              <w:rPr>
                <w:rFonts w:ascii="Aptos" w:hAnsi="Aptos"/>
                <w:b w:val="0"/>
                <w:sz w:val="16"/>
              </w:rPr>
              <w:t>Approvers</w:t>
            </w:r>
          </w:p>
        </w:tc>
        <w:tc>
          <w:tcPr>
            <w:tcW w:type="dxa" w:w="3389"/>
            <w:vAlign w:val="center"/>
            <w:shd w:fill="F3F6FA"/>
          </w:tcPr>
          <w:p>
            <w:r/>
            <w:r>
              <w:rPr>
                <w:rFonts w:ascii="Aptos" w:hAnsi="Aptos"/>
                <w:b w:val="0"/>
                <w:sz w:val="16"/>
              </w:rPr>
              <w:t>No account required; secure quick approval</w:t>
            </w:r>
          </w:p>
        </w:tc>
        <w:tc>
          <w:tcPr>
            <w:tcW w:type="dxa" w:w="3389"/>
            <w:vAlign w:val="center"/>
            <w:shd w:fill="F3F6FA"/>
          </w:tcPr>
          <w:p>
            <w:r/>
            <w:r>
              <w:rPr>
                <w:rFonts w:ascii="Aptos" w:hAnsi="Aptos"/>
                <w:b w:val="0"/>
                <w:sz w:val="16"/>
              </w:rPr>
              <w:t>Link instructions and FAQ</w:t>
            </w:r>
          </w:p>
        </w:tc>
      </w:tr>
      <w:tr>
        <w:tc>
          <w:tcPr>
            <w:tcW w:type="dxa" w:w="3389"/>
            <w:vAlign w:val="center"/>
          </w:tcPr>
          <w:p>
            <w:r/>
            <w:r>
              <w:rPr>
                <w:rFonts w:ascii="Aptos" w:hAnsi="Aptos"/>
                <w:b w:val="0"/>
                <w:sz w:val="16"/>
              </w:rPr>
              <w:t>Site leaders</w:t>
            </w:r>
          </w:p>
        </w:tc>
        <w:tc>
          <w:tcPr>
            <w:tcW w:type="dxa" w:w="3389"/>
            <w:vAlign w:val="center"/>
          </w:tcPr>
          <w:p>
            <w:r/>
            <w:r>
              <w:rPr>
                <w:rFonts w:ascii="Aptos" w:hAnsi="Aptos"/>
                <w:b w:val="0"/>
                <w:sz w:val="16"/>
              </w:rPr>
              <w:t>Feedback is for improvement and reported in aggregate</w:t>
            </w:r>
          </w:p>
        </w:tc>
        <w:tc>
          <w:tcPr>
            <w:tcW w:type="dxa" w:w="3389"/>
            <w:vAlign w:val="center"/>
          </w:tcPr>
          <w:p>
            <w:r/>
            <w:r>
              <w:rPr>
                <w:rFonts w:ascii="Aptos" w:hAnsi="Aptos"/>
                <w:b w:val="0"/>
                <w:sz w:val="16"/>
              </w:rPr>
              <w:t>Leadership briefing and dashboard guidance</w:t>
            </w:r>
          </w:p>
        </w:tc>
      </w:tr>
      <w:tr>
        <w:tc>
          <w:tcPr>
            <w:tcW w:type="dxa" w:w="3389"/>
            <w:vAlign w:val="center"/>
            <w:shd w:fill="F3F6FA"/>
          </w:tcPr>
          <w:p>
            <w:r/>
            <w:r>
              <w:rPr>
                <w:rFonts w:ascii="Aptos" w:hAnsi="Aptos"/>
                <w:b w:val="0"/>
                <w:sz w:val="16"/>
              </w:rPr>
              <w:t>Credentialling/Procurement/Finance</w:t>
            </w:r>
          </w:p>
        </w:tc>
        <w:tc>
          <w:tcPr>
            <w:tcW w:type="dxa" w:w="3389"/>
            <w:vAlign w:val="center"/>
            <w:shd w:fill="F3F6FA"/>
          </w:tcPr>
          <w:p>
            <w:r/>
            <w:r>
              <w:rPr>
                <w:rFonts w:ascii="Aptos" w:hAnsi="Aptos"/>
                <w:b w:val="0"/>
                <w:sz w:val="16"/>
              </w:rPr>
              <w:t>Existing authority retained; platform improves evidence and workflow</w:t>
            </w:r>
          </w:p>
        </w:tc>
        <w:tc>
          <w:tcPr>
            <w:tcW w:type="dxa" w:w="3389"/>
            <w:vAlign w:val="center"/>
            <w:shd w:fill="F3F6FA"/>
          </w:tcPr>
          <w:p>
            <w:r/>
            <w:r>
              <w:rPr>
                <w:rFonts w:ascii="Aptos" w:hAnsi="Aptos"/>
                <w:b w:val="0"/>
                <w:sz w:val="16"/>
              </w:rPr>
              <w:t>Governance workshops</w:t>
            </w:r>
          </w:p>
        </w:tc>
      </w:tr>
      <w:tr>
        <w:tc>
          <w:tcPr>
            <w:tcW w:type="dxa" w:w="3389"/>
            <w:vAlign w:val="center"/>
          </w:tcPr>
          <w:p>
            <w:r/>
            <w:r>
              <w:rPr>
                <w:rFonts w:ascii="Aptos" w:hAnsi="Aptos"/>
                <w:b w:val="0"/>
                <w:sz w:val="16"/>
              </w:rPr>
              <w:t>Executive</w:t>
            </w:r>
          </w:p>
        </w:tc>
        <w:tc>
          <w:tcPr>
            <w:tcW w:type="dxa" w:w="3389"/>
            <w:vAlign w:val="center"/>
          </w:tcPr>
          <w:p>
            <w:r/>
            <w:r>
              <w:rPr>
                <w:rFonts w:ascii="Aptos" w:hAnsi="Aptos"/>
                <w:b w:val="0"/>
                <w:sz w:val="16"/>
              </w:rPr>
              <w:t>Stage-gated pilot with measurable benefits and controlled risk</w:t>
            </w:r>
          </w:p>
        </w:tc>
        <w:tc>
          <w:tcPr>
            <w:tcW w:type="dxa" w:w="3389"/>
            <w:vAlign w:val="center"/>
          </w:tcPr>
          <w:p>
            <w:r/>
            <w:r>
              <w:rPr>
                <w:rFonts w:ascii="Aptos" w:hAnsi="Aptos"/>
                <w:b w:val="0"/>
                <w:sz w:val="16"/>
              </w:rPr>
              <w:t>Monthly dashboard and gate papers</w:t>
            </w:r>
          </w:p>
        </w:tc>
      </w:tr>
    </w:tbl>
    <w:p/>
    <w:p>
      <w:pPr>
        <w:pStyle w:val="Heading1"/>
      </w:pPr>
      <w:r>
        <w:t>20. Training and support</w:t>
      </w:r>
    </w:p>
    <w:p>
      <w:pPr>
        <w:pStyle w:val="ListBullet"/>
      </w:pPr>
      <w:r>
        <w:t>Doctor onboarding should require no formal training; provide contextual help and a 2-minute quick-start.</w:t>
      </w:r>
    </w:p>
    <w:p>
      <w:pPr>
        <w:pStyle w:val="ListBullet"/>
      </w:pPr>
      <w:r>
        <w:t>Medical Workforce and agency users receive role-specific training before UAT.</w:t>
      </w:r>
    </w:p>
    <w:p>
      <w:pPr>
        <w:pStyle w:val="ListBullet"/>
      </w:pPr>
      <w:r>
        <w:t>Credentialling users receive assurance-status and verification training.</w:t>
      </w:r>
    </w:p>
    <w:p>
      <w:pPr>
        <w:pStyle w:val="ListBullet"/>
      </w:pPr>
      <w:r>
        <w:t>Approvers receive instructions within the approval link.</w:t>
      </w:r>
    </w:p>
    <w:p>
      <w:pPr>
        <w:pStyle w:val="ListBullet"/>
      </w:pPr>
      <w:r>
        <w:t>Pilot support channel and incident triage process are defined before go-live.</w:t>
      </w:r>
    </w:p>
    <w:p>
      <w:pPr>
        <w:pStyle w:val="ListBullet"/>
      </w:pPr>
      <w:r>
        <w:t>Frequently asked questions and known issues are maintained during pilot.</w:t>
      </w:r>
    </w:p>
    <w:p>
      <w:pPr>
        <w:pStyle w:val="Heading1"/>
      </w:pPr>
      <w:r>
        <w:t>21. Evaluation design</w:t>
      </w:r>
    </w:p>
    <w:p>
      <w:r>
        <w:t>Use a mixed-methods service evaluation with pre-pilot baseline, prospective process/outcome measures and qualitative feedback. Where possible, compare selected pilot sites/roles with their own pre-implementation performance. A formal controlled research design is not required for operational evaluation, but any intention to publish generalisable research should undergo appropriate governance/ethics review.</w:t>
      </w:r>
    </w:p>
    <w:p>
      <w:pPr>
        <w:pStyle w:val="Heading2"/>
      </w:pPr>
      <w:r>
        <w:t>21.1 Evaluation questions</w:t>
      </w:r>
    </w:p>
    <w:p>
      <w:pPr>
        <w:pStyle w:val="ListBullet"/>
      </w:pPr>
      <w:r>
        <w:t>Do doctors find the Credential Wallet useful enough to maintain and reuse?</w:t>
      </w:r>
    </w:p>
    <w:p>
      <w:pPr>
        <w:pStyle w:val="ListBullet"/>
      </w:pPr>
      <w:r>
        <w:t>Does the platform improve the completeness/currency of credential evidence available to YNLHN?</w:t>
      </w:r>
    </w:p>
    <w:p>
      <w:pPr>
        <w:pStyle w:val="ListBullet"/>
      </w:pPr>
      <w:r>
        <w:t>Does locum feedback identify actionable site-level improvement opportunities?</w:t>
      </w:r>
    </w:p>
    <w:p>
      <w:pPr>
        <w:pStyle w:val="ListBullet"/>
      </w:pPr>
      <w:r>
        <w:t>Does vacancy advertising become faster and less administratively intensive?</w:t>
      </w:r>
    </w:p>
    <w:p>
      <w:pPr>
        <w:pStyle w:val="ListBullet"/>
      </w:pPr>
      <w:r>
        <w:t>Is the agency-first sourcing cascade followed reliably?</w:t>
      </w:r>
    </w:p>
    <w:p>
      <w:pPr>
        <w:pStyle w:val="ListBullet"/>
      </w:pPr>
      <w:r>
        <w:t>Can YNLHN measure agency response, fill, cancellation and commercial cost accurately?</w:t>
      </w:r>
    </w:p>
    <w:p>
      <w:pPr>
        <w:pStyle w:val="ListBullet"/>
      </w:pPr>
      <w:r>
        <w:t>Do digital timesheets reduce approval delay and follow-up?</w:t>
      </w:r>
    </w:p>
    <w:p>
      <w:pPr>
        <w:pStyle w:val="ListBullet"/>
      </w:pPr>
      <w:r>
        <w:t>Does locum return improve, and which experience factors are associated with return?</w:t>
      </w:r>
    </w:p>
    <w:p>
      <w:pPr>
        <w:pStyle w:val="ListBullet"/>
      </w:pPr>
      <w:r>
        <w:t>Are there unintended consequences, inequities or safety concerns?</w:t>
      </w:r>
    </w:p>
    <w:p>
      <w:pPr>
        <w:pStyle w:val="Heading2"/>
      </w:pPr>
      <w:r>
        <w:t>21.2 Measures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Domain</w:t>
            </w:r>
          </w:p>
        </w:tc>
        <w:tc>
          <w:tcPr>
            <w:tcW w:type="dxa" w:w="3389"/>
            <w:vAlign w:val="center"/>
            <w:shd w:fill="17365D"/>
          </w:tcPr>
          <w:p>
            <w:r/>
            <w:r>
              <w:rPr>
                <w:rFonts w:ascii="Aptos" w:hAnsi="Aptos"/>
                <w:b/>
                <w:color w:val="FFFFFF"/>
                <w:sz w:val="16"/>
              </w:rPr>
              <w:t>Measures</w:t>
            </w:r>
          </w:p>
        </w:tc>
        <w:tc>
          <w:tcPr>
            <w:tcW w:type="dxa" w:w="3389"/>
            <w:vAlign w:val="center"/>
            <w:shd w:fill="17365D"/>
          </w:tcPr>
          <w:p>
            <w:r/>
            <w:r>
              <w:rPr>
                <w:rFonts w:ascii="Aptos" w:hAnsi="Aptos"/>
                <w:b/>
                <w:color w:val="FFFFFF"/>
                <w:sz w:val="16"/>
              </w:rPr>
              <w:t>Source</w:t>
            </w:r>
          </w:p>
        </w:tc>
      </w:tr>
      <w:tr>
        <w:tc>
          <w:tcPr>
            <w:tcW w:type="dxa" w:w="3389"/>
            <w:vAlign w:val="center"/>
          </w:tcPr>
          <w:p>
            <w:r/>
            <w:r>
              <w:rPr>
                <w:rFonts w:ascii="Aptos" w:hAnsi="Aptos"/>
                <w:b w:val="0"/>
                <w:sz w:val="16"/>
              </w:rPr>
              <w:t>Adoption</w:t>
            </w:r>
          </w:p>
        </w:tc>
        <w:tc>
          <w:tcPr>
            <w:tcW w:type="dxa" w:w="3389"/>
            <w:vAlign w:val="center"/>
          </w:tcPr>
          <w:p>
            <w:r/>
            <w:r>
              <w:rPr>
                <w:rFonts w:ascii="Aptos" w:hAnsi="Aptos"/>
                <w:b w:val="0"/>
                <w:sz w:val="16"/>
              </w:rPr>
              <w:t>Invited doctors claiming profile; monthly active users; credential wallet completion</w:t>
            </w:r>
          </w:p>
        </w:tc>
        <w:tc>
          <w:tcPr>
            <w:tcW w:type="dxa" w:w="3389"/>
            <w:vAlign w:val="center"/>
          </w:tcPr>
          <w:p>
            <w:r/>
            <w:r>
              <w:rPr>
                <w:rFonts w:ascii="Aptos" w:hAnsi="Aptos"/>
                <w:b w:val="0"/>
                <w:sz w:val="16"/>
              </w:rPr>
              <w:t>System logs</w:t>
            </w:r>
          </w:p>
        </w:tc>
      </w:tr>
      <w:tr>
        <w:tc>
          <w:tcPr>
            <w:tcW w:type="dxa" w:w="3389"/>
            <w:vAlign w:val="center"/>
            <w:shd w:fill="F3F6FA"/>
          </w:tcPr>
          <w:p>
            <w:r/>
            <w:r>
              <w:rPr>
                <w:rFonts w:ascii="Aptos" w:hAnsi="Aptos"/>
                <w:b w:val="0"/>
                <w:sz w:val="16"/>
              </w:rPr>
              <w:t>Credential utility</w:t>
            </w:r>
          </w:p>
        </w:tc>
        <w:tc>
          <w:tcPr>
            <w:tcW w:type="dxa" w:w="3389"/>
            <w:vAlign w:val="center"/>
            <w:shd w:fill="F3F6FA"/>
          </w:tcPr>
          <w:p>
            <w:r/>
            <w:r>
              <w:rPr>
                <w:rFonts w:ascii="Aptos" w:hAnsi="Aptos"/>
                <w:b w:val="0"/>
                <w:sz w:val="16"/>
              </w:rPr>
              <w:t>Credentials added/updated; shares created; recipients opening packs; expiry updates</w:t>
            </w:r>
          </w:p>
        </w:tc>
        <w:tc>
          <w:tcPr>
            <w:tcW w:type="dxa" w:w="3389"/>
            <w:vAlign w:val="center"/>
            <w:shd w:fill="F3F6FA"/>
          </w:tcPr>
          <w:p>
            <w:r/>
            <w:r>
              <w:rPr>
                <w:rFonts w:ascii="Aptos" w:hAnsi="Aptos"/>
                <w:b w:val="0"/>
                <w:sz w:val="16"/>
              </w:rPr>
              <w:t>System logs</w:t>
            </w:r>
          </w:p>
        </w:tc>
      </w:tr>
      <w:tr>
        <w:tc>
          <w:tcPr>
            <w:tcW w:type="dxa" w:w="3389"/>
            <w:vAlign w:val="center"/>
          </w:tcPr>
          <w:p>
            <w:r/>
            <w:r>
              <w:rPr>
                <w:rFonts w:ascii="Aptos" w:hAnsi="Aptos"/>
                <w:b w:val="0"/>
                <w:sz w:val="16"/>
              </w:rPr>
              <w:t>Experience</w:t>
            </w:r>
          </w:p>
        </w:tc>
        <w:tc>
          <w:tcPr>
            <w:tcW w:type="dxa" w:w="3389"/>
            <w:vAlign w:val="center"/>
          </w:tcPr>
          <w:p>
            <w:r/>
            <w:r>
              <w:rPr>
                <w:rFonts w:ascii="Aptos" w:hAnsi="Aptos"/>
                <w:b w:val="0"/>
                <w:sz w:val="16"/>
              </w:rPr>
              <w:t>Survey response; domain scores; themes; 'You said/We did' actions</w:t>
            </w:r>
          </w:p>
        </w:tc>
        <w:tc>
          <w:tcPr>
            <w:tcW w:type="dxa" w:w="3389"/>
            <w:vAlign w:val="center"/>
          </w:tcPr>
          <w:p>
            <w:r/>
            <w:r>
              <w:rPr>
                <w:rFonts w:ascii="Aptos" w:hAnsi="Aptos"/>
                <w:b w:val="0"/>
                <w:sz w:val="16"/>
              </w:rPr>
              <w:t>Survey/dashboard</w:t>
            </w:r>
          </w:p>
        </w:tc>
      </w:tr>
      <w:tr>
        <w:tc>
          <w:tcPr>
            <w:tcW w:type="dxa" w:w="3389"/>
            <w:vAlign w:val="center"/>
            <w:shd w:fill="F3F6FA"/>
          </w:tcPr>
          <w:p>
            <w:r/>
            <w:r>
              <w:rPr>
                <w:rFonts w:ascii="Aptos" w:hAnsi="Aptos"/>
                <w:b w:val="0"/>
                <w:sz w:val="16"/>
              </w:rPr>
              <w:t>Return</w:t>
            </w:r>
          </w:p>
        </w:tc>
        <w:tc>
          <w:tcPr>
            <w:tcW w:type="dxa" w:w="3389"/>
            <w:vAlign w:val="center"/>
            <w:shd w:fill="F3F6FA"/>
          </w:tcPr>
          <w:p>
            <w:r/>
            <w:r>
              <w:rPr>
                <w:rFonts w:ascii="Aptos" w:hAnsi="Aptos"/>
                <w:b w:val="0"/>
                <w:sz w:val="16"/>
              </w:rPr>
              <w:t>90-day repeat, 12-month repeat, eligible return, time to return</w:t>
            </w:r>
          </w:p>
        </w:tc>
        <w:tc>
          <w:tcPr>
            <w:tcW w:type="dxa" w:w="3389"/>
            <w:vAlign w:val="center"/>
            <w:shd w:fill="F3F6FA"/>
          </w:tcPr>
          <w:p>
            <w:r/>
            <w:r>
              <w:rPr>
                <w:rFonts w:ascii="Aptos" w:hAnsi="Aptos"/>
                <w:b w:val="0"/>
                <w:sz w:val="16"/>
              </w:rPr>
              <w:t>Booking data</w:t>
            </w:r>
          </w:p>
        </w:tc>
      </w:tr>
      <w:tr>
        <w:tc>
          <w:tcPr>
            <w:tcW w:type="dxa" w:w="3389"/>
            <w:vAlign w:val="center"/>
          </w:tcPr>
          <w:p>
            <w:r/>
            <w:r>
              <w:rPr>
                <w:rFonts w:ascii="Aptos" w:hAnsi="Aptos"/>
                <w:b w:val="0"/>
                <w:sz w:val="16"/>
              </w:rPr>
              <w:t>Vacancy</w:t>
            </w:r>
          </w:p>
        </w:tc>
        <w:tc>
          <w:tcPr>
            <w:tcW w:type="dxa" w:w="3389"/>
            <w:vAlign w:val="center"/>
          </w:tcPr>
          <w:p>
            <w:r/>
            <w:r>
              <w:rPr>
                <w:rFonts w:ascii="Aptos" w:hAnsi="Aptos"/>
                <w:b w:val="0"/>
                <w:sz w:val="16"/>
              </w:rPr>
              <w:t>Vacancies advertised, lead time, response time, time to fill, fill rate</w:t>
            </w:r>
          </w:p>
        </w:tc>
        <w:tc>
          <w:tcPr>
            <w:tcW w:type="dxa" w:w="3389"/>
            <w:vAlign w:val="center"/>
          </w:tcPr>
          <w:p>
            <w:r/>
            <w:r>
              <w:rPr>
                <w:rFonts w:ascii="Aptos" w:hAnsi="Aptos"/>
                <w:b w:val="0"/>
                <w:sz w:val="16"/>
              </w:rPr>
              <w:t>Exchange</w:t>
            </w:r>
          </w:p>
        </w:tc>
      </w:tr>
      <w:tr>
        <w:tc>
          <w:tcPr>
            <w:tcW w:type="dxa" w:w="3389"/>
            <w:vAlign w:val="center"/>
            <w:shd w:fill="F3F6FA"/>
          </w:tcPr>
          <w:p>
            <w:r/>
            <w:r>
              <w:rPr>
                <w:rFonts w:ascii="Aptos" w:hAnsi="Aptos"/>
                <w:b w:val="0"/>
                <w:sz w:val="16"/>
              </w:rPr>
              <w:t>Admin burden</w:t>
            </w:r>
          </w:p>
        </w:tc>
        <w:tc>
          <w:tcPr>
            <w:tcW w:type="dxa" w:w="3389"/>
            <w:vAlign w:val="center"/>
            <w:shd w:fill="F3F6FA"/>
          </w:tcPr>
          <w:p>
            <w:r/>
            <w:r>
              <w:rPr>
                <w:rFonts w:ascii="Aptos" w:hAnsi="Aptos"/>
                <w:b w:val="0"/>
                <w:sz w:val="16"/>
              </w:rPr>
              <w:t>Manual contacts per vacancy; staff minutes sampled</w:t>
            </w:r>
          </w:p>
        </w:tc>
        <w:tc>
          <w:tcPr>
            <w:tcW w:type="dxa" w:w="3389"/>
            <w:vAlign w:val="center"/>
            <w:shd w:fill="F3F6FA"/>
          </w:tcPr>
          <w:p>
            <w:r/>
            <w:r>
              <w:rPr>
                <w:rFonts w:ascii="Aptos" w:hAnsi="Aptos"/>
                <w:b w:val="0"/>
                <w:sz w:val="16"/>
              </w:rPr>
              <w:t>Process audit/time sample</w:t>
            </w:r>
          </w:p>
        </w:tc>
      </w:tr>
      <w:tr>
        <w:tc>
          <w:tcPr>
            <w:tcW w:type="dxa" w:w="3389"/>
            <w:vAlign w:val="center"/>
          </w:tcPr>
          <w:p>
            <w:r/>
            <w:r>
              <w:rPr>
                <w:rFonts w:ascii="Aptos" w:hAnsi="Aptos"/>
                <w:b w:val="0"/>
                <w:sz w:val="16"/>
              </w:rPr>
              <w:t>Agency</w:t>
            </w:r>
          </w:p>
        </w:tc>
        <w:tc>
          <w:tcPr>
            <w:tcW w:type="dxa" w:w="3389"/>
            <w:vAlign w:val="center"/>
          </w:tcPr>
          <w:p>
            <w:r/>
            <w:r>
              <w:rPr>
                <w:rFonts w:ascii="Aptos" w:hAnsi="Aptos"/>
                <w:b w:val="0"/>
                <w:sz w:val="16"/>
              </w:rPr>
              <w:t>Panel invitations, responses, proposals, fill, cancellation, commission</w:t>
            </w:r>
          </w:p>
        </w:tc>
        <w:tc>
          <w:tcPr>
            <w:tcW w:type="dxa" w:w="3389"/>
            <w:vAlign w:val="center"/>
          </w:tcPr>
          <w:p>
            <w:r/>
            <w:r>
              <w:rPr>
                <w:rFonts w:ascii="Aptos" w:hAnsi="Aptos"/>
                <w:b w:val="0"/>
                <w:sz w:val="16"/>
              </w:rPr>
              <w:t>Exchange/finance</w:t>
            </w:r>
          </w:p>
        </w:tc>
      </w:tr>
      <w:tr>
        <w:tc>
          <w:tcPr>
            <w:tcW w:type="dxa" w:w="3389"/>
            <w:vAlign w:val="center"/>
            <w:shd w:fill="F3F6FA"/>
          </w:tcPr>
          <w:p>
            <w:r/>
            <w:r>
              <w:rPr>
                <w:rFonts w:ascii="Aptos" w:hAnsi="Aptos"/>
                <w:b w:val="0"/>
                <w:sz w:val="16"/>
              </w:rPr>
              <w:t>Timesheet</w:t>
            </w:r>
          </w:p>
        </w:tc>
        <w:tc>
          <w:tcPr>
            <w:tcW w:type="dxa" w:w="3389"/>
            <w:vAlign w:val="center"/>
            <w:shd w:fill="F3F6FA"/>
          </w:tcPr>
          <w:p>
            <w:r/>
            <w:r>
              <w:rPr>
                <w:rFonts w:ascii="Aptos" w:hAnsi="Aptos"/>
                <w:b w:val="0"/>
                <w:sz w:val="16"/>
              </w:rPr>
              <w:t>Submission time, approval time, amendment/rejection rate</w:t>
            </w:r>
          </w:p>
        </w:tc>
        <w:tc>
          <w:tcPr>
            <w:tcW w:type="dxa" w:w="3389"/>
            <w:vAlign w:val="center"/>
            <w:shd w:fill="F3F6FA"/>
          </w:tcPr>
          <w:p>
            <w:r/>
            <w:r>
              <w:rPr>
                <w:rFonts w:ascii="Aptos" w:hAnsi="Aptos"/>
                <w:b w:val="0"/>
                <w:sz w:val="16"/>
              </w:rPr>
              <w:t>Timesheet logs</w:t>
            </w:r>
          </w:p>
        </w:tc>
      </w:tr>
      <w:tr>
        <w:tc>
          <w:tcPr>
            <w:tcW w:type="dxa" w:w="3389"/>
            <w:vAlign w:val="center"/>
          </w:tcPr>
          <w:p>
            <w:r/>
            <w:r>
              <w:rPr>
                <w:rFonts w:ascii="Aptos" w:hAnsi="Aptos"/>
                <w:b w:val="0"/>
                <w:sz w:val="16"/>
              </w:rPr>
              <w:t>Cost</w:t>
            </w:r>
          </w:p>
        </w:tc>
        <w:tc>
          <w:tcPr>
            <w:tcW w:type="dxa" w:w="3389"/>
            <w:vAlign w:val="center"/>
          </w:tcPr>
          <w:p>
            <w:r/>
            <w:r>
              <w:rPr>
                <w:rFonts w:ascii="Aptos" w:hAnsi="Aptos"/>
                <w:b w:val="0"/>
                <w:sz w:val="16"/>
              </w:rPr>
              <w:t>Rate, commission, travel/accommodation, effective hourly cost</w:t>
            </w:r>
          </w:p>
        </w:tc>
        <w:tc>
          <w:tcPr>
            <w:tcW w:type="dxa" w:w="3389"/>
            <w:vAlign w:val="center"/>
          </w:tcPr>
          <w:p>
            <w:r/>
            <w:r>
              <w:rPr>
                <w:rFonts w:ascii="Aptos" w:hAnsi="Aptos"/>
                <w:b w:val="0"/>
                <w:sz w:val="16"/>
              </w:rPr>
              <w:t>Finance/exchange</w:t>
            </w:r>
          </w:p>
        </w:tc>
      </w:tr>
      <w:tr>
        <w:tc>
          <w:tcPr>
            <w:tcW w:type="dxa" w:w="3389"/>
            <w:vAlign w:val="center"/>
            <w:shd w:fill="F3F6FA"/>
          </w:tcPr>
          <w:p>
            <w:r/>
            <w:r>
              <w:rPr>
                <w:rFonts w:ascii="Aptos" w:hAnsi="Aptos"/>
                <w:b w:val="0"/>
                <w:sz w:val="16"/>
              </w:rPr>
              <w:t>Safety/governance</w:t>
            </w:r>
          </w:p>
        </w:tc>
        <w:tc>
          <w:tcPr>
            <w:tcW w:type="dxa" w:w="3389"/>
            <w:vAlign w:val="center"/>
            <w:shd w:fill="F3F6FA"/>
          </w:tcPr>
          <w:p>
            <w:r/>
            <w:r>
              <w:rPr>
                <w:rFonts w:ascii="Aptos" w:hAnsi="Aptos"/>
                <w:b w:val="0"/>
                <w:sz w:val="16"/>
              </w:rPr>
              <w:t>Eligibility blocks, exceptions, incidents, privacy/security events</w:t>
            </w:r>
          </w:p>
        </w:tc>
        <w:tc>
          <w:tcPr>
            <w:tcW w:type="dxa" w:w="3389"/>
            <w:vAlign w:val="center"/>
            <w:shd w:fill="F3F6FA"/>
          </w:tcPr>
          <w:p>
            <w:r/>
            <w:r>
              <w:rPr>
                <w:rFonts w:ascii="Aptos" w:hAnsi="Aptos"/>
                <w:b w:val="0"/>
                <w:sz w:val="16"/>
              </w:rPr>
              <w:t>Audit/risk log</w:t>
            </w:r>
          </w:p>
        </w:tc>
      </w:tr>
      <w:tr>
        <w:tc>
          <w:tcPr>
            <w:tcW w:type="dxa" w:w="3389"/>
            <w:vAlign w:val="center"/>
          </w:tcPr>
          <w:p>
            <w:r/>
            <w:r>
              <w:rPr>
                <w:rFonts w:ascii="Aptos" w:hAnsi="Aptos"/>
                <w:b w:val="0"/>
                <w:sz w:val="16"/>
              </w:rPr>
              <w:t>Equity</w:t>
            </w:r>
          </w:p>
        </w:tc>
        <w:tc>
          <w:tcPr>
            <w:tcW w:type="dxa" w:w="3389"/>
            <w:vAlign w:val="center"/>
          </w:tcPr>
          <w:p>
            <w:r/>
            <w:r>
              <w:rPr>
                <w:rFonts w:ascii="Aptos" w:hAnsi="Aptos"/>
                <w:b w:val="0"/>
                <w:sz w:val="16"/>
              </w:rPr>
              <w:t>Site/role differences in access, fill and experience</w:t>
            </w:r>
          </w:p>
        </w:tc>
        <w:tc>
          <w:tcPr>
            <w:tcW w:type="dxa" w:w="3389"/>
            <w:vAlign w:val="center"/>
          </w:tcPr>
          <w:p>
            <w:r/>
            <w:r>
              <w:rPr>
                <w:rFonts w:ascii="Aptos" w:hAnsi="Aptos"/>
                <w:b w:val="0"/>
                <w:sz w:val="16"/>
              </w:rPr>
              <w:t>Analytics</w:t>
            </w:r>
          </w:p>
        </w:tc>
      </w:tr>
      <w:tr>
        <w:tc>
          <w:tcPr>
            <w:tcW w:type="dxa" w:w="3389"/>
            <w:vAlign w:val="center"/>
            <w:shd w:fill="F3F6FA"/>
          </w:tcPr>
          <w:p>
            <w:r/>
            <w:r>
              <w:rPr>
                <w:rFonts w:ascii="Aptos" w:hAnsi="Aptos"/>
                <w:b w:val="0"/>
                <w:sz w:val="16"/>
              </w:rPr>
              <w:t>Usability</w:t>
            </w:r>
          </w:p>
        </w:tc>
        <w:tc>
          <w:tcPr>
            <w:tcW w:type="dxa" w:w="3389"/>
            <w:vAlign w:val="center"/>
            <w:shd w:fill="F3F6FA"/>
          </w:tcPr>
          <w:p>
            <w:r/>
            <w:r>
              <w:rPr>
                <w:rFonts w:ascii="Aptos" w:hAnsi="Aptos"/>
                <w:b w:val="0"/>
                <w:sz w:val="16"/>
              </w:rPr>
              <w:t>SUS or short usability measure plus interviews</w:t>
            </w:r>
          </w:p>
        </w:tc>
        <w:tc>
          <w:tcPr>
            <w:tcW w:type="dxa" w:w="3389"/>
            <w:vAlign w:val="center"/>
            <w:shd w:fill="F3F6FA"/>
          </w:tcPr>
          <w:p>
            <w:r/>
            <w:r>
              <w:rPr>
                <w:rFonts w:ascii="Aptos" w:hAnsi="Aptos"/>
                <w:b w:val="0"/>
                <w:sz w:val="16"/>
              </w:rPr>
              <w:t>User research</w:t>
            </w:r>
          </w:p>
        </w:tc>
      </w:tr>
    </w:tbl>
    <w:p/>
    <w:p>
      <w:pPr>
        <w:pStyle w:val="Heading1"/>
      </w:pPr>
      <w:r>
        <w:t>22. Proposed success criteria</w:t>
      </w:r>
    </w:p>
    <w:p>
      <w:r>
        <w:t>Final thresholds should be approved after baseline. The following are initial pilot ambitions, not contractual guarantees.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Domain</w:t>
            </w:r>
          </w:p>
        </w:tc>
        <w:tc>
          <w:tcPr>
            <w:tcW w:type="dxa" w:w="5083"/>
            <w:vAlign w:val="center"/>
            <w:shd w:fill="17365D"/>
          </w:tcPr>
          <w:p>
            <w:r/>
            <w:r>
              <w:rPr>
                <w:rFonts w:ascii="Aptos" w:hAnsi="Aptos"/>
                <w:b/>
                <w:color w:val="FFFFFF"/>
                <w:sz w:val="16"/>
              </w:rPr>
              <w:t>Initial ambition</w:t>
            </w:r>
          </w:p>
        </w:tc>
      </w:tr>
      <w:tr>
        <w:tc>
          <w:tcPr>
            <w:tcW w:type="dxa" w:w="5083"/>
            <w:vAlign w:val="center"/>
          </w:tcPr>
          <w:p>
            <w:r/>
            <w:r>
              <w:rPr>
                <w:rFonts w:ascii="Aptos" w:hAnsi="Aptos"/>
                <w:b w:val="0"/>
                <w:sz w:val="16"/>
              </w:rPr>
              <w:t>Doctor adoption</w:t>
            </w:r>
          </w:p>
        </w:tc>
        <w:tc>
          <w:tcPr>
            <w:tcW w:type="dxa" w:w="5083"/>
            <w:vAlign w:val="center"/>
          </w:tcPr>
          <w:p>
            <w:r/>
            <w:r>
              <w:rPr>
                <w:rFonts w:ascii="Aptos" w:hAnsi="Aptos"/>
                <w:b w:val="0"/>
                <w:sz w:val="16"/>
              </w:rPr>
              <w:t>≥70% of invited active locums claim a profile</w:t>
            </w:r>
          </w:p>
        </w:tc>
      </w:tr>
      <w:tr>
        <w:tc>
          <w:tcPr>
            <w:tcW w:type="dxa" w:w="5083"/>
            <w:vAlign w:val="center"/>
            <w:shd w:fill="F3F6FA"/>
          </w:tcPr>
          <w:p>
            <w:r/>
            <w:r>
              <w:rPr>
                <w:rFonts w:ascii="Aptos" w:hAnsi="Aptos"/>
                <w:b w:val="0"/>
                <w:sz w:val="16"/>
              </w:rPr>
              <w:t>Credential utility</w:t>
            </w:r>
          </w:p>
        </w:tc>
        <w:tc>
          <w:tcPr>
            <w:tcW w:type="dxa" w:w="5083"/>
            <w:vAlign w:val="center"/>
            <w:shd w:fill="F3F6FA"/>
          </w:tcPr>
          <w:p>
            <w:r/>
            <w:r>
              <w:rPr>
                <w:rFonts w:ascii="Aptos" w:hAnsi="Aptos"/>
                <w:b w:val="0"/>
                <w:sz w:val="16"/>
              </w:rPr>
              <w:t>≥50% of active pilot doctors add/update or externally share at least one credential during pilot</w:t>
            </w:r>
          </w:p>
        </w:tc>
      </w:tr>
      <w:tr>
        <w:tc>
          <w:tcPr>
            <w:tcW w:type="dxa" w:w="5083"/>
            <w:vAlign w:val="center"/>
          </w:tcPr>
          <w:p>
            <w:r/>
            <w:r>
              <w:rPr>
                <w:rFonts w:ascii="Aptos" w:hAnsi="Aptos"/>
                <w:b w:val="0"/>
                <w:sz w:val="16"/>
              </w:rPr>
              <w:t>Feedback</w:t>
            </w:r>
          </w:p>
        </w:tc>
        <w:tc>
          <w:tcPr>
            <w:tcW w:type="dxa" w:w="5083"/>
            <w:vAlign w:val="center"/>
          </w:tcPr>
          <w:p>
            <w:r/>
            <w:r>
              <w:rPr>
                <w:rFonts w:ascii="Aptos" w:hAnsi="Aptos"/>
                <w:b w:val="0"/>
                <w:sz w:val="16"/>
              </w:rPr>
              <w:t>≥60% response among eligible survey prompts after fatigue rules</w:t>
            </w:r>
          </w:p>
        </w:tc>
      </w:tr>
      <w:tr>
        <w:tc>
          <w:tcPr>
            <w:tcW w:type="dxa" w:w="5083"/>
            <w:vAlign w:val="center"/>
            <w:shd w:fill="F3F6FA"/>
          </w:tcPr>
          <w:p>
            <w:r/>
            <w:r>
              <w:rPr>
                <w:rFonts w:ascii="Aptos" w:hAnsi="Aptos"/>
                <w:b w:val="0"/>
                <w:sz w:val="16"/>
              </w:rPr>
              <w:t>Vacancy adoption</w:t>
            </w:r>
          </w:p>
        </w:tc>
        <w:tc>
          <w:tcPr>
            <w:tcW w:type="dxa" w:w="5083"/>
            <w:vAlign w:val="center"/>
            <w:shd w:fill="F3F6FA"/>
          </w:tcPr>
          <w:p>
            <w:r/>
            <w:r>
              <w:rPr>
                <w:rFonts w:ascii="Aptos" w:hAnsi="Aptos"/>
                <w:b w:val="0"/>
                <w:sz w:val="16"/>
              </w:rPr>
              <w:t>≥70% of in-scope vacancies processed through platform once Exchange is live</w:t>
            </w:r>
          </w:p>
        </w:tc>
      </w:tr>
      <w:tr>
        <w:tc>
          <w:tcPr>
            <w:tcW w:type="dxa" w:w="5083"/>
            <w:vAlign w:val="center"/>
          </w:tcPr>
          <w:p>
            <w:r/>
            <w:r>
              <w:rPr>
                <w:rFonts w:ascii="Aptos" w:hAnsi="Aptos"/>
                <w:b w:val="0"/>
                <w:sz w:val="16"/>
              </w:rPr>
              <w:t>Administrative burden</w:t>
            </w:r>
          </w:p>
        </w:tc>
        <w:tc>
          <w:tcPr>
            <w:tcW w:type="dxa" w:w="5083"/>
            <w:vAlign w:val="center"/>
          </w:tcPr>
          <w:p>
            <w:r/>
            <w:r>
              <w:rPr>
                <w:rFonts w:ascii="Aptos" w:hAnsi="Aptos"/>
                <w:b w:val="0"/>
                <w:sz w:val="16"/>
              </w:rPr>
              <w:t>≥50% reduction in sampled manual contacts per filled in-scope vacancy</w:t>
            </w:r>
          </w:p>
        </w:tc>
      </w:tr>
      <w:tr>
        <w:tc>
          <w:tcPr>
            <w:tcW w:type="dxa" w:w="5083"/>
            <w:vAlign w:val="center"/>
            <w:shd w:fill="F3F6FA"/>
          </w:tcPr>
          <w:p>
            <w:r/>
            <w:r>
              <w:rPr>
                <w:rFonts w:ascii="Aptos" w:hAnsi="Aptos"/>
                <w:b w:val="0"/>
                <w:sz w:val="16"/>
              </w:rPr>
              <w:t>Timesheets</w:t>
            </w:r>
          </w:p>
        </w:tc>
        <w:tc>
          <w:tcPr>
            <w:tcW w:type="dxa" w:w="5083"/>
            <w:vAlign w:val="center"/>
            <w:shd w:fill="F3F6FA"/>
          </w:tcPr>
          <w:p>
            <w:r/>
            <w:r>
              <w:rPr>
                <w:rFonts w:ascii="Aptos" w:hAnsi="Aptos"/>
                <w:b w:val="0"/>
                <w:sz w:val="16"/>
              </w:rPr>
              <w:t>≥80% of platform bookings digitally approved</w:t>
            </w:r>
          </w:p>
        </w:tc>
      </w:tr>
      <w:tr>
        <w:tc>
          <w:tcPr>
            <w:tcW w:type="dxa" w:w="5083"/>
            <w:vAlign w:val="center"/>
          </w:tcPr>
          <w:p>
            <w:r/>
            <w:r>
              <w:rPr>
                <w:rFonts w:ascii="Aptos" w:hAnsi="Aptos"/>
                <w:b w:val="0"/>
                <w:sz w:val="16"/>
              </w:rPr>
              <w:t>Procurement</w:t>
            </w:r>
          </w:p>
        </w:tc>
        <w:tc>
          <w:tcPr>
            <w:tcW w:type="dxa" w:w="5083"/>
            <w:vAlign w:val="center"/>
          </w:tcPr>
          <w:p>
            <w:r/>
            <w:r>
              <w:rPr>
                <w:rFonts w:ascii="Aptos" w:hAnsi="Aptos"/>
                <w:b w:val="0"/>
                <w:sz w:val="16"/>
              </w:rPr>
              <w:t>No unauthorised bypass of configured panel process attributable to platform</w:t>
            </w:r>
          </w:p>
        </w:tc>
      </w:tr>
      <w:tr>
        <w:tc>
          <w:tcPr>
            <w:tcW w:type="dxa" w:w="5083"/>
            <w:vAlign w:val="center"/>
            <w:shd w:fill="F3F6FA"/>
          </w:tcPr>
          <w:p>
            <w:r/>
            <w:r>
              <w:rPr>
                <w:rFonts w:ascii="Aptos" w:hAnsi="Aptos"/>
                <w:b w:val="0"/>
                <w:sz w:val="16"/>
              </w:rPr>
              <w:t>Eligibility safety</w:t>
            </w:r>
          </w:p>
        </w:tc>
        <w:tc>
          <w:tcPr>
            <w:tcW w:type="dxa" w:w="5083"/>
            <w:vAlign w:val="center"/>
            <w:shd w:fill="F3F6FA"/>
          </w:tcPr>
          <w:p>
            <w:r/>
            <w:r>
              <w:rPr>
                <w:rFonts w:ascii="Aptos" w:hAnsi="Aptos"/>
                <w:b w:val="0"/>
                <w:sz w:val="16"/>
              </w:rPr>
              <w:t>No booking generated contrary to known YNLHN scope status attributable to platform</w:t>
            </w:r>
          </w:p>
        </w:tc>
      </w:tr>
      <w:tr>
        <w:tc>
          <w:tcPr>
            <w:tcW w:type="dxa" w:w="5083"/>
            <w:vAlign w:val="center"/>
          </w:tcPr>
          <w:p>
            <w:r/>
            <w:r>
              <w:rPr>
                <w:rFonts w:ascii="Aptos" w:hAnsi="Aptos"/>
                <w:b w:val="0"/>
                <w:sz w:val="16"/>
              </w:rPr>
              <w:t>Data quality</w:t>
            </w:r>
          </w:p>
        </w:tc>
        <w:tc>
          <w:tcPr>
            <w:tcW w:type="dxa" w:w="5083"/>
            <w:vAlign w:val="center"/>
          </w:tcPr>
          <w:p>
            <w:r/>
            <w:r>
              <w:rPr>
                <w:rFonts w:ascii="Aptos" w:hAnsi="Aptos"/>
                <w:b w:val="0"/>
                <w:sz w:val="16"/>
              </w:rPr>
              <w:t>≥95% of pilot bookings have source, rate and applicable agency fee/commission recorded where relevant</w:t>
            </w:r>
          </w:p>
        </w:tc>
      </w:tr>
      <w:tr>
        <w:tc>
          <w:tcPr>
            <w:tcW w:type="dxa" w:w="5083"/>
            <w:vAlign w:val="center"/>
            <w:shd w:fill="F3F6FA"/>
          </w:tcPr>
          <w:p>
            <w:r/>
            <w:r>
              <w:rPr>
                <w:rFonts w:ascii="Aptos" w:hAnsi="Aptos"/>
                <w:b w:val="0"/>
                <w:sz w:val="16"/>
              </w:rPr>
              <w:t>Experience improvement</w:t>
            </w:r>
          </w:p>
        </w:tc>
        <w:tc>
          <w:tcPr>
            <w:tcW w:type="dxa" w:w="5083"/>
            <w:vAlign w:val="center"/>
            <w:shd w:fill="F3F6FA"/>
          </w:tcPr>
          <w:p>
            <w:r/>
            <w:r>
              <w:rPr>
                <w:rFonts w:ascii="Aptos" w:hAnsi="Aptos"/>
                <w:b w:val="0"/>
                <w:sz w:val="16"/>
              </w:rPr>
              <w:t>At least two documented 'You said / We did' actions per pilot site during evaluation period</w:t>
            </w:r>
          </w:p>
        </w:tc>
      </w:tr>
    </w:tbl>
    <w:p/>
    <w:p>
      <w:pPr>
        <w:pStyle w:val="Heading1"/>
      </w:pPr>
      <w:r>
        <w:t>23. Balancing measures</w:t>
      </w:r>
    </w:p>
    <w:p>
      <w:pPr>
        <w:pStyle w:val="ListBullet"/>
      </w:pPr>
      <w:r>
        <w:t>Doctor notification burden and opt-out rate</w:t>
      </w:r>
    </w:p>
    <w:p>
      <w:pPr>
        <w:pStyle w:val="ListBullet"/>
      </w:pPr>
      <w:r>
        <w:t>Time required to maintain credentials</w:t>
      </w:r>
    </w:p>
    <w:p>
      <w:pPr>
        <w:pStyle w:val="ListBullet"/>
      </w:pPr>
      <w:r>
        <w:t>Medical Workforce workload during transition</w:t>
      </w:r>
    </w:p>
    <w:p>
      <w:pPr>
        <w:pStyle w:val="ListBullet"/>
      </w:pPr>
      <w:r>
        <w:t>Agency administrative burden</w:t>
      </w:r>
    </w:p>
    <w:p>
      <w:pPr>
        <w:pStyle w:val="ListBullet"/>
      </w:pPr>
      <w:r>
        <w:t>Number of duplicate/incorrect credential records</w:t>
      </w:r>
    </w:p>
    <w:p>
      <w:pPr>
        <w:pStyle w:val="ListBullet"/>
      </w:pPr>
      <w:r>
        <w:t>Timesheet disputes</w:t>
      </w:r>
    </w:p>
    <w:p>
      <w:pPr>
        <w:pStyle w:val="ListBullet"/>
      </w:pPr>
      <w:r>
        <w:t>Privacy complaints or concerns</w:t>
      </w:r>
    </w:p>
    <w:p>
      <w:pPr>
        <w:pStyle w:val="ListBullet"/>
      </w:pPr>
      <w:r>
        <w:t>Site leader concerns about feedback interpretation</w:t>
      </w:r>
    </w:p>
    <w:p>
      <w:pPr>
        <w:pStyle w:val="ListBullet"/>
      </w:pPr>
      <w:r>
        <w:t>Any shift in vacancy fill to higher-cost channels</w:t>
      </w:r>
    </w:p>
    <w:p>
      <w:pPr>
        <w:pStyle w:val="ListBullet"/>
      </w:pPr>
      <w:r>
        <w:t>Digital exclusion or access issues</w:t>
      </w:r>
    </w:p>
    <w:p>
      <w:pPr>
        <w:pStyle w:val="Heading1"/>
      </w:pPr>
      <w:r>
        <w:t>24. Stage gates and stop/go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Gate</w:t>
            </w:r>
          </w:p>
        </w:tc>
        <w:tc>
          <w:tcPr>
            <w:tcW w:type="dxa" w:w="3389"/>
            <w:vAlign w:val="center"/>
            <w:shd w:fill="17365D"/>
          </w:tcPr>
          <w:p>
            <w:r/>
            <w:r>
              <w:rPr>
                <w:rFonts w:ascii="Aptos" w:hAnsi="Aptos"/>
                <w:b/>
                <w:color w:val="FFFFFF"/>
                <w:sz w:val="16"/>
              </w:rPr>
              <w:t>Proceed when</w:t>
            </w:r>
          </w:p>
        </w:tc>
        <w:tc>
          <w:tcPr>
            <w:tcW w:type="dxa" w:w="3389"/>
            <w:vAlign w:val="center"/>
            <w:shd w:fill="17365D"/>
          </w:tcPr>
          <w:p>
            <w:r/>
            <w:r>
              <w:rPr>
                <w:rFonts w:ascii="Aptos" w:hAnsi="Aptos"/>
                <w:b/>
                <w:color w:val="FFFFFF"/>
                <w:sz w:val="16"/>
              </w:rPr>
              <w:t>Stop/pause trigger</w:t>
            </w:r>
          </w:p>
        </w:tc>
      </w:tr>
      <w:tr>
        <w:tc>
          <w:tcPr>
            <w:tcW w:type="dxa" w:w="3389"/>
            <w:vAlign w:val="center"/>
          </w:tcPr>
          <w:p>
            <w:r/>
            <w:r>
              <w:rPr>
                <w:rFonts w:ascii="Aptos" w:hAnsi="Aptos"/>
                <w:b w:val="0"/>
                <w:sz w:val="16"/>
              </w:rPr>
              <w:t>Gate A: discovery → build</w:t>
            </w:r>
          </w:p>
        </w:tc>
        <w:tc>
          <w:tcPr>
            <w:tcW w:type="dxa" w:w="3389"/>
            <w:vAlign w:val="center"/>
          </w:tcPr>
          <w:p>
            <w:r/>
            <w:r>
              <w:rPr>
                <w:rFonts w:ascii="Aptos" w:hAnsi="Aptos"/>
                <w:b w:val="0"/>
                <w:sz w:val="16"/>
              </w:rPr>
              <w:t>Procurement rules confirmed; baseline feasible; PIA/security path acceptable; users validate problem; delivery cost/approach approved</w:t>
            </w:r>
          </w:p>
        </w:tc>
        <w:tc>
          <w:tcPr>
            <w:tcW w:type="dxa" w:w="3389"/>
            <w:vAlign w:val="center"/>
          </w:tcPr>
          <w:p>
            <w:r/>
            <w:r>
              <w:rPr>
                <w:rFonts w:ascii="Aptos" w:hAnsi="Aptos"/>
                <w:b w:val="0"/>
                <w:sz w:val="16"/>
              </w:rPr>
              <w:t>Stop/re-scope if lawful/procurement pathway cannot be established</w:t>
            </w:r>
          </w:p>
        </w:tc>
      </w:tr>
      <w:tr>
        <w:tc>
          <w:tcPr>
            <w:tcW w:type="dxa" w:w="3389"/>
            <w:vAlign w:val="center"/>
            <w:shd w:fill="F3F6FA"/>
          </w:tcPr>
          <w:p>
            <w:r/>
            <w:r>
              <w:rPr>
                <w:rFonts w:ascii="Aptos" w:hAnsi="Aptos"/>
                <w:b w:val="0"/>
                <w:sz w:val="16"/>
              </w:rPr>
              <w:t>Gate B: closed Passport/Experience → expand</w:t>
            </w:r>
          </w:p>
        </w:tc>
        <w:tc>
          <w:tcPr>
            <w:tcW w:type="dxa" w:w="3389"/>
            <w:vAlign w:val="center"/>
            <w:shd w:fill="F3F6FA"/>
          </w:tcPr>
          <w:p>
            <w:r/>
            <w:r>
              <w:rPr>
                <w:rFonts w:ascii="Aptos" w:hAnsi="Aptos"/>
                <w:b w:val="0"/>
                <w:sz w:val="16"/>
              </w:rPr>
              <w:t>No critical privacy/security defects; doctors can use wallet without training; feedback trust acceptable; data quality adequate</w:t>
            </w:r>
          </w:p>
        </w:tc>
        <w:tc>
          <w:tcPr>
            <w:tcW w:type="dxa" w:w="3389"/>
            <w:vAlign w:val="center"/>
            <w:shd w:fill="F3F6FA"/>
          </w:tcPr>
          <w:p>
            <w:r/>
            <w:r>
              <w:rPr>
                <w:rFonts w:ascii="Aptos" w:hAnsi="Aptos"/>
                <w:b w:val="0"/>
                <w:sz w:val="16"/>
              </w:rPr>
              <w:t>Pause if credential sharing or confidentiality model is not trusted</w:t>
            </w:r>
          </w:p>
        </w:tc>
      </w:tr>
      <w:tr>
        <w:tc>
          <w:tcPr>
            <w:tcW w:type="dxa" w:w="3389"/>
            <w:vAlign w:val="center"/>
          </w:tcPr>
          <w:p>
            <w:r/>
            <w:r>
              <w:rPr>
                <w:rFonts w:ascii="Aptos" w:hAnsi="Aptos"/>
                <w:b w:val="0"/>
                <w:sz w:val="16"/>
              </w:rPr>
              <w:t>Gate C: Exchange → agency production</w:t>
            </w:r>
          </w:p>
        </w:tc>
        <w:tc>
          <w:tcPr>
            <w:tcW w:type="dxa" w:w="3389"/>
            <w:vAlign w:val="center"/>
          </w:tcPr>
          <w:p>
            <w:r/>
            <w:r>
              <w:rPr>
                <w:rFonts w:ascii="Aptos" w:hAnsi="Aptos"/>
                <w:b w:val="0"/>
                <w:sz w:val="16"/>
              </w:rPr>
              <w:t>Panel data/rules signed off; eligibility mappings validated; UAT passed; support ready</w:t>
            </w:r>
          </w:p>
        </w:tc>
        <w:tc>
          <w:tcPr>
            <w:tcW w:type="dxa" w:w="3389"/>
            <w:vAlign w:val="center"/>
          </w:tcPr>
          <w:p>
            <w:r/>
            <w:r>
              <w:rPr>
                <w:rFonts w:ascii="Aptos" w:hAnsi="Aptos"/>
                <w:b w:val="0"/>
                <w:sz w:val="16"/>
              </w:rPr>
              <w:t>Do not release if sourcing rules or scope checks are unreliable</w:t>
            </w:r>
          </w:p>
        </w:tc>
      </w:tr>
      <w:tr>
        <w:tc>
          <w:tcPr>
            <w:tcW w:type="dxa" w:w="3389"/>
            <w:vAlign w:val="center"/>
            <w:shd w:fill="F3F6FA"/>
          </w:tcPr>
          <w:p>
            <w:r/>
            <w:r>
              <w:rPr>
                <w:rFonts w:ascii="Aptos" w:hAnsi="Aptos"/>
                <w:b w:val="0"/>
                <w:sz w:val="16"/>
              </w:rPr>
              <w:t>Gate D: timesheets → production</w:t>
            </w:r>
          </w:p>
        </w:tc>
        <w:tc>
          <w:tcPr>
            <w:tcW w:type="dxa" w:w="3389"/>
            <w:vAlign w:val="center"/>
            <w:shd w:fill="F3F6FA"/>
          </w:tcPr>
          <w:p>
            <w:r/>
            <w:r>
              <w:rPr>
                <w:rFonts w:ascii="Aptos" w:hAnsi="Aptos"/>
                <w:b w:val="0"/>
                <w:sz w:val="16"/>
              </w:rPr>
              <w:t>Approver identity assurance, finance reconciliation and audit accepted</w:t>
            </w:r>
          </w:p>
        </w:tc>
        <w:tc>
          <w:tcPr>
            <w:tcW w:type="dxa" w:w="3389"/>
            <w:vAlign w:val="center"/>
            <w:shd w:fill="F3F6FA"/>
          </w:tcPr>
          <w:p>
            <w:r/>
            <w:r>
              <w:rPr>
                <w:rFonts w:ascii="Aptos" w:hAnsi="Aptos"/>
                <w:b w:val="0"/>
                <w:sz w:val="16"/>
              </w:rPr>
              <w:t>Retain existing process if approval cannot be reliably evidenced</w:t>
            </w:r>
          </w:p>
        </w:tc>
      </w:tr>
      <w:tr>
        <w:tc>
          <w:tcPr>
            <w:tcW w:type="dxa" w:w="3389"/>
            <w:vAlign w:val="center"/>
          </w:tcPr>
          <w:p>
            <w:r/>
            <w:r>
              <w:rPr>
                <w:rFonts w:ascii="Aptos" w:hAnsi="Aptos"/>
                <w:b w:val="0"/>
                <w:sz w:val="16"/>
              </w:rPr>
              <w:t>Gate E: pilot → YNLHN expansion</w:t>
            </w:r>
          </w:p>
        </w:tc>
        <w:tc>
          <w:tcPr>
            <w:tcW w:type="dxa" w:w="3389"/>
            <w:vAlign w:val="center"/>
          </w:tcPr>
          <w:p>
            <w:r/>
            <w:r>
              <w:rPr>
                <w:rFonts w:ascii="Aptos" w:hAnsi="Aptos"/>
                <w:b w:val="0"/>
                <w:sz w:val="16"/>
              </w:rPr>
              <w:t>Benefits demonstrated; no unresolved high risks; operational owner and funding sustainable</w:t>
            </w:r>
          </w:p>
        </w:tc>
        <w:tc>
          <w:tcPr>
            <w:tcW w:type="dxa" w:w="3389"/>
            <w:vAlign w:val="center"/>
          </w:tcPr>
          <w:p>
            <w:r/>
            <w:r>
              <w:rPr>
                <w:rFonts w:ascii="Aptos" w:hAnsi="Aptos"/>
                <w:b w:val="0"/>
                <w:sz w:val="16"/>
              </w:rPr>
              <w:t>Stop, redesign or maintain limited scope if benefits do not justify expansion</w:t>
            </w:r>
          </w:p>
        </w:tc>
      </w:tr>
      <w:tr>
        <w:tc>
          <w:tcPr>
            <w:tcW w:type="dxa" w:w="3389"/>
            <w:vAlign w:val="center"/>
            <w:shd w:fill="F3F6FA"/>
          </w:tcPr>
          <w:p>
            <w:r/>
            <w:r>
              <w:rPr>
                <w:rFonts w:ascii="Aptos" w:hAnsi="Aptos"/>
                <w:b w:val="0"/>
                <w:sz w:val="16"/>
              </w:rPr>
              <w:t>Gate F: YNLHN → second LHN</w:t>
            </w:r>
          </w:p>
        </w:tc>
        <w:tc>
          <w:tcPr>
            <w:tcW w:type="dxa" w:w="3389"/>
            <w:vAlign w:val="center"/>
            <w:shd w:fill="F3F6FA"/>
          </w:tcPr>
          <w:p>
            <w:r/>
            <w:r>
              <w:rPr>
                <w:rFonts w:ascii="Aptos" w:hAnsi="Aptos"/>
                <w:b w:val="0"/>
                <w:sz w:val="16"/>
              </w:rPr>
              <w:t>Credential portability governance, common semantics and cross-LHN information sharing approved</w:t>
            </w:r>
          </w:p>
        </w:tc>
        <w:tc>
          <w:tcPr>
            <w:tcW w:type="dxa" w:w="3389"/>
            <w:vAlign w:val="center"/>
            <w:shd w:fill="F3F6FA"/>
          </w:tcPr>
          <w:p>
            <w:r/>
            <w:r>
              <w:rPr>
                <w:rFonts w:ascii="Aptos" w:hAnsi="Aptos"/>
                <w:b w:val="0"/>
                <w:sz w:val="16"/>
              </w:rPr>
              <w:t>No cross-LHN rollout on technical capability alone</w:t>
            </w:r>
          </w:p>
        </w:tc>
      </w:tr>
    </w:tbl>
    <w:p/>
    <w:p>
      <w:pPr>
        <w:pStyle w:val="Heading1"/>
      </w:pPr>
      <w:r>
        <w:t>25. Risk and issue management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Risk</w:t>
            </w:r>
          </w:p>
        </w:tc>
        <w:tc>
          <w:tcPr>
            <w:tcW w:type="dxa" w:w="3389"/>
            <w:vAlign w:val="center"/>
            <w:shd w:fill="17365D"/>
          </w:tcPr>
          <w:p>
            <w:r/>
            <w:r>
              <w:rPr>
                <w:rFonts w:ascii="Aptos" w:hAnsi="Aptos"/>
                <w:b/>
                <w:color w:val="FFFFFF"/>
                <w:sz w:val="16"/>
              </w:rPr>
              <w:t>Early indicator</w:t>
            </w:r>
          </w:p>
        </w:tc>
        <w:tc>
          <w:tcPr>
            <w:tcW w:type="dxa" w:w="3389"/>
            <w:vAlign w:val="center"/>
            <w:shd w:fill="17365D"/>
          </w:tcPr>
          <w:p>
            <w:r/>
            <w:r>
              <w:rPr>
                <w:rFonts w:ascii="Aptos" w:hAnsi="Aptos"/>
                <w:b/>
                <w:color w:val="FFFFFF"/>
                <w:sz w:val="16"/>
              </w:rPr>
              <w:t>Mitigation/owner</w:t>
            </w:r>
          </w:p>
        </w:tc>
      </w:tr>
      <w:tr>
        <w:tc>
          <w:tcPr>
            <w:tcW w:type="dxa" w:w="3389"/>
            <w:vAlign w:val="center"/>
          </w:tcPr>
          <w:p>
            <w:r/>
            <w:r>
              <w:rPr>
                <w:rFonts w:ascii="Aptos" w:hAnsi="Aptos"/>
                <w:b w:val="0"/>
                <w:sz w:val="16"/>
              </w:rPr>
              <w:t>Low doctor adoption</w:t>
            </w:r>
          </w:p>
        </w:tc>
        <w:tc>
          <w:tcPr>
            <w:tcW w:type="dxa" w:w="3389"/>
            <w:vAlign w:val="center"/>
          </w:tcPr>
          <w:p>
            <w:r/>
            <w:r>
              <w:rPr>
                <w:rFonts w:ascii="Aptos" w:hAnsi="Aptos"/>
                <w:b w:val="0"/>
                <w:sz w:val="16"/>
              </w:rPr>
              <w:t>Low claim rate or wallet use</w:t>
            </w:r>
          </w:p>
        </w:tc>
        <w:tc>
          <w:tcPr>
            <w:tcW w:type="dxa" w:w="3389"/>
            <w:vAlign w:val="center"/>
          </w:tcPr>
          <w:p>
            <w:r/>
            <w:r>
              <w:rPr>
                <w:rFonts w:ascii="Aptos" w:hAnsi="Aptos"/>
                <w:b w:val="0"/>
                <w:sz w:val="16"/>
              </w:rPr>
              <w:t>Co-design, doctor champions, simplify onboarding; Product Owner</w:t>
            </w:r>
          </w:p>
        </w:tc>
      </w:tr>
      <w:tr>
        <w:tc>
          <w:tcPr>
            <w:tcW w:type="dxa" w:w="3389"/>
            <w:vAlign w:val="center"/>
            <w:shd w:fill="F3F6FA"/>
          </w:tcPr>
          <w:p>
            <w:r/>
            <w:r>
              <w:rPr>
                <w:rFonts w:ascii="Aptos" w:hAnsi="Aptos"/>
                <w:b w:val="0"/>
                <w:sz w:val="16"/>
              </w:rPr>
              <w:t>Feedback distrust</w:t>
            </w:r>
          </w:p>
        </w:tc>
        <w:tc>
          <w:tcPr>
            <w:tcW w:type="dxa" w:w="3389"/>
            <w:vAlign w:val="center"/>
            <w:shd w:fill="F3F6FA"/>
          </w:tcPr>
          <w:p>
            <w:r/>
            <w:r>
              <w:rPr>
                <w:rFonts w:ascii="Aptos" w:hAnsi="Aptos"/>
                <w:b w:val="0"/>
                <w:sz w:val="16"/>
              </w:rPr>
              <w:t>Low response or privacy concerns</w:t>
            </w:r>
          </w:p>
        </w:tc>
        <w:tc>
          <w:tcPr>
            <w:tcW w:type="dxa" w:w="3389"/>
            <w:vAlign w:val="center"/>
            <w:shd w:fill="F3F6FA"/>
          </w:tcPr>
          <w:p>
            <w:r/>
            <w:r>
              <w:rPr>
                <w:rFonts w:ascii="Aptos" w:hAnsi="Aptos"/>
                <w:b w:val="0"/>
                <w:sz w:val="16"/>
              </w:rPr>
              <w:t>Thresholds, separation, transparent policy; Privacy/Evaluation</w:t>
            </w:r>
          </w:p>
        </w:tc>
      </w:tr>
      <w:tr>
        <w:tc>
          <w:tcPr>
            <w:tcW w:type="dxa" w:w="3389"/>
            <w:vAlign w:val="center"/>
          </w:tcPr>
          <w:p>
            <w:r/>
            <w:r>
              <w:rPr>
                <w:rFonts w:ascii="Aptos" w:hAnsi="Aptos"/>
                <w:b w:val="0"/>
                <w:sz w:val="16"/>
              </w:rPr>
              <w:t>Credential data mismatch</w:t>
            </w:r>
          </w:p>
        </w:tc>
        <w:tc>
          <w:tcPr>
            <w:tcW w:type="dxa" w:w="3389"/>
            <w:vAlign w:val="center"/>
          </w:tcPr>
          <w:p>
            <w:r/>
            <w:r>
              <w:rPr>
                <w:rFonts w:ascii="Aptos" w:hAnsi="Aptos"/>
                <w:b w:val="0"/>
                <w:sz w:val="16"/>
              </w:rPr>
              <w:t>Doctors dispute imported scope</w:t>
            </w:r>
          </w:p>
        </w:tc>
        <w:tc>
          <w:tcPr>
            <w:tcW w:type="dxa" w:w="3389"/>
            <w:vAlign w:val="center"/>
          </w:tcPr>
          <w:p>
            <w:r/>
            <w:r>
              <w:rPr>
                <w:rFonts w:ascii="Aptos" w:hAnsi="Aptos"/>
                <w:b w:val="0"/>
                <w:sz w:val="16"/>
              </w:rPr>
              <w:t>Reconciliation workflow; Credentialling Lead</w:t>
            </w:r>
          </w:p>
        </w:tc>
      </w:tr>
      <w:tr>
        <w:tc>
          <w:tcPr>
            <w:tcW w:type="dxa" w:w="3389"/>
            <w:vAlign w:val="center"/>
            <w:shd w:fill="F3F6FA"/>
          </w:tcPr>
          <w:p>
            <w:r/>
            <w:r>
              <w:rPr>
                <w:rFonts w:ascii="Aptos" w:hAnsi="Aptos"/>
                <w:b w:val="0"/>
                <w:sz w:val="16"/>
              </w:rPr>
              <w:t>Agency resistance</w:t>
            </w:r>
          </w:p>
        </w:tc>
        <w:tc>
          <w:tcPr>
            <w:tcW w:type="dxa" w:w="3389"/>
            <w:vAlign w:val="center"/>
            <w:shd w:fill="F3F6FA"/>
          </w:tcPr>
          <w:p>
            <w:r/>
            <w:r>
              <w:rPr>
                <w:rFonts w:ascii="Aptos" w:hAnsi="Aptos"/>
                <w:b w:val="0"/>
                <w:sz w:val="16"/>
              </w:rPr>
              <w:t>Low portal participation</w:t>
            </w:r>
          </w:p>
        </w:tc>
        <w:tc>
          <w:tcPr>
            <w:tcW w:type="dxa" w:w="3389"/>
            <w:vAlign w:val="center"/>
            <w:shd w:fill="F3F6FA"/>
          </w:tcPr>
          <w:p>
            <w:r/>
            <w:r>
              <w:rPr>
                <w:rFonts w:ascii="Aptos" w:hAnsi="Aptos"/>
                <w:b w:val="0"/>
                <w:sz w:val="16"/>
              </w:rPr>
              <w:t>Engage early, preserve panel process, minimise duplicate work; Procurement</w:t>
            </w:r>
          </w:p>
        </w:tc>
      </w:tr>
      <w:tr>
        <w:tc>
          <w:tcPr>
            <w:tcW w:type="dxa" w:w="3389"/>
            <w:vAlign w:val="center"/>
          </w:tcPr>
          <w:p>
            <w:r/>
            <w:r>
              <w:rPr>
                <w:rFonts w:ascii="Aptos" w:hAnsi="Aptos"/>
                <w:b w:val="0"/>
                <w:sz w:val="16"/>
              </w:rPr>
              <w:t>Workflow duplication</w:t>
            </w:r>
          </w:p>
        </w:tc>
        <w:tc>
          <w:tcPr>
            <w:tcW w:type="dxa" w:w="3389"/>
            <w:vAlign w:val="center"/>
          </w:tcPr>
          <w:p>
            <w:r/>
            <w:r>
              <w:rPr>
                <w:rFonts w:ascii="Aptos" w:hAnsi="Aptos"/>
                <w:b w:val="0"/>
                <w:sz w:val="16"/>
              </w:rPr>
              <w:t>Staff maintain old and new systems indefinitely</w:t>
            </w:r>
          </w:p>
        </w:tc>
        <w:tc>
          <w:tcPr>
            <w:tcW w:type="dxa" w:w="3389"/>
            <w:vAlign w:val="center"/>
          </w:tcPr>
          <w:p>
            <w:r/>
            <w:r>
              <w:rPr>
                <w:rFonts w:ascii="Aptos" w:hAnsi="Aptos"/>
                <w:b w:val="0"/>
                <w:sz w:val="16"/>
              </w:rPr>
              <w:t>Defined transition rules and sunset criteria; Medical Workforce</w:t>
            </w:r>
          </w:p>
        </w:tc>
      </w:tr>
      <w:tr>
        <w:tc>
          <w:tcPr>
            <w:tcW w:type="dxa" w:w="3389"/>
            <w:vAlign w:val="center"/>
            <w:shd w:fill="F3F6FA"/>
          </w:tcPr>
          <w:p>
            <w:r/>
            <w:r>
              <w:rPr>
                <w:rFonts w:ascii="Aptos" w:hAnsi="Aptos"/>
                <w:b w:val="0"/>
                <w:sz w:val="16"/>
              </w:rPr>
              <w:t>Scope/eligibility error</w:t>
            </w:r>
          </w:p>
        </w:tc>
        <w:tc>
          <w:tcPr>
            <w:tcW w:type="dxa" w:w="3389"/>
            <w:vAlign w:val="center"/>
            <w:shd w:fill="F3F6FA"/>
          </w:tcPr>
          <w:p>
            <w:r/>
            <w:r>
              <w:rPr>
                <w:rFonts w:ascii="Aptos" w:hAnsi="Aptos"/>
                <w:b w:val="0"/>
                <w:sz w:val="16"/>
              </w:rPr>
              <w:t>Incorrect eligible list</w:t>
            </w:r>
          </w:p>
        </w:tc>
        <w:tc>
          <w:tcPr>
            <w:tcW w:type="dxa" w:w="3389"/>
            <w:vAlign w:val="center"/>
            <w:shd w:fill="F3F6FA"/>
          </w:tcPr>
          <w:p>
            <w:r/>
            <w:r>
              <w:rPr>
                <w:rFonts w:ascii="Aptos" w:hAnsi="Aptos"/>
                <w:b w:val="0"/>
                <w:sz w:val="16"/>
              </w:rPr>
              <w:t>Pre-release mapping validation and human confirmation; Clinical Safety</w:t>
            </w:r>
          </w:p>
        </w:tc>
      </w:tr>
      <w:tr>
        <w:tc>
          <w:tcPr>
            <w:tcW w:type="dxa" w:w="3389"/>
            <w:vAlign w:val="center"/>
          </w:tcPr>
          <w:p>
            <w:r/>
            <w:r>
              <w:rPr>
                <w:rFonts w:ascii="Aptos" w:hAnsi="Aptos"/>
                <w:b w:val="0"/>
                <w:sz w:val="16"/>
              </w:rPr>
              <w:t>Cyber/privacy incident</w:t>
            </w:r>
          </w:p>
        </w:tc>
        <w:tc>
          <w:tcPr>
            <w:tcW w:type="dxa" w:w="3389"/>
            <w:vAlign w:val="center"/>
          </w:tcPr>
          <w:p>
            <w:r/>
            <w:r>
              <w:rPr>
                <w:rFonts w:ascii="Aptos" w:hAnsi="Aptos"/>
                <w:b w:val="0"/>
                <w:sz w:val="16"/>
              </w:rPr>
              <w:t>Unauthorised access or sharing</w:t>
            </w:r>
          </w:p>
        </w:tc>
        <w:tc>
          <w:tcPr>
            <w:tcW w:type="dxa" w:w="3389"/>
            <w:vAlign w:val="center"/>
          </w:tcPr>
          <w:p>
            <w:r/>
            <w:r>
              <w:rPr>
                <w:rFonts w:ascii="Aptos" w:hAnsi="Aptos"/>
                <w:b w:val="0"/>
                <w:sz w:val="16"/>
              </w:rPr>
              <w:t>MFA, least privilege, logging, incident response; Digital/Cyber</w:t>
            </w:r>
          </w:p>
        </w:tc>
      </w:tr>
      <w:tr>
        <w:tc>
          <w:tcPr>
            <w:tcW w:type="dxa" w:w="3389"/>
            <w:vAlign w:val="center"/>
            <w:shd w:fill="F3F6FA"/>
          </w:tcPr>
          <w:p>
            <w:r/>
            <w:r>
              <w:rPr>
                <w:rFonts w:ascii="Aptos" w:hAnsi="Aptos"/>
                <w:b w:val="0"/>
                <w:sz w:val="16"/>
              </w:rPr>
              <w:t>Survey free text contains PII</w:t>
            </w:r>
          </w:p>
        </w:tc>
        <w:tc>
          <w:tcPr>
            <w:tcW w:type="dxa" w:w="3389"/>
            <w:vAlign w:val="center"/>
            <w:shd w:fill="F3F6FA"/>
          </w:tcPr>
          <w:p>
            <w:r/>
            <w:r>
              <w:rPr>
                <w:rFonts w:ascii="Aptos" w:hAnsi="Aptos"/>
                <w:b w:val="0"/>
                <w:sz w:val="16"/>
              </w:rPr>
              <w:t>Identifiable patient/staff details</w:t>
            </w:r>
          </w:p>
        </w:tc>
        <w:tc>
          <w:tcPr>
            <w:tcW w:type="dxa" w:w="3389"/>
            <w:vAlign w:val="center"/>
            <w:shd w:fill="F3F6FA"/>
          </w:tcPr>
          <w:p>
            <w:r/>
            <w:r>
              <w:rPr>
                <w:rFonts w:ascii="Aptos" w:hAnsi="Aptos"/>
                <w:b w:val="0"/>
                <w:sz w:val="16"/>
              </w:rPr>
              <w:t>Warning, restricted raw access, moderation; Evaluation/Privacy</w:t>
            </w:r>
          </w:p>
        </w:tc>
      </w:tr>
      <w:tr>
        <w:tc>
          <w:tcPr>
            <w:tcW w:type="dxa" w:w="3389"/>
            <w:vAlign w:val="center"/>
          </w:tcPr>
          <w:p>
            <w:r/>
            <w:r>
              <w:rPr>
                <w:rFonts w:ascii="Aptos" w:hAnsi="Aptos"/>
                <w:b w:val="0"/>
                <w:sz w:val="16"/>
              </w:rPr>
              <w:t>Benefits not measurable</w:t>
            </w:r>
          </w:p>
        </w:tc>
        <w:tc>
          <w:tcPr>
            <w:tcW w:type="dxa" w:w="3389"/>
            <w:vAlign w:val="center"/>
          </w:tcPr>
          <w:p>
            <w:r/>
            <w:r>
              <w:rPr>
                <w:rFonts w:ascii="Aptos" w:hAnsi="Aptos"/>
                <w:b w:val="0"/>
                <w:sz w:val="16"/>
              </w:rPr>
              <w:t>Missing baseline or incomplete cost fields</w:t>
            </w:r>
          </w:p>
        </w:tc>
        <w:tc>
          <w:tcPr>
            <w:tcW w:type="dxa" w:w="3389"/>
            <w:vAlign w:val="center"/>
          </w:tcPr>
          <w:p>
            <w:r/>
            <w:r>
              <w:rPr>
                <w:rFonts w:ascii="Aptos" w:hAnsi="Aptos"/>
                <w:b w:val="0"/>
                <w:sz w:val="16"/>
              </w:rPr>
              <w:t>Baseline workstream and mandatory booking fields; Evaluation/Finance</w:t>
            </w:r>
          </w:p>
        </w:tc>
      </w:tr>
    </w:tbl>
    <w:p/>
    <w:p>
      <w:pPr>
        <w:pStyle w:val="Heading1"/>
      </w:pPr>
      <w:r>
        <w:t>26. Reporting cadence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
              <w:rPr>
                <w:rFonts w:ascii="Aptos" w:hAnsi="Aptos"/>
                <w:b/>
                <w:color w:val="FFFFFF"/>
                <w:sz w:val="16"/>
              </w:rPr>
              <w:t>Report</w:t>
            </w:r>
          </w:p>
        </w:tc>
        <w:tc>
          <w:tcPr>
            <w:tcW w:type="dxa" w:w="2541"/>
            <w:vAlign w:val="center"/>
            <w:shd w:fill="17365D"/>
          </w:tcPr>
          <w:p>
            <w:r/>
            <w:r>
              <w:rPr>
                <w:rFonts w:ascii="Aptos" w:hAnsi="Aptos"/>
                <w:b/>
                <w:color w:val="FFFFFF"/>
                <w:sz w:val="16"/>
              </w:rPr>
              <w:t>Frequency</w:t>
            </w:r>
          </w:p>
        </w:tc>
        <w:tc>
          <w:tcPr>
            <w:tcW w:type="dxa" w:w="2541"/>
            <w:vAlign w:val="center"/>
            <w:shd w:fill="17365D"/>
          </w:tcPr>
          <w:p>
            <w:r/>
            <w:r>
              <w:rPr>
                <w:rFonts w:ascii="Aptos" w:hAnsi="Aptos"/>
                <w:b/>
                <w:color w:val="FFFFFF"/>
                <w:sz w:val="16"/>
              </w:rPr>
              <w:t>Audience</w:t>
            </w:r>
          </w:p>
        </w:tc>
        <w:tc>
          <w:tcPr>
            <w:tcW w:type="dxa" w:w="2541"/>
            <w:vAlign w:val="center"/>
            <w:shd w:fill="17365D"/>
          </w:tcPr>
          <w:p>
            <w:r/>
            <w:r>
              <w:rPr>
                <w:rFonts w:ascii="Aptos" w:hAnsi="Aptos"/>
                <w:b/>
                <w:color w:val="FFFFFF"/>
                <w:sz w:val="16"/>
              </w:rPr>
              <w:t>Content</w:t>
            </w:r>
          </w:p>
        </w:tc>
      </w:tr>
      <w:tr>
        <w:tc>
          <w:tcPr>
            <w:tcW w:type="dxa" w:w="2541"/>
            <w:vAlign w:val="center"/>
          </w:tcPr>
          <w:p>
            <w:r/>
            <w:r>
              <w:rPr>
                <w:rFonts w:ascii="Aptos" w:hAnsi="Aptos"/>
                <w:b w:val="0"/>
                <w:sz w:val="16"/>
              </w:rPr>
              <w:t>Operational pilot dashboard</w:t>
            </w:r>
          </w:p>
        </w:tc>
        <w:tc>
          <w:tcPr>
            <w:tcW w:type="dxa" w:w="2541"/>
            <w:vAlign w:val="center"/>
          </w:tcPr>
          <w:p>
            <w:r/>
            <w:r>
              <w:rPr>
                <w:rFonts w:ascii="Aptos" w:hAnsi="Aptos"/>
                <w:b w:val="0"/>
                <w:sz w:val="16"/>
              </w:rPr>
              <w:t>Weekly during active rollout</w:t>
            </w:r>
          </w:p>
        </w:tc>
        <w:tc>
          <w:tcPr>
            <w:tcW w:type="dxa" w:w="2541"/>
            <w:vAlign w:val="center"/>
          </w:tcPr>
          <w:p>
            <w:r/>
            <w:r>
              <w:rPr>
                <w:rFonts w:ascii="Aptos" w:hAnsi="Aptos"/>
                <w:b w:val="0"/>
                <w:sz w:val="16"/>
              </w:rPr>
              <w:t>Product team/Medical Workforce</w:t>
            </w:r>
          </w:p>
        </w:tc>
        <w:tc>
          <w:tcPr>
            <w:tcW w:type="dxa" w:w="2541"/>
            <w:vAlign w:val="center"/>
          </w:tcPr>
          <w:p>
            <w:r/>
            <w:r>
              <w:rPr>
                <w:rFonts w:ascii="Aptos" w:hAnsi="Aptos"/>
                <w:b w:val="0"/>
                <w:sz w:val="16"/>
              </w:rPr>
              <w:t>Adoption, defects, vacancies, timesheets, support</w:t>
            </w:r>
          </w:p>
        </w:tc>
      </w:tr>
      <w:tr>
        <w:tc>
          <w:tcPr>
            <w:tcW w:type="dxa" w:w="2541"/>
            <w:vAlign w:val="center"/>
            <w:shd w:fill="F3F6FA"/>
          </w:tcPr>
          <w:p>
            <w:r/>
            <w:r>
              <w:rPr>
                <w:rFonts w:ascii="Aptos" w:hAnsi="Aptos"/>
                <w:b w:val="0"/>
                <w:sz w:val="16"/>
              </w:rPr>
              <w:t>Risk and assurance report</w:t>
            </w:r>
          </w:p>
        </w:tc>
        <w:tc>
          <w:tcPr>
            <w:tcW w:type="dxa" w:w="2541"/>
            <w:vAlign w:val="center"/>
            <w:shd w:fill="F3F6FA"/>
          </w:tcPr>
          <w:p>
            <w:r/>
            <w:r>
              <w:rPr>
                <w:rFonts w:ascii="Aptos" w:hAnsi="Aptos"/>
                <w:b w:val="0"/>
                <w:sz w:val="16"/>
              </w:rPr>
              <w:t>Monthly</w:t>
            </w:r>
          </w:p>
        </w:tc>
        <w:tc>
          <w:tcPr>
            <w:tcW w:type="dxa" w:w="2541"/>
            <w:vAlign w:val="center"/>
            <w:shd w:fill="F3F6FA"/>
          </w:tcPr>
          <w:p>
            <w:r/>
            <w:r>
              <w:rPr>
                <w:rFonts w:ascii="Aptos" w:hAnsi="Aptos"/>
                <w:b w:val="0"/>
                <w:sz w:val="16"/>
              </w:rPr>
              <w:t>Steering Group</w:t>
            </w:r>
          </w:p>
        </w:tc>
        <w:tc>
          <w:tcPr>
            <w:tcW w:type="dxa" w:w="2541"/>
            <w:vAlign w:val="center"/>
            <w:shd w:fill="F3F6FA"/>
          </w:tcPr>
          <w:p>
            <w:r/>
            <w:r>
              <w:rPr>
                <w:rFonts w:ascii="Aptos" w:hAnsi="Aptos"/>
                <w:b w:val="0"/>
                <w:sz w:val="16"/>
              </w:rPr>
              <w:t>Safety, privacy, procurement, cyber, issues and mitigations</w:t>
            </w:r>
          </w:p>
        </w:tc>
      </w:tr>
      <w:tr>
        <w:tc>
          <w:tcPr>
            <w:tcW w:type="dxa" w:w="2541"/>
            <w:vAlign w:val="center"/>
          </w:tcPr>
          <w:p>
            <w:r/>
            <w:r>
              <w:rPr>
                <w:rFonts w:ascii="Aptos" w:hAnsi="Aptos"/>
                <w:b w:val="0"/>
                <w:sz w:val="16"/>
              </w:rPr>
              <w:t>Experience dashboard</w:t>
            </w:r>
          </w:p>
        </w:tc>
        <w:tc>
          <w:tcPr>
            <w:tcW w:type="dxa" w:w="2541"/>
            <w:vAlign w:val="center"/>
          </w:tcPr>
          <w:p>
            <w:r/>
            <w:r>
              <w:rPr>
                <w:rFonts w:ascii="Aptos" w:hAnsi="Aptos"/>
                <w:b w:val="0"/>
                <w:sz w:val="16"/>
              </w:rPr>
              <w:t>Monthly/quarterly depending n</w:t>
            </w:r>
          </w:p>
        </w:tc>
        <w:tc>
          <w:tcPr>
            <w:tcW w:type="dxa" w:w="2541"/>
            <w:vAlign w:val="center"/>
          </w:tcPr>
          <w:p>
            <w:r/>
            <w:r>
              <w:rPr>
                <w:rFonts w:ascii="Aptos" w:hAnsi="Aptos"/>
                <w:b w:val="0"/>
                <w:sz w:val="16"/>
              </w:rPr>
              <w:t>Site leaders/Steering Group</w:t>
            </w:r>
          </w:p>
        </w:tc>
        <w:tc>
          <w:tcPr>
            <w:tcW w:type="dxa" w:w="2541"/>
            <w:vAlign w:val="center"/>
          </w:tcPr>
          <w:p>
            <w:r/>
            <w:r>
              <w:rPr>
                <w:rFonts w:ascii="Aptos" w:hAnsi="Aptos"/>
                <w:b w:val="0"/>
                <w:sz w:val="16"/>
              </w:rPr>
              <w:t>Aggregated experience, themes, return and actions</w:t>
            </w:r>
          </w:p>
        </w:tc>
      </w:tr>
      <w:tr>
        <w:tc>
          <w:tcPr>
            <w:tcW w:type="dxa" w:w="2541"/>
            <w:vAlign w:val="center"/>
            <w:shd w:fill="F3F6FA"/>
          </w:tcPr>
          <w:p>
            <w:r/>
            <w:r>
              <w:rPr>
                <w:rFonts w:ascii="Aptos" w:hAnsi="Aptos"/>
                <w:b w:val="0"/>
                <w:sz w:val="16"/>
              </w:rPr>
              <w:t>Executive pilot report</w:t>
            </w:r>
          </w:p>
        </w:tc>
        <w:tc>
          <w:tcPr>
            <w:tcW w:type="dxa" w:w="2541"/>
            <w:vAlign w:val="center"/>
            <w:shd w:fill="F3F6FA"/>
          </w:tcPr>
          <w:p>
            <w:r/>
            <w:r>
              <w:rPr>
                <w:rFonts w:ascii="Aptos" w:hAnsi="Aptos"/>
                <w:b w:val="0"/>
                <w:sz w:val="16"/>
              </w:rPr>
              <w:t>Monthly or stage gate</w:t>
            </w:r>
          </w:p>
        </w:tc>
        <w:tc>
          <w:tcPr>
            <w:tcW w:type="dxa" w:w="2541"/>
            <w:vAlign w:val="center"/>
            <w:shd w:fill="F3F6FA"/>
          </w:tcPr>
          <w:p>
            <w:r/>
            <w:r>
              <w:rPr>
                <w:rFonts w:ascii="Aptos" w:hAnsi="Aptos"/>
                <w:b w:val="0"/>
                <w:sz w:val="16"/>
              </w:rPr>
              <w:t>Executive Sponsor/ELT</w:t>
            </w:r>
          </w:p>
        </w:tc>
        <w:tc>
          <w:tcPr>
            <w:tcW w:type="dxa" w:w="2541"/>
            <w:vAlign w:val="center"/>
            <w:shd w:fill="F3F6FA"/>
          </w:tcPr>
          <w:p>
            <w:r/>
            <w:r>
              <w:rPr>
                <w:rFonts w:ascii="Aptos" w:hAnsi="Aptos"/>
                <w:b w:val="0"/>
                <w:sz w:val="16"/>
              </w:rPr>
              <w:t>Progress, benefits, risks, decisions required</w:t>
            </w:r>
          </w:p>
        </w:tc>
      </w:tr>
      <w:tr>
        <w:tc>
          <w:tcPr>
            <w:tcW w:type="dxa" w:w="2541"/>
            <w:vAlign w:val="center"/>
          </w:tcPr>
          <w:p>
            <w:r/>
            <w:r>
              <w:rPr>
                <w:rFonts w:ascii="Aptos" w:hAnsi="Aptos"/>
                <w:b w:val="0"/>
                <w:sz w:val="16"/>
              </w:rPr>
              <w:t>Formal evaluation report</w:t>
            </w:r>
          </w:p>
        </w:tc>
        <w:tc>
          <w:tcPr>
            <w:tcW w:type="dxa" w:w="2541"/>
            <w:vAlign w:val="center"/>
          </w:tcPr>
          <w:p>
            <w:r/>
            <w:r>
              <w:rPr>
                <w:rFonts w:ascii="Aptos" w:hAnsi="Aptos"/>
                <w:b w:val="0"/>
                <w:sz w:val="16"/>
              </w:rPr>
              <w:t>End of integrated pilot</w:t>
            </w:r>
          </w:p>
        </w:tc>
        <w:tc>
          <w:tcPr>
            <w:tcW w:type="dxa" w:w="2541"/>
            <w:vAlign w:val="center"/>
          </w:tcPr>
          <w:p>
            <w:r/>
            <w:r>
              <w:rPr>
                <w:rFonts w:ascii="Aptos" w:hAnsi="Aptos"/>
                <w:b w:val="0"/>
                <w:sz w:val="16"/>
              </w:rPr>
              <w:t>YNLHN Executive</w:t>
            </w:r>
          </w:p>
        </w:tc>
        <w:tc>
          <w:tcPr>
            <w:tcW w:type="dxa" w:w="2541"/>
            <w:vAlign w:val="center"/>
          </w:tcPr>
          <w:p>
            <w:r/>
            <w:r>
              <w:rPr>
                <w:rFonts w:ascii="Aptos" w:hAnsi="Aptos"/>
                <w:b w:val="0"/>
                <w:sz w:val="16"/>
              </w:rPr>
              <w:t>Outcomes, costs, unintended consequences and recommendation</w:t>
            </w:r>
          </w:p>
        </w:tc>
      </w:tr>
    </w:tbl>
    <w:p/>
    <w:p>
      <w:pPr>
        <w:pStyle w:val="Heading1"/>
      </w:pPr>
      <w:r>
        <w:t>27. Data analysis plan</w:t>
      </w:r>
    </w:p>
    <w:p>
      <w:pPr>
        <w:pStyle w:val="ListBullet"/>
      </w:pPr>
      <w:r>
        <w:t>Describe adoption and workflow measures using counts, proportions, medians and distributions.</w:t>
      </w:r>
    </w:p>
    <w:p>
      <w:pPr>
        <w:pStyle w:val="ListBullet"/>
      </w:pPr>
      <w:r>
        <w:t>Compare pre/post time-to-fill, contacts and timesheet turnaround where baseline quality permits.</w:t>
      </w:r>
    </w:p>
    <w:p>
      <w:pPr>
        <w:pStyle w:val="ListBullet"/>
      </w:pPr>
      <w:r>
        <w:t>Calculate return using clearly defined denominators, including an eligible-return measure that requires a reasonable subsequent opportunity.</w:t>
      </w:r>
    </w:p>
    <w:p>
      <w:pPr>
        <w:pStyle w:val="ListBullet"/>
      </w:pPr>
      <w:r>
        <w:t>Examine associations between experience domains and return cautiously; do not imply causation from observational pilot data.</w:t>
      </w:r>
    </w:p>
    <w:p>
      <w:pPr>
        <w:pStyle w:val="ListBullet"/>
      </w:pPr>
      <w:r>
        <w:t>Report site-level results only above anonymity thresholds.</w:t>
      </w:r>
    </w:p>
    <w:p>
      <w:pPr>
        <w:pStyle w:val="ListBullet"/>
      </w:pPr>
      <w:r>
        <w:t>Analyse free-text thematically with identifiable details removed before dissemination.</w:t>
      </w:r>
    </w:p>
    <w:p>
      <w:pPr>
        <w:pStyle w:val="ListBullet"/>
      </w:pPr>
      <w:r>
        <w:t>Stratify by site, role, sourcing channel and lead time where sample size permits.</w:t>
      </w:r>
    </w:p>
    <w:p>
      <w:pPr>
        <w:pStyle w:val="ListBullet"/>
      </w:pPr>
      <w:r>
        <w:t>Document missing data and changes in data collection during the pilot.</w:t>
      </w:r>
    </w:p>
    <w:p>
      <w:pPr>
        <w:pStyle w:val="Heading1"/>
      </w:pPr>
      <w:r>
        <w:t>28. Benefits realisation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Benefit</w:t>
            </w:r>
          </w:p>
        </w:tc>
        <w:tc>
          <w:tcPr>
            <w:tcW w:type="dxa" w:w="3389"/>
            <w:vAlign w:val="center"/>
            <w:shd w:fill="17365D"/>
          </w:tcPr>
          <w:p>
            <w:r/>
            <w:r>
              <w:rPr>
                <w:rFonts w:ascii="Aptos" w:hAnsi="Aptos"/>
                <w:b/>
                <w:color w:val="FFFFFF"/>
                <w:sz w:val="16"/>
              </w:rPr>
              <w:t>Leading indicator</w:t>
            </w:r>
          </w:p>
        </w:tc>
        <w:tc>
          <w:tcPr>
            <w:tcW w:type="dxa" w:w="3389"/>
            <w:vAlign w:val="center"/>
            <w:shd w:fill="17365D"/>
          </w:tcPr>
          <w:p>
            <w:r/>
            <w:r>
              <w:rPr>
                <w:rFonts w:ascii="Aptos" w:hAnsi="Aptos"/>
                <w:b/>
                <w:color w:val="FFFFFF"/>
                <w:sz w:val="16"/>
              </w:rPr>
              <w:t>Outcome indicator</w:t>
            </w:r>
          </w:p>
        </w:tc>
      </w:tr>
      <w:tr>
        <w:tc>
          <w:tcPr>
            <w:tcW w:type="dxa" w:w="3389"/>
            <w:vAlign w:val="center"/>
          </w:tcPr>
          <w:p>
            <w:r/>
            <w:r>
              <w:rPr>
                <w:rFonts w:ascii="Aptos" w:hAnsi="Aptos"/>
                <w:b w:val="0"/>
                <w:sz w:val="16"/>
              </w:rPr>
              <w:t>Doctor administrative benefit</w:t>
            </w:r>
          </w:p>
        </w:tc>
        <w:tc>
          <w:tcPr>
            <w:tcW w:type="dxa" w:w="3389"/>
            <w:vAlign w:val="center"/>
          </w:tcPr>
          <w:p>
            <w:r/>
            <w:r>
              <w:rPr>
                <w:rFonts w:ascii="Aptos" w:hAnsi="Aptos"/>
                <w:b w:val="0"/>
                <w:sz w:val="16"/>
              </w:rPr>
              <w:t>Wallet completion and sharing</w:t>
            </w:r>
          </w:p>
        </w:tc>
        <w:tc>
          <w:tcPr>
            <w:tcW w:type="dxa" w:w="3389"/>
            <w:vAlign w:val="center"/>
          </w:tcPr>
          <w:p>
            <w:r/>
            <w:r>
              <w:rPr>
                <w:rFonts w:ascii="Aptos" w:hAnsi="Aptos"/>
                <w:b w:val="0"/>
                <w:sz w:val="16"/>
              </w:rPr>
              <w:t>Reported reduction in repeated credential preparation</w:t>
            </w:r>
          </w:p>
        </w:tc>
      </w:tr>
      <w:tr>
        <w:tc>
          <w:tcPr>
            <w:tcW w:type="dxa" w:w="3389"/>
            <w:vAlign w:val="center"/>
            <w:shd w:fill="F3F6FA"/>
          </w:tcPr>
          <w:p>
            <w:r/>
            <w:r>
              <w:rPr>
                <w:rFonts w:ascii="Aptos" w:hAnsi="Aptos"/>
                <w:b w:val="0"/>
                <w:sz w:val="16"/>
              </w:rPr>
              <w:t>Improved locum experience</w:t>
            </w:r>
          </w:p>
        </w:tc>
        <w:tc>
          <w:tcPr>
            <w:tcW w:type="dxa" w:w="3389"/>
            <w:vAlign w:val="center"/>
            <w:shd w:fill="F3F6FA"/>
          </w:tcPr>
          <w:p>
            <w:r/>
            <w:r>
              <w:rPr>
                <w:rFonts w:ascii="Aptos" w:hAnsi="Aptos"/>
                <w:b w:val="0"/>
                <w:sz w:val="16"/>
              </w:rPr>
              <w:t>Survey participation and actions</w:t>
            </w:r>
          </w:p>
        </w:tc>
        <w:tc>
          <w:tcPr>
            <w:tcW w:type="dxa" w:w="3389"/>
            <w:vAlign w:val="center"/>
            <w:shd w:fill="F3F6FA"/>
          </w:tcPr>
          <w:p>
            <w:r/>
            <w:r>
              <w:rPr>
                <w:rFonts w:ascii="Aptos" w:hAnsi="Aptos"/>
                <w:b w:val="0"/>
                <w:sz w:val="16"/>
              </w:rPr>
              <w:t>Improved domain scores/return over time</w:t>
            </w:r>
          </w:p>
        </w:tc>
      </w:tr>
      <w:tr>
        <w:tc>
          <w:tcPr>
            <w:tcW w:type="dxa" w:w="3389"/>
            <w:vAlign w:val="center"/>
          </w:tcPr>
          <w:p>
            <w:r/>
            <w:r>
              <w:rPr>
                <w:rFonts w:ascii="Aptos" w:hAnsi="Aptos"/>
                <w:b w:val="0"/>
                <w:sz w:val="16"/>
              </w:rPr>
              <w:t>Faster fill</w:t>
            </w:r>
          </w:p>
        </w:tc>
        <w:tc>
          <w:tcPr>
            <w:tcW w:type="dxa" w:w="3389"/>
            <w:vAlign w:val="center"/>
          </w:tcPr>
          <w:p>
            <w:r/>
            <w:r>
              <w:rPr>
                <w:rFonts w:ascii="Aptos" w:hAnsi="Aptos"/>
                <w:b w:val="0"/>
                <w:sz w:val="16"/>
              </w:rPr>
              <w:t>Earlier/more structured responses</w:t>
            </w:r>
          </w:p>
        </w:tc>
        <w:tc>
          <w:tcPr>
            <w:tcW w:type="dxa" w:w="3389"/>
            <w:vAlign w:val="center"/>
          </w:tcPr>
          <w:p>
            <w:r/>
            <w:r>
              <w:rPr>
                <w:rFonts w:ascii="Aptos" w:hAnsi="Aptos"/>
                <w:b w:val="0"/>
                <w:sz w:val="16"/>
              </w:rPr>
              <w:t>Reduced median time-to-fill</w:t>
            </w:r>
          </w:p>
        </w:tc>
      </w:tr>
      <w:tr>
        <w:tc>
          <w:tcPr>
            <w:tcW w:type="dxa" w:w="3389"/>
            <w:vAlign w:val="center"/>
            <w:shd w:fill="F3F6FA"/>
          </w:tcPr>
          <w:p>
            <w:r/>
            <w:r>
              <w:rPr>
                <w:rFonts w:ascii="Aptos" w:hAnsi="Aptos"/>
                <w:b w:val="0"/>
                <w:sz w:val="16"/>
              </w:rPr>
              <w:t>Lower admin burden</w:t>
            </w:r>
          </w:p>
        </w:tc>
        <w:tc>
          <w:tcPr>
            <w:tcW w:type="dxa" w:w="3389"/>
            <w:vAlign w:val="center"/>
            <w:shd w:fill="F3F6FA"/>
          </w:tcPr>
          <w:p>
            <w:r/>
            <w:r>
              <w:rPr>
                <w:rFonts w:ascii="Aptos" w:hAnsi="Aptos"/>
                <w:b w:val="0"/>
                <w:sz w:val="16"/>
              </w:rPr>
              <w:t>Fewer manual contacts</w:t>
            </w:r>
          </w:p>
        </w:tc>
        <w:tc>
          <w:tcPr>
            <w:tcW w:type="dxa" w:w="3389"/>
            <w:vAlign w:val="center"/>
            <w:shd w:fill="F3F6FA"/>
          </w:tcPr>
          <w:p>
            <w:r/>
            <w:r>
              <w:rPr>
                <w:rFonts w:ascii="Aptos" w:hAnsi="Aptos"/>
                <w:b w:val="0"/>
                <w:sz w:val="16"/>
              </w:rPr>
              <w:t>Staff time released</w:t>
            </w:r>
          </w:p>
        </w:tc>
      </w:tr>
      <w:tr>
        <w:tc>
          <w:tcPr>
            <w:tcW w:type="dxa" w:w="3389"/>
            <w:vAlign w:val="center"/>
          </w:tcPr>
          <w:p>
            <w:r/>
            <w:r>
              <w:rPr>
                <w:rFonts w:ascii="Aptos" w:hAnsi="Aptos"/>
                <w:b w:val="0"/>
                <w:sz w:val="16"/>
              </w:rPr>
              <w:t>Procurement visibility</w:t>
            </w:r>
          </w:p>
        </w:tc>
        <w:tc>
          <w:tcPr>
            <w:tcW w:type="dxa" w:w="3389"/>
            <w:vAlign w:val="center"/>
          </w:tcPr>
          <w:p>
            <w:r/>
            <w:r>
              <w:rPr>
                <w:rFonts w:ascii="Aptos" w:hAnsi="Aptos"/>
                <w:b w:val="0"/>
                <w:sz w:val="16"/>
              </w:rPr>
              <w:t>Complete sourcing records</w:t>
            </w:r>
          </w:p>
        </w:tc>
        <w:tc>
          <w:tcPr>
            <w:tcW w:type="dxa" w:w="3389"/>
            <w:vAlign w:val="center"/>
          </w:tcPr>
          <w:p>
            <w:r/>
            <w:r>
              <w:rPr>
                <w:rFonts w:ascii="Aptos" w:hAnsi="Aptos"/>
                <w:b w:val="0"/>
                <w:sz w:val="16"/>
              </w:rPr>
              <w:t>Agency performance and compliance reporting</w:t>
            </w:r>
          </w:p>
        </w:tc>
      </w:tr>
      <w:tr>
        <w:tc>
          <w:tcPr>
            <w:tcW w:type="dxa" w:w="3389"/>
            <w:vAlign w:val="center"/>
            <w:shd w:fill="F3F6FA"/>
          </w:tcPr>
          <w:p>
            <w:r/>
            <w:r>
              <w:rPr>
                <w:rFonts w:ascii="Aptos" w:hAnsi="Aptos"/>
                <w:b w:val="0"/>
                <w:sz w:val="16"/>
              </w:rPr>
              <w:t>Financial visibility</w:t>
            </w:r>
          </w:p>
        </w:tc>
        <w:tc>
          <w:tcPr>
            <w:tcW w:type="dxa" w:w="3389"/>
            <w:vAlign w:val="center"/>
            <w:shd w:fill="F3F6FA"/>
          </w:tcPr>
          <w:p>
            <w:r/>
            <w:r>
              <w:rPr>
                <w:rFonts w:ascii="Aptos" w:hAnsi="Aptos"/>
                <w:b w:val="0"/>
                <w:sz w:val="16"/>
              </w:rPr>
              <w:t>Complete booking cost fields</w:t>
            </w:r>
          </w:p>
        </w:tc>
        <w:tc>
          <w:tcPr>
            <w:tcW w:type="dxa" w:w="3389"/>
            <w:vAlign w:val="center"/>
            <w:shd w:fill="F3F6FA"/>
          </w:tcPr>
          <w:p>
            <w:r/>
            <w:r>
              <w:rPr>
                <w:rFonts w:ascii="Aptos" w:hAnsi="Aptos"/>
                <w:b w:val="0"/>
                <w:sz w:val="16"/>
              </w:rPr>
              <w:t>Reliable effective cost per shift/hour</w:t>
            </w:r>
          </w:p>
        </w:tc>
      </w:tr>
      <w:tr>
        <w:tc>
          <w:tcPr>
            <w:tcW w:type="dxa" w:w="3389"/>
            <w:vAlign w:val="center"/>
          </w:tcPr>
          <w:p>
            <w:r/>
            <w:r>
              <w:rPr>
                <w:rFonts w:ascii="Aptos" w:hAnsi="Aptos"/>
                <w:b w:val="0"/>
                <w:sz w:val="16"/>
              </w:rPr>
              <w:t>Retention</w:t>
            </w:r>
          </w:p>
        </w:tc>
        <w:tc>
          <w:tcPr>
            <w:tcW w:type="dxa" w:w="3389"/>
            <w:vAlign w:val="center"/>
          </w:tcPr>
          <w:p>
            <w:r/>
            <w:r>
              <w:rPr>
                <w:rFonts w:ascii="Aptos" w:hAnsi="Aptos"/>
                <w:b w:val="0"/>
                <w:sz w:val="16"/>
              </w:rPr>
              <w:t>Positive return intention</w:t>
            </w:r>
          </w:p>
        </w:tc>
        <w:tc>
          <w:tcPr>
            <w:tcW w:type="dxa" w:w="3389"/>
            <w:vAlign w:val="center"/>
          </w:tcPr>
          <w:p>
            <w:r/>
            <w:r>
              <w:rPr>
                <w:rFonts w:ascii="Aptos" w:hAnsi="Aptos"/>
                <w:b w:val="0"/>
                <w:sz w:val="16"/>
              </w:rPr>
              <w:t>Higher eligible return/repeat shifts</w:t>
            </w:r>
          </w:p>
        </w:tc>
      </w:tr>
      <w:tr>
        <w:tc>
          <w:tcPr>
            <w:tcW w:type="dxa" w:w="3389"/>
            <w:vAlign w:val="center"/>
            <w:shd w:fill="F3F6FA"/>
          </w:tcPr>
          <w:p>
            <w:r/>
            <w:r>
              <w:rPr>
                <w:rFonts w:ascii="Aptos" w:hAnsi="Aptos"/>
                <w:b w:val="0"/>
                <w:sz w:val="16"/>
              </w:rPr>
              <w:t>Credential readiness</w:t>
            </w:r>
          </w:p>
        </w:tc>
        <w:tc>
          <w:tcPr>
            <w:tcW w:type="dxa" w:w="3389"/>
            <w:vAlign w:val="center"/>
            <w:shd w:fill="F3F6FA"/>
          </w:tcPr>
          <w:p>
            <w:r/>
            <w:r>
              <w:rPr>
                <w:rFonts w:ascii="Aptos" w:hAnsi="Aptos"/>
                <w:b w:val="0"/>
                <w:sz w:val="16"/>
              </w:rPr>
              <w:t>Expiry reminders and updates</w:t>
            </w:r>
          </w:p>
        </w:tc>
        <w:tc>
          <w:tcPr>
            <w:tcW w:type="dxa" w:w="3389"/>
            <w:vAlign w:val="center"/>
            <w:shd w:fill="F3F6FA"/>
          </w:tcPr>
          <w:p>
            <w:r/>
            <w:r>
              <w:rPr>
                <w:rFonts w:ascii="Aptos" w:hAnsi="Aptos"/>
                <w:b w:val="0"/>
                <w:sz w:val="16"/>
              </w:rPr>
              <w:t>Fewer last-minute credential gaps</w:t>
            </w:r>
          </w:p>
        </w:tc>
      </w:tr>
    </w:tbl>
    <w:p/>
    <w:p>
      <w:pPr>
        <w:pStyle w:val="Heading1"/>
      </w:pPr>
      <w:r>
        <w:t>29. Resourcing assumptions</w:t>
      </w:r>
    </w:p>
    <w:p>
      <w:r>
        <w:t>A costed resource plan will be produced during discovery. At minimum the pilot requires protected contributions from:</w:t>
      </w:r>
    </w:p>
    <w:p>
      <w:pPr>
        <w:pStyle w:val="ListBullet"/>
      </w:pPr>
      <w:r>
        <w:t>Product owner / programme lead</w:t>
      </w:r>
    </w:p>
    <w:p>
      <w:pPr>
        <w:pStyle w:val="ListBullet"/>
      </w:pPr>
      <w:r>
        <w:t>Medical Workforce subject-matter experts</w:t>
      </w:r>
    </w:p>
    <w:p>
      <w:pPr>
        <w:pStyle w:val="ListBullet"/>
      </w:pPr>
      <w:r>
        <w:t>Credentialling lead</w:t>
      </w:r>
    </w:p>
    <w:p>
      <w:pPr>
        <w:pStyle w:val="ListBullet"/>
      </w:pPr>
      <w:r>
        <w:t>Procurement/contracts lead</w:t>
      </w:r>
    </w:p>
    <w:p>
      <w:pPr>
        <w:pStyle w:val="ListBullet"/>
      </w:pPr>
      <w:r>
        <w:t>Finance analyst</w:t>
      </w:r>
    </w:p>
    <w:p>
      <w:pPr>
        <w:pStyle w:val="ListBullet"/>
      </w:pPr>
      <w:r>
        <w:t>Clinical safety/clinical governance lead</w:t>
      </w:r>
    </w:p>
    <w:p>
      <w:pPr>
        <w:pStyle w:val="ListBullet"/>
      </w:pPr>
      <w:r>
        <w:t>Privacy and cyber/security specialists</w:t>
      </w:r>
    </w:p>
    <w:p>
      <w:pPr>
        <w:pStyle w:val="ListBullet"/>
      </w:pPr>
      <w:r>
        <w:t>UX/product design</w:t>
      </w:r>
    </w:p>
    <w:p>
      <w:pPr>
        <w:pStyle w:val="ListBullet"/>
      </w:pPr>
      <w:r>
        <w:t>Software engineering and test</w:t>
      </w:r>
    </w:p>
    <w:p>
      <w:pPr>
        <w:pStyle w:val="ListBullet"/>
      </w:pPr>
      <w:r>
        <w:t>Data/analytics and evaluation</w:t>
      </w:r>
    </w:p>
    <w:p>
      <w:pPr>
        <w:pStyle w:val="ListBullet"/>
      </w:pPr>
      <w:r>
        <w:t>Change/adoption support</w:t>
      </w:r>
    </w:p>
    <w:p>
      <w:pPr>
        <w:pStyle w:val="ListBullet"/>
      </w:pPr>
      <w:r>
        <w:t>Site clinical/administrative champions</w:t>
      </w:r>
    </w:p>
    <w:p>
      <w:pPr>
        <w:pStyle w:val="Heading1"/>
      </w:pPr>
      <w:r>
        <w:t>30. Deliverables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Deliverable</w:t>
            </w:r>
          </w:p>
        </w:tc>
        <w:tc>
          <w:tcPr>
            <w:tcW w:type="dxa" w:w="3389"/>
            <w:vAlign w:val="center"/>
            <w:shd w:fill="17365D"/>
          </w:tcPr>
          <w:p>
            <w:r/>
            <w:r>
              <w:rPr>
                <w:rFonts w:ascii="Aptos" w:hAnsi="Aptos"/>
                <w:b/>
                <w:color w:val="FFFFFF"/>
                <w:sz w:val="16"/>
              </w:rPr>
              <w:t>Owner</w:t>
            </w:r>
          </w:p>
        </w:tc>
        <w:tc>
          <w:tcPr>
            <w:tcW w:type="dxa" w:w="3389"/>
            <w:vAlign w:val="center"/>
            <w:shd w:fill="17365D"/>
          </w:tcPr>
          <w:p>
            <w:r/>
            <w:r>
              <w:rPr>
                <w:rFonts w:ascii="Aptos" w:hAnsi="Aptos"/>
                <w:b/>
                <w:color w:val="FFFFFF"/>
                <w:sz w:val="16"/>
              </w:rPr>
              <w:t>Due stage</w:t>
            </w:r>
          </w:p>
        </w:tc>
      </w:tr>
      <w:tr>
        <w:tc>
          <w:tcPr>
            <w:tcW w:type="dxa" w:w="3389"/>
            <w:vAlign w:val="center"/>
          </w:tcPr>
          <w:p>
            <w:r/>
            <w:r>
              <w:rPr>
                <w:rFonts w:ascii="Aptos" w:hAnsi="Aptos"/>
                <w:b w:val="0"/>
                <w:sz w:val="16"/>
              </w:rPr>
              <w:t>Current-state process map</w:t>
            </w:r>
          </w:p>
        </w:tc>
        <w:tc>
          <w:tcPr>
            <w:tcW w:type="dxa" w:w="3389"/>
            <w:vAlign w:val="center"/>
          </w:tcPr>
          <w:p>
            <w:r/>
            <w:r>
              <w:rPr>
                <w:rFonts w:ascii="Aptos" w:hAnsi="Aptos"/>
                <w:b w:val="0"/>
                <w:sz w:val="16"/>
              </w:rPr>
              <w:t>WS1/Medical Workforce</w:t>
            </w:r>
          </w:p>
        </w:tc>
        <w:tc>
          <w:tcPr>
            <w:tcW w:type="dxa" w:w="3389"/>
            <w:vAlign w:val="center"/>
          </w:tcPr>
          <w:p>
            <w:r/>
            <w:r>
              <w:rPr>
                <w:rFonts w:ascii="Aptos" w:hAnsi="Aptos"/>
                <w:b w:val="0"/>
                <w:sz w:val="16"/>
              </w:rPr>
              <w:t>Discovery</w:t>
            </w:r>
          </w:p>
        </w:tc>
      </w:tr>
      <w:tr>
        <w:tc>
          <w:tcPr>
            <w:tcW w:type="dxa" w:w="3389"/>
            <w:vAlign w:val="center"/>
            <w:shd w:fill="F3F6FA"/>
          </w:tcPr>
          <w:p>
            <w:r/>
            <w:r>
              <w:rPr>
                <w:rFonts w:ascii="Aptos" w:hAnsi="Aptos"/>
                <w:b w:val="0"/>
                <w:sz w:val="16"/>
              </w:rPr>
              <w:t>Baseline dataset/report</w:t>
            </w:r>
          </w:p>
        </w:tc>
        <w:tc>
          <w:tcPr>
            <w:tcW w:type="dxa" w:w="3389"/>
            <w:vAlign w:val="center"/>
            <w:shd w:fill="F3F6FA"/>
          </w:tcPr>
          <w:p>
            <w:r/>
            <w:r>
              <w:rPr>
                <w:rFonts w:ascii="Aptos" w:hAnsi="Aptos"/>
                <w:b w:val="0"/>
                <w:sz w:val="16"/>
              </w:rPr>
              <w:t>WS7/WS10</w:t>
            </w:r>
          </w:p>
        </w:tc>
        <w:tc>
          <w:tcPr>
            <w:tcW w:type="dxa" w:w="3389"/>
            <w:vAlign w:val="center"/>
            <w:shd w:fill="F3F6FA"/>
          </w:tcPr>
          <w:p>
            <w:r/>
            <w:r>
              <w:rPr>
                <w:rFonts w:ascii="Aptos" w:hAnsi="Aptos"/>
                <w:b w:val="0"/>
                <w:sz w:val="16"/>
              </w:rPr>
              <w:t>Discovery</w:t>
            </w:r>
          </w:p>
        </w:tc>
      </w:tr>
      <w:tr>
        <w:tc>
          <w:tcPr>
            <w:tcW w:type="dxa" w:w="3389"/>
            <w:vAlign w:val="center"/>
          </w:tcPr>
          <w:p>
            <w:r/>
            <w:r>
              <w:rPr>
                <w:rFonts w:ascii="Aptos" w:hAnsi="Aptos"/>
                <w:b w:val="0"/>
                <w:sz w:val="16"/>
              </w:rPr>
              <w:t>Procurement configuration specification</w:t>
            </w:r>
          </w:p>
        </w:tc>
        <w:tc>
          <w:tcPr>
            <w:tcW w:type="dxa" w:w="3389"/>
            <w:vAlign w:val="center"/>
          </w:tcPr>
          <w:p>
            <w:r/>
            <w:r>
              <w:rPr>
                <w:rFonts w:ascii="Aptos" w:hAnsi="Aptos"/>
                <w:b w:val="0"/>
                <w:sz w:val="16"/>
              </w:rPr>
              <w:t>WS5</w:t>
            </w:r>
          </w:p>
        </w:tc>
        <w:tc>
          <w:tcPr>
            <w:tcW w:type="dxa" w:w="3389"/>
            <w:vAlign w:val="center"/>
          </w:tcPr>
          <w:p>
            <w:r/>
            <w:r>
              <w:rPr>
                <w:rFonts w:ascii="Aptos" w:hAnsi="Aptos"/>
                <w:b w:val="0"/>
                <w:sz w:val="16"/>
              </w:rPr>
              <w:t>Discovery</w:t>
            </w:r>
          </w:p>
        </w:tc>
      </w:tr>
      <w:tr>
        <w:tc>
          <w:tcPr>
            <w:tcW w:type="dxa" w:w="3389"/>
            <w:vAlign w:val="center"/>
            <w:shd w:fill="F3F6FA"/>
          </w:tcPr>
          <w:p>
            <w:r/>
            <w:r>
              <w:rPr>
                <w:rFonts w:ascii="Aptos" w:hAnsi="Aptos"/>
                <w:b w:val="0"/>
                <w:sz w:val="16"/>
              </w:rPr>
              <w:t>Privacy/security assurance plan</w:t>
            </w:r>
          </w:p>
        </w:tc>
        <w:tc>
          <w:tcPr>
            <w:tcW w:type="dxa" w:w="3389"/>
            <w:vAlign w:val="center"/>
            <w:shd w:fill="F3F6FA"/>
          </w:tcPr>
          <w:p>
            <w:r/>
            <w:r>
              <w:rPr>
                <w:rFonts w:ascii="Aptos" w:hAnsi="Aptos"/>
                <w:b w:val="0"/>
                <w:sz w:val="16"/>
              </w:rPr>
              <w:t>WS1/WS8</w:t>
            </w:r>
          </w:p>
        </w:tc>
        <w:tc>
          <w:tcPr>
            <w:tcW w:type="dxa" w:w="3389"/>
            <w:vAlign w:val="center"/>
            <w:shd w:fill="F3F6FA"/>
          </w:tcPr>
          <w:p>
            <w:r/>
            <w:r>
              <w:rPr>
                <w:rFonts w:ascii="Aptos" w:hAnsi="Aptos"/>
                <w:b w:val="0"/>
                <w:sz w:val="16"/>
              </w:rPr>
              <w:t>Discovery</w:t>
            </w:r>
          </w:p>
        </w:tc>
      </w:tr>
      <w:tr>
        <w:tc>
          <w:tcPr>
            <w:tcW w:type="dxa" w:w="3389"/>
            <w:vAlign w:val="center"/>
          </w:tcPr>
          <w:p>
            <w:r/>
            <w:r>
              <w:rPr>
                <w:rFonts w:ascii="Aptos" w:hAnsi="Aptos"/>
                <w:b w:val="0"/>
                <w:sz w:val="16"/>
              </w:rPr>
              <w:t>Doctor research and UX prototype</w:t>
            </w:r>
          </w:p>
        </w:tc>
        <w:tc>
          <w:tcPr>
            <w:tcW w:type="dxa" w:w="3389"/>
            <w:vAlign w:val="center"/>
          </w:tcPr>
          <w:p>
            <w:r/>
            <w:r>
              <w:rPr>
                <w:rFonts w:ascii="Aptos" w:hAnsi="Aptos"/>
                <w:b w:val="0"/>
                <w:sz w:val="16"/>
              </w:rPr>
              <w:t>WS2/WS9</w:t>
            </w:r>
          </w:p>
        </w:tc>
        <w:tc>
          <w:tcPr>
            <w:tcW w:type="dxa" w:w="3389"/>
            <w:vAlign w:val="center"/>
          </w:tcPr>
          <w:p>
            <w:r/>
            <w:r>
              <w:rPr>
                <w:rFonts w:ascii="Aptos" w:hAnsi="Aptos"/>
                <w:b w:val="0"/>
                <w:sz w:val="16"/>
              </w:rPr>
              <w:t>Discovery</w:t>
            </w:r>
          </w:p>
        </w:tc>
      </w:tr>
      <w:tr>
        <w:tc>
          <w:tcPr>
            <w:tcW w:type="dxa" w:w="3389"/>
            <w:vAlign w:val="center"/>
            <w:shd w:fill="F3F6FA"/>
          </w:tcPr>
          <w:p>
            <w:r/>
            <w:r>
              <w:rPr>
                <w:rFonts w:ascii="Aptos" w:hAnsi="Aptos"/>
                <w:b w:val="0"/>
                <w:sz w:val="16"/>
              </w:rPr>
              <w:t>Credential taxonomy v1</w:t>
            </w:r>
          </w:p>
        </w:tc>
        <w:tc>
          <w:tcPr>
            <w:tcW w:type="dxa" w:w="3389"/>
            <w:vAlign w:val="center"/>
            <w:shd w:fill="F3F6FA"/>
          </w:tcPr>
          <w:p>
            <w:r/>
            <w:r>
              <w:rPr>
                <w:rFonts w:ascii="Aptos" w:hAnsi="Aptos"/>
                <w:b w:val="0"/>
                <w:sz w:val="16"/>
              </w:rPr>
              <w:t>WS2/Credentialling</w:t>
            </w:r>
          </w:p>
        </w:tc>
        <w:tc>
          <w:tcPr>
            <w:tcW w:type="dxa" w:w="3389"/>
            <w:vAlign w:val="center"/>
            <w:shd w:fill="F3F6FA"/>
          </w:tcPr>
          <w:p>
            <w:r/>
            <w:r>
              <w:rPr>
                <w:rFonts w:ascii="Aptos" w:hAnsi="Aptos"/>
                <w:b w:val="0"/>
                <w:sz w:val="16"/>
              </w:rPr>
              <w:t>Stage 1</w:t>
            </w:r>
          </w:p>
        </w:tc>
      </w:tr>
      <w:tr>
        <w:tc>
          <w:tcPr>
            <w:tcW w:type="dxa" w:w="3389"/>
            <w:vAlign w:val="center"/>
          </w:tcPr>
          <w:p>
            <w:r/>
            <w:r>
              <w:rPr>
                <w:rFonts w:ascii="Aptos" w:hAnsi="Aptos"/>
                <w:b w:val="0"/>
                <w:sz w:val="16"/>
              </w:rPr>
              <w:t>Locum Experience protocol</w:t>
            </w:r>
          </w:p>
        </w:tc>
        <w:tc>
          <w:tcPr>
            <w:tcW w:type="dxa" w:w="3389"/>
            <w:vAlign w:val="center"/>
          </w:tcPr>
          <w:p>
            <w:r/>
            <w:r>
              <w:rPr>
                <w:rFonts w:ascii="Aptos" w:hAnsi="Aptos"/>
                <w:b w:val="0"/>
                <w:sz w:val="16"/>
              </w:rPr>
              <w:t>WS3/WS10</w:t>
            </w:r>
          </w:p>
        </w:tc>
        <w:tc>
          <w:tcPr>
            <w:tcW w:type="dxa" w:w="3389"/>
            <w:vAlign w:val="center"/>
          </w:tcPr>
          <w:p>
            <w:r/>
            <w:r>
              <w:rPr>
                <w:rFonts w:ascii="Aptos" w:hAnsi="Aptos"/>
                <w:b w:val="0"/>
                <w:sz w:val="16"/>
              </w:rPr>
              <w:t>Stage 1</w:t>
            </w:r>
          </w:p>
        </w:tc>
      </w:tr>
      <w:tr>
        <w:tc>
          <w:tcPr>
            <w:tcW w:type="dxa" w:w="3389"/>
            <w:vAlign w:val="center"/>
            <w:shd w:fill="F3F6FA"/>
          </w:tcPr>
          <w:p>
            <w:r/>
            <w:r>
              <w:rPr>
                <w:rFonts w:ascii="Aptos" w:hAnsi="Aptos"/>
                <w:b w:val="0"/>
                <w:sz w:val="16"/>
              </w:rPr>
              <w:t>Credential Wallet production pilot</w:t>
            </w:r>
          </w:p>
        </w:tc>
        <w:tc>
          <w:tcPr>
            <w:tcW w:type="dxa" w:w="3389"/>
            <w:vAlign w:val="center"/>
            <w:shd w:fill="F3F6FA"/>
          </w:tcPr>
          <w:p>
            <w:r/>
            <w:r>
              <w:rPr>
                <w:rFonts w:ascii="Aptos" w:hAnsi="Aptos"/>
                <w:b w:val="0"/>
                <w:sz w:val="16"/>
              </w:rPr>
              <w:t>WS2/WS8</w:t>
            </w:r>
          </w:p>
        </w:tc>
        <w:tc>
          <w:tcPr>
            <w:tcW w:type="dxa" w:w="3389"/>
            <w:vAlign w:val="center"/>
            <w:shd w:fill="F3F6FA"/>
          </w:tcPr>
          <w:p>
            <w:r/>
            <w:r>
              <w:rPr>
                <w:rFonts w:ascii="Aptos" w:hAnsi="Aptos"/>
                <w:b w:val="0"/>
                <w:sz w:val="16"/>
              </w:rPr>
              <w:t>Stage 1</w:t>
            </w:r>
          </w:p>
        </w:tc>
      </w:tr>
      <w:tr>
        <w:tc>
          <w:tcPr>
            <w:tcW w:type="dxa" w:w="3389"/>
            <w:vAlign w:val="center"/>
          </w:tcPr>
          <w:p>
            <w:r/>
            <w:r>
              <w:rPr>
                <w:rFonts w:ascii="Aptos" w:hAnsi="Aptos"/>
                <w:b w:val="0"/>
                <w:sz w:val="16"/>
              </w:rPr>
              <w:t>Experience dashboard</w:t>
            </w:r>
          </w:p>
        </w:tc>
        <w:tc>
          <w:tcPr>
            <w:tcW w:type="dxa" w:w="3389"/>
            <w:vAlign w:val="center"/>
          </w:tcPr>
          <w:p>
            <w:r/>
            <w:r>
              <w:rPr>
                <w:rFonts w:ascii="Aptos" w:hAnsi="Aptos"/>
                <w:b w:val="0"/>
                <w:sz w:val="16"/>
              </w:rPr>
              <w:t>WS3/WS7</w:t>
            </w:r>
          </w:p>
        </w:tc>
        <w:tc>
          <w:tcPr>
            <w:tcW w:type="dxa" w:w="3389"/>
            <w:vAlign w:val="center"/>
          </w:tcPr>
          <w:p>
            <w:r/>
            <w:r>
              <w:rPr>
                <w:rFonts w:ascii="Aptos" w:hAnsi="Aptos"/>
                <w:b w:val="0"/>
                <w:sz w:val="16"/>
              </w:rPr>
              <w:t>Stage 1–2</w:t>
            </w:r>
          </w:p>
        </w:tc>
      </w:tr>
      <w:tr>
        <w:tc>
          <w:tcPr>
            <w:tcW w:type="dxa" w:w="3389"/>
            <w:vAlign w:val="center"/>
            <w:shd w:fill="F3F6FA"/>
          </w:tcPr>
          <w:p>
            <w:r/>
            <w:r>
              <w:rPr>
                <w:rFonts w:ascii="Aptos" w:hAnsi="Aptos"/>
                <w:b w:val="0"/>
                <w:sz w:val="16"/>
              </w:rPr>
              <w:t>Vacancy/agency workflow</w:t>
            </w:r>
          </w:p>
        </w:tc>
        <w:tc>
          <w:tcPr>
            <w:tcW w:type="dxa" w:w="3389"/>
            <w:vAlign w:val="center"/>
            <w:shd w:fill="F3F6FA"/>
          </w:tcPr>
          <w:p>
            <w:r/>
            <w:r>
              <w:rPr>
                <w:rFonts w:ascii="Aptos" w:hAnsi="Aptos"/>
                <w:b w:val="0"/>
                <w:sz w:val="16"/>
              </w:rPr>
              <w:t>WS4/WS5</w:t>
            </w:r>
          </w:p>
        </w:tc>
        <w:tc>
          <w:tcPr>
            <w:tcW w:type="dxa" w:w="3389"/>
            <w:vAlign w:val="center"/>
            <w:shd w:fill="F3F6FA"/>
          </w:tcPr>
          <w:p>
            <w:r/>
            <w:r>
              <w:rPr>
                <w:rFonts w:ascii="Aptos" w:hAnsi="Aptos"/>
                <w:b w:val="0"/>
                <w:sz w:val="16"/>
              </w:rPr>
              <w:t>Stage 3</w:t>
            </w:r>
          </w:p>
        </w:tc>
      </w:tr>
      <w:tr>
        <w:tc>
          <w:tcPr>
            <w:tcW w:type="dxa" w:w="3389"/>
            <w:vAlign w:val="center"/>
          </w:tcPr>
          <w:p>
            <w:r/>
            <w:r>
              <w:rPr>
                <w:rFonts w:ascii="Aptos" w:hAnsi="Aptos"/>
                <w:b w:val="0"/>
                <w:sz w:val="16"/>
              </w:rPr>
              <w:t>Timesheet workflow</w:t>
            </w:r>
          </w:p>
        </w:tc>
        <w:tc>
          <w:tcPr>
            <w:tcW w:type="dxa" w:w="3389"/>
            <w:vAlign w:val="center"/>
          </w:tcPr>
          <w:p>
            <w:r/>
            <w:r>
              <w:rPr>
                <w:rFonts w:ascii="Aptos" w:hAnsi="Aptos"/>
                <w:b w:val="0"/>
                <w:sz w:val="16"/>
              </w:rPr>
              <w:t>WS6</w:t>
            </w:r>
          </w:p>
        </w:tc>
        <w:tc>
          <w:tcPr>
            <w:tcW w:type="dxa" w:w="3389"/>
            <w:vAlign w:val="center"/>
          </w:tcPr>
          <w:p>
            <w:r/>
            <w:r>
              <w:rPr>
                <w:rFonts w:ascii="Aptos" w:hAnsi="Aptos"/>
                <w:b w:val="0"/>
                <w:sz w:val="16"/>
              </w:rPr>
              <w:t>Stage 4</w:t>
            </w:r>
          </w:p>
        </w:tc>
      </w:tr>
      <w:tr>
        <w:tc>
          <w:tcPr>
            <w:tcW w:type="dxa" w:w="3389"/>
            <w:vAlign w:val="center"/>
            <w:shd w:fill="F3F6FA"/>
          </w:tcPr>
          <w:p>
            <w:r/>
            <w:r>
              <w:rPr>
                <w:rFonts w:ascii="Aptos" w:hAnsi="Aptos"/>
                <w:b w:val="0"/>
                <w:sz w:val="16"/>
              </w:rPr>
              <w:t>Integrated dashboard</w:t>
            </w:r>
          </w:p>
        </w:tc>
        <w:tc>
          <w:tcPr>
            <w:tcW w:type="dxa" w:w="3389"/>
            <w:vAlign w:val="center"/>
            <w:shd w:fill="F3F6FA"/>
          </w:tcPr>
          <w:p>
            <w:r/>
            <w:r>
              <w:rPr>
                <w:rFonts w:ascii="Aptos" w:hAnsi="Aptos"/>
                <w:b w:val="0"/>
                <w:sz w:val="16"/>
              </w:rPr>
              <w:t>WS7</w:t>
            </w:r>
          </w:p>
        </w:tc>
        <w:tc>
          <w:tcPr>
            <w:tcW w:type="dxa" w:w="3389"/>
            <w:vAlign w:val="center"/>
            <w:shd w:fill="F3F6FA"/>
          </w:tcPr>
          <w:p>
            <w:r/>
            <w:r>
              <w:rPr>
                <w:rFonts w:ascii="Aptos" w:hAnsi="Aptos"/>
                <w:b w:val="0"/>
                <w:sz w:val="16"/>
              </w:rPr>
              <w:t>Stage 5</w:t>
            </w:r>
          </w:p>
        </w:tc>
      </w:tr>
      <w:tr>
        <w:tc>
          <w:tcPr>
            <w:tcW w:type="dxa" w:w="3389"/>
            <w:vAlign w:val="center"/>
          </w:tcPr>
          <w:p>
            <w:r/>
            <w:r>
              <w:rPr>
                <w:rFonts w:ascii="Aptos" w:hAnsi="Aptos"/>
                <w:b w:val="0"/>
                <w:sz w:val="16"/>
              </w:rPr>
              <w:t>Final evaluation and recommendation</w:t>
            </w:r>
          </w:p>
        </w:tc>
        <w:tc>
          <w:tcPr>
            <w:tcW w:type="dxa" w:w="3389"/>
            <w:vAlign w:val="center"/>
          </w:tcPr>
          <w:p>
            <w:r/>
            <w:r>
              <w:rPr>
                <w:rFonts w:ascii="Aptos" w:hAnsi="Aptos"/>
                <w:b w:val="0"/>
                <w:sz w:val="16"/>
              </w:rPr>
              <w:t>WS10</w:t>
            </w:r>
          </w:p>
        </w:tc>
        <w:tc>
          <w:tcPr>
            <w:tcW w:type="dxa" w:w="3389"/>
            <w:vAlign w:val="center"/>
          </w:tcPr>
          <w:p>
            <w:r/>
            <w:r>
              <w:rPr>
                <w:rFonts w:ascii="Aptos" w:hAnsi="Aptos"/>
                <w:b w:val="0"/>
                <w:sz w:val="16"/>
              </w:rPr>
              <w:t>Stage 5</w:t>
            </w:r>
          </w:p>
        </w:tc>
      </w:tr>
    </w:tbl>
    <w:p/>
    <w:p>
      <w:pPr>
        <w:pStyle w:val="Heading1"/>
      </w:pPr>
      <w:r>
        <w:t>31. Immediate 30-day action plan</w:t>
      </w:r>
    </w:p>
    <w:p>
      <w:pPr>
        <w:pStyle w:val="ListBullet"/>
      </w:pPr>
      <w:r>
        <w:t>Appoint Executive Sponsor, Product Owner and Evaluation Lead.</w:t>
      </w:r>
    </w:p>
    <w:p>
      <w:pPr>
        <w:pStyle w:val="ListBullet"/>
      </w:pPr>
      <w:r>
        <w:t>Form the Pilot Steering Group and Doctor Reference Group.</w:t>
      </w:r>
    </w:p>
    <w:p>
      <w:pPr>
        <w:pStyle w:val="ListBullet"/>
      </w:pPr>
      <w:r>
        <w:t>Confirm proposed pilot sites/roles against actual locum activity.</w:t>
      </w:r>
    </w:p>
    <w:p>
      <w:pPr>
        <w:pStyle w:val="ListBullet"/>
      </w:pPr>
      <w:r>
        <w:t>Request baseline extracts for the previous 12 months of in-scope locum shifts and costs.</w:t>
      </w:r>
    </w:p>
    <w:p>
      <w:pPr>
        <w:pStyle w:val="ListBullet"/>
      </w:pPr>
      <w:r>
        <w:t>Obtain the current SA Health panel supplier list, Buyers Guide and applicable commercial/sourcing rules through Procurement.</w:t>
      </w:r>
    </w:p>
    <w:p>
      <w:pPr>
        <w:pStyle w:val="ListBullet"/>
      </w:pPr>
      <w:r>
        <w:t>Map current credential/SoCP data sources and identify a safe import/linkage method.</w:t>
      </w:r>
    </w:p>
    <w:p>
      <w:pPr>
        <w:pStyle w:val="ListBullet"/>
      </w:pPr>
      <w:r>
        <w:t>Commence PIA and cyber/security classification.</w:t>
      </w:r>
    </w:p>
    <w:p>
      <w:pPr>
        <w:pStyle w:val="ListBullet"/>
      </w:pPr>
      <w:r>
        <w:t>Conduct initial doctor and Medical Workforce interviews.</w:t>
      </w:r>
    </w:p>
    <w:p>
      <w:pPr>
        <w:pStyle w:val="ListBullet"/>
      </w:pPr>
      <w:r>
        <w:t>Complete a build-versus-buy/market scan without changing the defined product requirements.</w:t>
      </w:r>
    </w:p>
    <w:p>
      <w:pPr>
        <w:pStyle w:val="ListBullet"/>
      </w:pPr>
      <w:r>
        <w:t>Return with a costed MVP, confirmed timeline and Gate A decision paper.</w:t>
      </w:r>
    </w:p>
    <w:p>
      <w:pPr>
        <w:pStyle w:val="Heading1"/>
      </w:pPr>
      <w:r>
        <w:t>32. End-of-pilot decision options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Decision</w:t>
            </w:r>
          </w:p>
        </w:tc>
        <w:tc>
          <w:tcPr>
            <w:tcW w:type="dxa" w:w="5083"/>
            <w:vAlign w:val="center"/>
            <w:shd w:fill="17365D"/>
          </w:tcPr>
          <w:p>
            <w:r/>
            <w:r>
              <w:rPr>
                <w:rFonts w:ascii="Aptos" w:hAnsi="Aptos"/>
                <w:b/>
                <w:color w:val="FFFFFF"/>
                <w:sz w:val="16"/>
              </w:rPr>
              <w:t>When appropriate</w:t>
            </w:r>
          </w:p>
        </w:tc>
      </w:tr>
      <w:tr>
        <w:tc>
          <w:tcPr>
            <w:tcW w:type="dxa" w:w="5083"/>
            <w:vAlign w:val="center"/>
          </w:tcPr>
          <w:p>
            <w:r/>
            <w:r>
              <w:rPr>
                <w:rFonts w:ascii="Aptos" w:hAnsi="Aptos"/>
                <w:b w:val="0"/>
                <w:sz w:val="16"/>
              </w:rPr>
              <w:t>Stop</w:t>
            </w:r>
          </w:p>
        </w:tc>
        <w:tc>
          <w:tcPr>
            <w:tcW w:type="dxa" w:w="5083"/>
            <w:vAlign w:val="center"/>
          </w:tcPr>
          <w:p>
            <w:r/>
            <w:r>
              <w:rPr>
                <w:rFonts w:ascii="Aptos" w:hAnsi="Aptos"/>
                <w:b w:val="0"/>
                <w:sz w:val="16"/>
              </w:rPr>
              <w:t>Benefits not demonstrated or risks/costs outweigh value</w:t>
            </w:r>
          </w:p>
        </w:tc>
      </w:tr>
      <w:tr>
        <w:tc>
          <w:tcPr>
            <w:tcW w:type="dxa" w:w="5083"/>
            <w:vAlign w:val="center"/>
            <w:shd w:fill="F3F6FA"/>
          </w:tcPr>
          <w:p>
            <w:r/>
            <w:r>
              <w:rPr>
                <w:rFonts w:ascii="Aptos" w:hAnsi="Aptos"/>
                <w:b w:val="0"/>
                <w:sz w:val="16"/>
              </w:rPr>
              <w:t>Retain limited capability</w:t>
            </w:r>
          </w:p>
        </w:tc>
        <w:tc>
          <w:tcPr>
            <w:tcW w:type="dxa" w:w="5083"/>
            <w:vAlign w:val="center"/>
            <w:shd w:fill="F3F6FA"/>
          </w:tcPr>
          <w:p>
            <w:r/>
            <w:r>
              <w:rPr>
                <w:rFonts w:ascii="Aptos" w:hAnsi="Aptos"/>
                <w:b w:val="0"/>
                <w:sz w:val="16"/>
              </w:rPr>
              <w:t>Credential Wallet/Experience valuable but operational marketplace not justified</w:t>
            </w:r>
          </w:p>
        </w:tc>
      </w:tr>
      <w:tr>
        <w:tc>
          <w:tcPr>
            <w:tcW w:type="dxa" w:w="5083"/>
            <w:vAlign w:val="center"/>
          </w:tcPr>
          <w:p>
            <w:r/>
            <w:r>
              <w:rPr>
                <w:rFonts w:ascii="Aptos" w:hAnsi="Aptos"/>
                <w:b w:val="0"/>
                <w:sz w:val="16"/>
              </w:rPr>
              <w:t>Optimise and repeat</w:t>
            </w:r>
          </w:p>
        </w:tc>
        <w:tc>
          <w:tcPr>
            <w:tcW w:type="dxa" w:w="5083"/>
            <w:vAlign w:val="center"/>
          </w:tcPr>
          <w:p>
            <w:r/>
            <w:r>
              <w:rPr>
                <w:rFonts w:ascii="Aptos" w:hAnsi="Aptos"/>
                <w:b w:val="0"/>
                <w:sz w:val="16"/>
              </w:rPr>
              <w:t>Promising results but workflow/data issues require another controlled cycle</w:t>
            </w:r>
          </w:p>
        </w:tc>
      </w:tr>
      <w:tr>
        <w:tc>
          <w:tcPr>
            <w:tcW w:type="dxa" w:w="5083"/>
            <w:vAlign w:val="center"/>
            <w:shd w:fill="F3F6FA"/>
          </w:tcPr>
          <w:p>
            <w:r/>
            <w:r>
              <w:rPr>
                <w:rFonts w:ascii="Aptos" w:hAnsi="Aptos"/>
                <w:b w:val="0"/>
                <w:sz w:val="16"/>
              </w:rPr>
              <w:t>Expand within YNLHN</w:t>
            </w:r>
          </w:p>
        </w:tc>
        <w:tc>
          <w:tcPr>
            <w:tcW w:type="dxa" w:w="5083"/>
            <w:vAlign w:val="center"/>
            <w:shd w:fill="F3F6FA"/>
          </w:tcPr>
          <w:p>
            <w:r/>
            <w:r>
              <w:rPr>
                <w:rFonts w:ascii="Aptos" w:hAnsi="Aptos"/>
                <w:b w:val="0"/>
                <w:sz w:val="16"/>
              </w:rPr>
              <w:t>Benefits demonstrated and risks controlled; add sites/roles</w:t>
            </w:r>
          </w:p>
        </w:tc>
      </w:tr>
      <w:tr>
        <w:tc>
          <w:tcPr>
            <w:tcW w:type="dxa" w:w="5083"/>
            <w:vAlign w:val="center"/>
          </w:tcPr>
          <w:p>
            <w:r/>
            <w:r>
              <w:rPr>
                <w:rFonts w:ascii="Aptos" w:hAnsi="Aptos"/>
                <w:b w:val="0"/>
                <w:sz w:val="16"/>
              </w:rPr>
              <w:t>Progress digital credentialling</w:t>
            </w:r>
          </w:p>
        </w:tc>
        <w:tc>
          <w:tcPr>
            <w:tcW w:type="dxa" w:w="5083"/>
            <w:vAlign w:val="center"/>
          </w:tcPr>
          <w:p>
            <w:r/>
            <w:r>
              <w:rPr>
                <w:rFonts w:ascii="Aptos" w:hAnsi="Aptos"/>
                <w:b w:val="0"/>
                <w:sz w:val="16"/>
              </w:rPr>
              <w:t>Wallet and verification model mature enough to digitise YNLHN credential workflow</w:t>
            </w:r>
          </w:p>
        </w:tc>
      </w:tr>
      <w:tr>
        <w:tc>
          <w:tcPr>
            <w:tcW w:type="dxa" w:w="5083"/>
            <w:vAlign w:val="center"/>
            <w:shd w:fill="F3F6FA"/>
          </w:tcPr>
          <w:p>
            <w:r/>
            <w:r>
              <w:rPr>
                <w:rFonts w:ascii="Aptos" w:hAnsi="Aptos"/>
                <w:b w:val="0"/>
                <w:sz w:val="16"/>
              </w:rPr>
              <w:t>Prepare second-LHN pilot</w:t>
            </w:r>
          </w:p>
        </w:tc>
        <w:tc>
          <w:tcPr>
            <w:tcW w:type="dxa" w:w="5083"/>
            <w:vAlign w:val="center"/>
            <w:shd w:fill="F3F6FA"/>
          </w:tcPr>
          <w:p>
            <w:r/>
            <w:r>
              <w:rPr>
                <w:rFonts w:ascii="Aptos" w:hAnsi="Aptos"/>
                <w:b w:val="0"/>
                <w:sz w:val="16"/>
              </w:rPr>
              <w:t>YNLHN model stable and portability governance ready</w:t>
            </w:r>
          </w:p>
        </w:tc>
      </w:tr>
    </w:tbl>
    <w:p/>
    <w:p>
      <w:pPr>
        <w:pStyle w:val="Heading1"/>
      </w:pPr>
      <w:r>
        <w:t>Appendix A. Example stage-gate checklist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rFonts w:ascii="Aptos" w:hAnsi="Aptos"/>
                <w:b/>
                <w:color w:val="FFFFFF"/>
                <w:sz w:val="16"/>
              </w:rPr>
              <w:t>Question</w:t>
            </w:r>
          </w:p>
        </w:tc>
        <w:tc>
          <w:tcPr>
            <w:tcW w:type="dxa" w:w="3389"/>
            <w:vAlign w:val="center"/>
            <w:shd w:fill="17365D"/>
          </w:tcPr>
          <w:p>
            <w:r/>
            <w:r>
              <w:rPr>
                <w:rFonts w:ascii="Aptos" w:hAnsi="Aptos"/>
                <w:b/>
                <w:color w:val="FFFFFF"/>
                <w:sz w:val="16"/>
              </w:rPr>
              <w:t>Yes/No</w:t>
            </w:r>
          </w:p>
        </w:tc>
        <w:tc>
          <w:tcPr>
            <w:tcW w:type="dxa" w:w="3389"/>
            <w:vAlign w:val="center"/>
            <w:shd w:fill="17365D"/>
          </w:tcPr>
          <w:p>
            <w:r/>
            <w:r>
              <w:rPr>
                <w:rFonts w:ascii="Aptos" w:hAnsi="Aptos"/>
                <w:b/>
                <w:color w:val="FFFFFF"/>
                <w:sz w:val="16"/>
              </w:rPr>
              <w:t>Evidence owner</w:t>
            </w:r>
          </w:p>
        </w:tc>
      </w:tr>
      <w:tr>
        <w:tc>
          <w:tcPr>
            <w:tcW w:type="dxa" w:w="3389"/>
            <w:vAlign w:val="center"/>
          </w:tcPr>
          <w:p>
            <w:r/>
            <w:r>
              <w:rPr>
                <w:rFonts w:ascii="Aptos" w:hAnsi="Aptos"/>
                <w:b w:val="0"/>
                <w:sz w:val="16"/>
              </w:rPr>
              <w:t>Have applicable procurement rules been formally confirmed?</w:t>
            </w:r>
          </w:p>
        </w:tc>
        <w:tc>
          <w:tcPr>
            <w:tcW w:type="dxa" w:w="3389"/>
            <w:vAlign w:val="center"/>
          </w:tcPr>
          <w:p>
            <w:r/>
            <w:r>
              <w:rPr>
                <w:rFonts w:ascii="Aptos" w:hAnsi="Aptos"/>
                <w:b w:val="0"/>
                <w:sz w:val="16"/>
              </w:rPr>
            </w:r>
          </w:p>
        </w:tc>
        <w:tc>
          <w:tcPr>
            <w:tcW w:type="dxa" w:w="3389"/>
            <w:vAlign w:val="center"/>
          </w:tcPr>
          <w:p>
            <w:r/>
            <w:r>
              <w:rPr>
                <w:rFonts w:ascii="Aptos" w:hAnsi="Aptos"/>
                <w:b w:val="0"/>
                <w:sz w:val="16"/>
              </w:rPr>
              <w:t>Procurement</w:t>
            </w:r>
          </w:p>
        </w:tc>
      </w:tr>
      <w:tr>
        <w:tc>
          <w:tcPr>
            <w:tcW w:type="dxa" w:w="3389"/>
            <w:vAlign w:val="center"/>
            <w:shd w:fill="F3F6FA"/>
          </w:tcPr>
          <w:p>
            <w:r/>
            <w:r>
              <w:rPr>
                <w:rFonts w:ascii="Aptos" w:hAnsi="Aptos"/>
                <w:b w:val="0"/>
                <w:sz w:val="16"/>
              </w:rPr>
              <w:t>Is the current role/site scope mapping validated?</w:t>
            </w:r>
          </w:p>
        </w:tc>
        <w:tc>
          <w:tcPr>
            <w:tcW w:type="dxa" w:w="3389"/>
            <w:vAlign w:val="center"/>
            <w:shd w:fill="F3F6FA"/>
          </w:tcPr>
          <w:p>
            <w:r/>
            <w:r>
              <w:rPr>
                <w:rFonts w:ascii="Aptos" w:hAnsi="Aptos"/>
                <w:b w:val="0"/>
                <w:sz w:val="16"/>
              </w:rPr>
            </w:r>
          </w:p>
        </w:tc>
        <w:tc>
          <w:tcPr>
            <w:tcW w:type="dxa" w:w="3389"/>
            <w:vAlign w:val="center"/>
            <w:shd w:fill="F3F6FA"/>
          </w:tcPr>
          <w:p>
            <w:r/>
            <w:r>
              <w:rPr>
                <w:rFonts w:ascii="Aptos" w:hAnsi="Aptos"/>
                <w:b w:val="0"/>
                <w:sz w:val="16"/>
              </w:rPr>
              <w:t>Credentialling</w:t>
            </w:r>
          </w:p>
        </w:tc>
      </w:tr>
      <w:tr>
        <w:tc>
          <w:tcPr>
            <w:tcW w:type="dxa" w:w="3389"/>
            <w:vAlign w:val="center"/>
          </w:tcPr>
          <w:p>
            <w:r/>
            <w:r>
              <w:rPr>
                <w:rFonts w:ascii="Aptos" w:hAnsi="Aptos"/>
                <w:b w:val="0"/>
                <w:sz w:val="16"/>
              </w:rPr>
              <w:t>Has privacy approval been obtained for this stage?</w:t>
            </w:r>
          </w:p>
        </w:tc>
        <w:tc>
          <w:tcPr>
            <w:tcW w:type="dxa" w:w="3389"/>
            <w:vAlign w:val="center"/>
          </w:tcPr>
          <w:p>
            <w:r/>
            <w:r>
              <w:rPr>
                <w:rFonts w:ascii="Aptos" w:hAnsi="Aptos"/>
                <w:b w:val="0"/>
                <w:sz w:val="16"/>
              </w:rPr>
            </w:r>
          </w:p>
        </w:tc>
        <w:tc>
          <w:tcPr>
            <w:tcW w:type="dxa" w:w="3389"/>
            <w:vAlign w:val="center"/>
          </w:tcPr>
          <w:p>
            <w:r/>
            <w:r>
              <w:rPr>
                <w:rFonts w:ascii="Aptos" w:hAnsi="Aptos"/>
                <w:b w:val="0"/>
                <w:sz w:val="16"/>
              </w:rPr>
              <w:t>Privacy</w:t>
            </w:r>
          </w:p>
        </w:tc>
      </w:tr>
      <w:tr>
        <w:tc>
          <w:tcPr>
            <w:tcW w:type="dxa" w:w="3389"/>
            <w:vAlign w:val="center"/>
            <w:shd w:fill="F3F6FA"/>
          </w:tcPr>
          <w:p>
            <w:r/>
            <w:r>
              <w:rPr>
                <w:rFonts w:ascii="Aptos" w:hAnsi="Aptos"/>
                <w:b w:val="0"/>
                <w:sz w:val="16"/>
              </w:rPr>
              <w:t>Have critical cyber findings been closed?</w:t>
            </w:r>
          </w:p>
        </w:tc>
        <w:tc>
          <w:tcPr>
            <w:tcW w:type="dxa" w:w="3389"/>
            <w:vAlign w:val="center"/>
            <w:shd w:fill="F3F6FA"/>
          </w:tcPr>
          <w:p>
            <w:r/>
            <w:r>
              <w:rPr>
                <w:rFonts w:ascii="Aptos" w:hAnsi="Aptos"/>
                <w:b w:val="0"/>
                <w:sz w:val="16"/>
              </w:rPr>
            </w:r>
          </w:p>
        </w:tc>
        <w:tc>
          <w:tcPr>
            <w:tcW w:type="dxa" w:w="3389"/>
            <w:vAlign w:val="center"/>
            <w:shd w:fill="F3F6FA"/>
          </w:tcPr>
          <w:p>
            <w:r/>
            <w:r>
              <w:rPr>
                <w:rFonts w:ascii="Aptos" w:hAnsi="Aptos"/>
                <w:b w:val="0"/>
                <w:sz w:val="16"/>
              </w:rPr>
              <w:t>Digital/Cyber</w:t>
            </w:r>
          </w:p>
        </w:tc>
      </w:tr>
      <w:tr>
        <w:tc>
          <w:tcPr>
            <w:tcW w:type="dxa" w:w="3389"/>
            <w:vAlign w:val="center"/>
          </w:tcPr>
          <w:p>
            <w:r/>
            <w:r>
              <w:rPr>
                <w:rFonts w:ascii="Aptos" w:hAnsi="Aptos"/>
                <w:b w:val="0"/>
                <w:sz w:val="16"/>
              </w:rPr>
              <w:t>Has UAT passed with representative doctors and staff?</w:t>
            </w:r>
          </w:p>
        </w:tc>
        <w:tc>
          <w:tcPr>
            <w:tcW w:type="dxa" w:w="3389"/>
            <w:vAlign w:val="center"/>
          </w:tcPr>
          <w:p>
            <w:r/>
            <w:r>
              <w:rPr>
                <w:rFonts w:ascii="Aptos" w:hAnsi="Aptos"/>
                <w:b w:val="0"/>
                <w:sz w:val="16"/>
              </w:rPr>
            </w:r>
          </w:p>
        </w:tc>
        <w:tc>
          <w:tcPr>
            <w:tcW w:type="dxa" w:w="3389"/>
            <w:vAlign w:val="center"/>
          </w:tcPr>
          <w:p>
            <w:r/>
            <w:r>
              <w:rPr>
                <w:rFonts w:ascii="Aptos" w:hAnsi="Aptos"/>
                <w:b w:val="0"/>
                <w:sz w:val="16"/>
              </w:rPr>
              <w:t>Product Owner</w:t>
            </w:r>
          </w:p>
        </w:tc>
      </w:tr>
      <w:tr>
        <w:tc>
          <w:tcPr>
            <w:tcW w:type="dxa" w:w="3389"/>
            <w:vAlign w:val="center"/>
            <w:shd w:fill="F3F6FA"/>
          </w:tcPr>
          <w:p>
            <w:r/>
            <w:r>
              <w:rPr>
                <w:rFonts w:ascii="Aptos" w:hAnsi="Aptos"/>
                <w:b w:val="0"/>
                <w:sz w:val="16"/>
              </w:rPr>
              <w:t>Are support and rollback arrangements ready?</w:t>
            </w:r>
          </w:p>
        </w:tc>
        <w:tc>
          <w:tcPr>
            <w:tcW w:type="dxa" w:w="3389"/>
            <w:vAlign w:val="center"/>
            <w:shd w:fill="F3F6FA"/>
          </w:tcPr>
          <w:p>
            <w:r/>
            <w:r>
              <w:rPr>
                <w:rFonts w:ascii="Aptos" w:hAnsi="Aptos"/>
                <w:b w:val="0"/>
                <w:sz w:val="16"/>
              </w:rPr>
            </w:r>
          </w:p>
        </w:tc>
        <w:tc>
          <w:tcPr>
            <w:tcW w:type="dxa" w:w="3389"/>
            <w:vAlign w:val="center"/>
            <w:shd w:fill="F3F6FA"/>
          </w:tcPr>
          <w:p>
            <w:r/>
            <w:r>
              <w:rPr>
                <w:rFonts w:ascii="Aptos" w:hAnsi="Aptos"/>
                <w:b w:val="0"/>
                <w:sz w:val="16"/>
              </w:rPr>
              <w:t>Product/IT</w:t>
            </w:r>
          </w:p>
        </w:tc>
      </w:tr>
      <w:tr>
        <w:tc>
          <w:tcPr>
            <w:tcW w:type="dxa" w:w="3389"/>
            <w:vAlign w:val="center"/>
          </w:tcPr>
          <w:p>
            <w:r/>
            <w:r>
              <w:rPr>
                <w:rFonts w:ascii="Aptos" w:hAnsi="Aptos"/>
                <w:b w:val="0"/>
                <w:sz w:val="16"/>
              </w:rPr>
              <w:t>Are evaluation measures collecting correctly?</w:t>
            </w:r>
          </w:p>
        </w:tc>
        <w:tc>
          <w:tcPr>
            <w:tcW w:type="dxa" w:w="3389"/>
            <w:vAlign w:val="center"/>
          </w:tcPr>
          <w:p>
            <w:r/>
            <w:r>
              <w:rPr>
                <w:rFonts w:ascii="Aptos" w:hAnsi="Aptos"/>
                <w:b w:val="0"/>
                <w:sz w:val="16"/>
              </w:rPr>
            </w:r>
          </w:p>
        </w:tc>
        <w:tc>
          <w:tcPr>
            <w:tcW w:type="dxa" w:w="3389"/>
            <w:vAlign w:val="center"/>
          </w:tcPr>
          <w:p>
            <w:r/>
            <w:r>
              <w:rPr>
                <w:rFonts w:ascii="Aptos" w:hAnsi="Aptos"/>
                <w:b w:val="0"/>
                <w:sz w:val="16"/>
              </w:rPr>
              <w:t>Evaluation</w:t>
            </w:r>
          </w:p>
        </w:tc>
      </w:tr>
      <w:tr>
        <w:tc>
          <w:tcPr>
            <w:tcW w:type="dxa" w:w="3389"/>
            <w:vAlign w:val="center"/>
            <w:shd w:fill="F3F6FA"/>
          </w:tcPr>
          <w:p>
            <w:r/>
            <w:r>
              <w:rPr>
                <w:rFonts w:ascii="Aptos" w:hAnsi="Aptos"/>
                <w:b w:val="0"/>
                <w:sz w:val="16"/>
              </w:rPr>
              <w:t>Are there unresolved high clinical safety risks?</w:t>
            </w:r>
          </w:p>
        </w:tc>
        <w:tc>
          <w:tcPr>
            <w:tcW w:type="dxa" w:w="3389"/>
            <w:vAlign w:val="center"/>
            <w:shd w:fill="F3F6FA"/>
          </w:tcPr>
          <w:p>
            <w:r/>
            <w:r>
              <w:rPr>
                <w:rFonts w:ascii="Aptos" w:hAnsi="Aptos"/>
                <w:b w:val="0"/>
                <w:sz w:val="16"/>
              </w:rPr>
            </w:r>
          </w:p>
        </w:tc>
        <w:tc>
          <w:tcPr>
            <w:tcW w:type="dxa" w:w="3389"/>
            <w:vAlign w:val="center"/>
            <w:shd w:fill="F3F6FA"/>
          </w:tcPr>
          <w:p>
            <w:r/>
            <w:r>
              <w:rPr>
                <w:rFonts w:ascii="Aptos" w:hAnsi="Aptos"/>
                <w:b w:val="0"/>
                <w:sz w:val="16"/>
              </w:rPr>
              <w:t>Clinical Safety</w:t>
            </w:r>
          </w:p>
        </w:tc>
      </w:tr>
      <w:tr>
        <w:tc>
          <w:tcPr>
            <w:tcW w:type="dxa" w:w="3389"/>
            <w:vAlign w:val="center"/>
          </w:tcPr>
          <w:p>
            <w:r/>
            <w:r>
              <w:rPr>
                <w:rFonts w:ascii="Aptos" w:hAnsi="Aptos"/>
                <w:b w:val="0"/>
                <w:sz w:val="16"/>
              </w:rPr>
              <w:t>Has the Steering Group recommended proceeding?</w:t>
            </w:r>
          </w:p>
        </w:tc>
        <w:tc>
          <w:tcPr>
            <w:tcW w:type="dxa" w:w="3389"/>
            <w:vAlign w:val="center"/>
          </w:tcPr>
          <w:p>
            <w:r/>
            <w:r>
              <w:rPr>
                <w:rFonts w:ascii="Aptos" w:hAnsi="Aptos"/>
                <w:b w:val="0"/>
                <w:sz w:val="16"/>
              </w:rPr>
            </w:r>
          </w:p>
        </w:tc>
        <w:tc>
          <w:tcPr>
            <w:tcW w:type="dxa" w:w="3389"/>
            <w:vAlign w:val="center"/>
          </w:tcPr>
          <w:p>
            <w:r/>
            <w:r>
              <w:rPr>
                <w:rFonts w:ascii="Aptos" w:hAnsi="Aptos"/>
                <w:b w:val="0"/>
                <w:sz w:val="16"/>
              </w:rPr>
              <w:t>Chair</w:t>
            </w:r>
          </w:p>
        </w:tc>
      </w:tr>
    </w:tbl>
    <w:p/>
    <w:p>
      <w:pPr>
        <w:pStyle w:val="Heading1"/>
      </w:pPr>
      <w:r>
        <w:t>Appendix B. Suggested Locum Experience survey wording</w:t>
      </w:r>
    </w:p>
    <w:p>
      <w:r>
        <w:t>1. If someone close to you became unexpectedly unwell while passing through this town, how comfortable would you be with them receiving care at this hospital? (0–10)</w:t>
      </w:r>
    </w:p>
    <w:p>
      <w:r>
        <w:t>2. How would you rate the culture of the clinical team you worked with? (0–10)</w:t>
      </w:r>
    </w:p>
    <w:p>
      <w:r>
        <w:t>3. Did you feel safe raising a clinical concern? (Yes / Mostly / No)</w:t>
      </w:r>
    </w:p>
    <w:p>
      <w:r>
        <w:t>4. Could you obtain appropriate clinical help when you needed it? (Yes / Mostly / No)</w:t>
      </w:r>
    </w:p>
    <w:p>
      <w:r>
        <w:t>5. Was the workload safe and manageable? (Yes / Mostly / No)</w:t>
      </w:r>
    </w:p>
    <w:p>
      <w:r>
        <w:t>6. Did you have the information and orientation you needed to work effectively? (Yes / Mostly / No)</w:t>
      </w:r>
    </w:p>
    <w:p>
      <w:r>
        <w:t>7. How likely are you to choose to work at this hospital again? (0–10)</w:t>
      </w:r>
    </w:p>
    <w:p>
      <w:r>
        <w:t>8. What is the one thing we could change that would make you more likely to return? (Optional free text)</w:t>
      </w:r>
    </w:p>
    <w:p>
      <w:r>
        <w:t>Safety prompt: If something occurred that requires formal clinical, workplace or patient-safety follow-up, please use the relevant YNLHN reporting/escalation pathway. This survey is intended for confidential workforce improvement and is not monitored as an urgent incident-reporting channel.</w:t>
      </w:r>
    </w:p>
    <w:p>
      <w:pPr>
        <w:pStyle w:val="Heading1"/>
      </w:pPr>
      <w:r>
        <w:t>Appendix C. Core definitions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rFonts w:ascii="Aptos" w:hAnsi="Aptos"/>
                <w:b/>
                <w:color w:val="FFFFFF"/>
                <w:sz w:val="16"/>
              </w:rPr>
              <w:t>Term</w:t>
            </w:r>
          </w:p>
        </w:tc>
        <w:tc>
          <w:tcPr>
            <w:tcW w:type="dxa" w:w="5083"/>
            <w:vAlign w:val="center"/>
            <w:shd w:fill="17365D"/>
          </w:tcPr>
          <w:p>
            <w:r/>
            <w:r>
              <w:rPr>
                <w:rFonts w:ascii="Aptos" w:hAnsi="Aptos"/>
                <w:b/>
                <w:color w:val="FFFFFF"/>
                <w:sz w:val="16"/>
              </w:rPr>
              <w:t>Definition</w:t>
            </w:r>
          </w:p>
        </w:tc>
      </w:tr>
      <w:tr>
        <w:tc>
          <w:tcPr>
            <w:tcW w:type="dxa" w:w="5083"/>
            <w:vAlign w:val="center"/>
          </w:tcPr>
          <w:p>
            <w:r/>
            <w:r>
              <w:rPr>
                <w:rFonts w:ascii="Aptos" w:hAnsi="Aptos"/>
                <w:b w:val="0"/>
                <w:sz w:val="16"/>
              </w:rPr>
              <w:t>Credential</w:t>
            </w:r>
          </w:p>
        </w:tc>
        <w:tc>
          <w:tcPr>
            <w:tcW w:type="dxa" w:w="5083"/>
            <w:vAlign w:val="center"/>
          </w:tcPr>
          <w:p>
            <w:r/>
            <w:r>
              <w:rPr>
                <w:rFonts w:ascii="Aptos" w:hAnsi="Aptos"/>
                <w:b w:val="0"/>
                <w:sz w:val="16"/>
              </w:rPr>
              <w:t>Structured record of a qualification, registration, training, check, experience or organisational attestation held by a practitioner</w:t>
            </w:r>
          </w:p>
        </w:tc>
      </w:tr>
      <w:tr>
        <w:tc>
          <w:tcPr>
            <w:tcW w:type="dxa" w:w="5083"/>
            <w:vAlign w:val="center"/>
            <w:shd w:fill="F3F6FA"/>
          </w:tcPr>
          <w:p>
            <w:r/>
            <w:r>
              <w:rPr>
                <w:rFonts w:ascii="Aptos" w:hAnsi="Aptos"/>
                <w:b w:val="0"/>
                <w:sz w:val="16"/>
              </w:rPr>
              <w:t>Credential evidence</w:t>
            </w:r>
          </w:p>
        </w:tc>
        <w:tc>
          <w:tcPr>
            <w:tcW w:type="dxa" w:w="5083"/>
            <w:vAlign w:val="center"/>
            <w:shd w:fill="F3F6FA"/>
          </w:tcPr>
          <w:p>
            <w:r/>
            <w:r>
              <w:rPr>
                <w:rFonts w:ascii="Aptos" w:hAnsi="Aptos"/>
                <w:b w:val="0"/>
                <w:sz w:val="16"/>
              </w:rPr>
              <w:t>Document or authoritative source supporting a credential</w:t>
            </w:r>
          </w:p>
        </w:tc>
      </w:tr>
      <w:tr>
        <w:tc>
          <w:tcPr>
            <w:tcW w:type="dxa" w:w="5083"/>
            <w:vAlign w:val="center"/>
          </w:tcPr>
          <w:p>
            <w:r/>
            <w:r>
              <w:rPr>
                <w:rFonts w:ascii="Aptos" w:hAnsi="Aptos"/>
                <w:b w:val="0"/>
                <w:sz w:val="16"/>
              </w:rPr>
              <w:t>Verification</w:t>
            </w:r>
          </w:p>
        </w:tc>
        <w:tc>
          <w:tcPr>
            <w:tcW w:type="dxa" w:w="5083"/>
            <w:vAlign w:val="center"/>
          </w:tcPr>
          <w:p>
            <w:r/>
            <w:r>
              <w:rPr>
                <w:rFonts w:ascii="Aptos" w:hAnsi="Aptos"/>
                <w:b w:val="0"/>
                <w:sz w:val="16"/>
              </w:rPr>
              <w:t>Recorded assessment of credential evidence by a named verifier/source</w:t>
            </w:r>
          </w:p>
        </w:tc>
      </w:tr>
      <w:tr>
        <w:tc>
          <w:tcPr>
            <w:tcW w:type="dxa" w:w="5083"/>
            <w:vAlign w:val="center"/>
            <w:shd w:fill="F3F6FA"/>
          </w:tcPr>
          <w:p>
            <w:r/>
            <w:r>
              <w:rPr>
                <w:rFonts w:ascii="Aptos" w:hAnsi="Aptos"/>
                <w:b w:val="0"/>
                <w:sz w:val="16"/>
              </w:rPr>
              <w:t>ScopeGrant</w:t>
            </w:r>
          </w:p>
        </w:tc>
        <w:tc>
          <w:tcPr>
            <w:tcW w:type="dxa" w:w="5083"/>
            <w:vAlign w:val="center"/>
            <w:shd w:fill="F3F6FA"/>
          </w:tcPr>
          <w:p>
            <w:r/>
            <w:r>
              <w:rPr>
                <w:rFonts w:ascii="Aptos" w:hAnsi="Aptos"/>
                <w:b w:val="0"/>
                <w:sz w:val="16"/>
              </w:rPr>
              <w:t>Organisation-specific decision authorising defined clinical practice</w:t>
            </w:r>
          </w:p>
        </w:tc>
      </w:tr>
      <w:tr>
        <w:tc>
          <w:tcPr>
            <w:tcW w:type="dxa" w:w="5083"/>
            <w:vAlign w:val="center"/>
          </w:tcPr>
          <w:p>
            <w:r/>
            <w:r>
              <w:rPr>
                <w:rFonts w:ascii="Aptos" w:hAnsi="Aptos"/>
                <w:b w:val="0"/>
                <w:sz w:val="16"/>
              </w:rPr>
              <w:t>Eligibility</w:t>
            </w:r>
          </w:p>
        </w:tc>
        <w:tc>
          <w:tcPr>
            <w:tcW w:type="dxa" w:w="5083"/>
            <w:vAlign w:val="center"/>
          </w:tcPr>
          <w:p>
            <w:r/>
            <w:r>
              <w:rPr>
                <w:rFonts w:ascii="Aptos" w:hAnsi="Aptos"/>
                <w:b w:val="0"/>
                <w:sz w:val="16"/>
              </w:rPr>
              <w:t>Point-in-time determination that known requirements for a role/site/shift are satisfied</w:t>
            </w:r>
          </w:p>
        </w:tc>
      </w:tr>
      <w:tr>
        <w:tc>
          <w:tcPr>
            <w:tcW w:type="dxa" w:w="5083"/>
            <w:vAlign w:val="center"/>
            <w:shd w:fill="F3F6FA"/>
          </w:tcPr>
          <w:p>
            <w:r/>
            <w:r>
              <w:rPr>
                <w:rFonts w:ascii="Aptos" w:hAnsi="Aptos"/>
                <w:b w:val="0"/>
                <w:sz w:val="16"/>
              </w:rPr>
              <w:t>Match</w:t>
            </w:r>
          </w:p>
        </w:tc>
        <w:tc>
          <w:tcPr>
            <w:tcW w:type="dxa" w:w="5083"/>
            <w:vAlign w:val="center"/>
            <w:shd w:fill="F3F6FA"/>
          </w:tcPr>
          <w:p>
            <w:r/>
            <w:r>
              <w:rPr>
                <w:rFonts w:ascii="Aptos" w:hAnsi="Aptos"/>
                <w:b w:val="0"/>
                <w:sz w:val="16"/>
              </w:rPr>
              <w:t>Eligible practitioner who also meets preferences/availability/commercial conditions</w:t>
            </w:r>
          </w:p>
        </w:tc>
      </w:tr>
      <w:tr>
        <w:tc>
          <w:tcPr>
            <w:tcW w:type="dxa" w:w="5083"/>
            <w:vAlign w:val="center"/>
          </w:tcPr>
          <w:p>
            <w:r/>
            <w:r>
              <w:rPr>
                <w:rFonts w:ascii="Aptos" w:hAnsi="Aptos"/>
                <w:b w:val="0"/>
                <w:sz w:val="16"/>
              </w:rPr>
              <w:t>Eligible return</w:t>
            </w:r>
          </w:p>
        </w:tc>
        <w:tc>
          <w:tcPr>
            <w:tcW w:type="dxa" w:w="5083"/>
            <w:vAlign w:val="center"/>
          </w:tcPr>
          <w:p>
            <w:r/>
            <w:r>
              <w:rPr>
                <w:rFonts w:ascii="Aptos" w:hAnsi="Aptos"/>
                <w:b w:val="0"/>
                <w:sz w:val="16"/>
              </w:rPr>
              <w:t>A practitioner accepts a subsequent suitable opportunity after having a reasonable opportunity to return</w:t>
            </w:r>
          </w:p>
        </w:tc>
      </w:tr>
      <w:tr>
        <w:tc>
          <w:tcPr>
            <w:tcW w:type="dxa" w:w="5083"/>
            <w:vAlign w:val="center"/>
            <w:shd w:fill="F3F6FA"/>
          </w:tcPr>
          <w:p>
            <w:r/>
            <w:r>
              <w:rPr>
                <w:rFonts w:ascii="Aptos" w:hAnsi="Aptos"/>
                <w:b w:val="0"/>
                <w:sz w:val="16"/>
              </w:rPr>
              <w:t>Panel agency</w:t>
            </w:r>
          </w:p>
        </w:tc>
        <w:tc>
          <w:tcPr>
            <w:tcW w:type="dxa" w:w="5083"/>
            <w:vAlign w:val="center"/>
            <w:shd w:fill="F3F6FA"/>
          </w:tcPr>
          <w:p>
            <w:r/>
            <w:r>
              <w:rPr>
                <w:rFonts w:ascii="Aptos" w:hAnsi="Aptos"/>
                <w:b w:val="0"/>
                <w:sz w:val="16"/>
              </w:rPr>
              <w:t>Supplier eligible under the applicable SA Health panel arrangement at the relevant time</w:t>
            </w:r>
          </w:p>
        </w:tc>
      </w:tr>
    </w:tbl>
    <w:p/>
    <w:p>
      <w:pPr>
        <w:pStyle w:val="Heading1"/>
      </w:pPr>
      <w:r>
        <w:t>Appendix D. Policy anchors</w:t>
      </w:r>
    </w:p>
    <w:p>
      <w:r>
        <w:t>1. SA Health. Use of Locums Policy, Version 1.0, approved 16 September 2025.</w:t>
      </w:r>
    </w:p>
    <w:p>
      <w:r>
        <w:t>2. Australian Commission on Safety and Quality in Health Care. Credentialing and defining scope of practice: guidance for health services and clinicians. 2026.</w:t>
      </w:r>
    </w:p>
    <w:p>
      <w:r>
        <w:t>3. Australian Digital Health Agency. Healthcare identifiers and Healthcare Identifiers Service.</w:t>
      </w:r>
    </w:p>
    <w:p>
      <w:r>
        <w:t>4. Australian Digital Health Agency. Provider Connect Australia.</w:t>
      </w:r>
    </w:p>
    <w:p>
      <w:pPr>
        <w:pStyle w:val="Heading1"/>
      </w:pPr>
      <w:r>
        <w:t>Appendix E. Version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
              <w:rPr>
                <w:rFonts w:ascii="Aptos" w:hAnsi="Aptos"/>
                <w:b/>
                <w:color w:val="FFFFFF"/>
                <w:sz w:val="16"/>
              </w:rPr>
              <w:t>Version</w:t>
            </w:r>
          </w:p>
        </w:tc>
        <w:tc>
          <w:tcPr>
            <w:tcW w:type="dxa" w:w="2541"/>
            <w:vAlign w:val="center"/>
            <w:shd w:fill="17365D"/>
          </w:tcPr>
          <w:p>
            <w:r/>
            <w:r>
              <w:rPr>
                <w:rFonts w:ascii="Aptos" w:hAnsi="Aptos"/>
                <w:b/>
                <w:color w:val="FFFFFF"/>
                <w:sz w:val="16"/>
              </w:rPr>
              <w:t>Date</w:t>
            </w:r>
          </w:p>
        </w:tc>
        <w:tc>
          <w:tcPr>
            <w:tcW w:type="dxa" w:w="2541"/>
            <w:vAlign w:val="center"/>
            <w:shd w:fill="17365D"/>
          </w:tcPr>
          <w:p>
            <w:r/>
            <w:r>
              <w:rPr>
                <w:rFonts w:ascii="Aptos" w:hAnsi="Aptos"/>
                <w:b/>
                <w:color w:val="FFFFFF"/>
                <w:sz w:val="16"/>
              </w:rPr>
              <w:t>Status</w:t>
            </w:r>
          </w:p>
        </w:tc>
        <w:tc>
          <w:tcPr>
            <w:tcW w:type="dxa" w:w="2541"/>
            <w:vAlign w:val="center"/>
            <w:shd w:fill="17365D"/>
          </w:tcPr>
          <w:p>
            <w:r/>
            <w:r>
              <w:rPr>
                <w:rFonts w:ascii="Aptos" w:hAnsi="Aptos"/>
                <w:b/>
                <w:color w:val="FFFFFF"/>
                <w:sz w:val="16"/>
              </w:rPr>
              <w:t>Change</w:t>
            </w:r>
          </w:p>
        </w:tc>
      </w:tr>
      <w:tr>
        <w:tc>
          <w:tcPr>
            <w:tcW w:type="dxa" w:w="2541"/>
            <w:vAlign w:val="center"/>
          </w:tcPr>
          <w:p>
            <w:r/>
            <w:r>
              <w:rPr>
                <w:rFonts w:ascii="Aptos" w:hAnsi="Aptos"/>
                <w:b w:val="0"/>
                <w:sz w:val="16"/>
              </w:rPr>
              <w:t>0.1</w:t>
            </w:r>
          </w:p>
        </w:tc>
        <w:tc>
          <w:tcPr>
            <w:tcW w:type="dxa" w:w="2541"/>
            <w:vAlign w:val="center"/>
          </w:tcPr>
          <w:p>
            <w:r/>
            <w:r>
              <w:rPr>
                <w:rFonts w:ascii="Aptos" w:hAnsi="Aptos"/>
                <w:b w:val="0"/>
                <w:sz w:val="16"/>
              </w:rPr>
              <w:t>26 September 2026</w:t>
            </w:r>
          </w:p>
        </w:tc>
        <w:tc>
          <w:tcPr>
            <w:tcW w:type="dxa" w:w="2541"/>
            <w:vAlign w:val="center"/>
          </w:tcPr>
          <w:p>
            <w:r/>
            <w:r>
              <w:rPr>
                <w:rFonts w:ascii="Aptos" w:hAnsi="Aptos"/>
                <w:b w:val="0"/>
                <w:sz w:val="16"/>
              </w:rPr>
              <w:t>Draft</w:t>
            </w:r>
          </w:p>
        </w:tc>
        <w:tc>
          <w:tcPr>
            <w:tcW w:type="dxa" w:w="2541"/>
            <w:vAlign w:val="center"/>
          </w:tcPr>
          <w:p>
            <w:r/>
            <w:r>
              <w:rPr>
                <w:rFonts w:ascii="Aptos" w:hAnsi="Aptos"/>
                <w:b w:val="0"/>
                <w:sz w:val="16"/>
              </w:rPr>
              <w:t>Initial implementation and evaluation plan derived from Master Specification v0.2 and YNLHN Pilot Business Case v0.2.</w:t>
            </w:r>
          </w:p>
        </w:tc>
      </w:tr>
    </w:tbl>
    <w:p/>
    <w:p>
      <w:r>
        <w:br w:type="page"/>
      </w:r>
    </w:p>
    <w:p>
      <w:pPr>
        <w:pStyle w:val="Heading1"/>
      </w:pPr>
      <w:r>
        <w:t>Future opportunities protected by the pilot design</w:t>
      </w:r>
    </w:p>
    <w:p>
      <w:r>
        <w:t>The pilot will collect evidence and use architecture that preserve later options without expanding initial implementation scope. Evaluation should therefore test not only local utility but whether the foundations are credible for subsequent portability, intelligence and mobilisation use cases.</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Opportunity</w:t>
            </w:r>
          </w:p>
        </w:tc>
        <w:tc>
          <w:tcPr>
            <w:tcW w:type="dxa" w:w="5083"/>
            <w:shd w:fill="17365D"/>
          </w:tcPr>
          <w:p>
            <w:r/>
            <w:r>
              <w:rPr>
                <w:b/>
                <w:color w:val="FFFFFF"/>
                <w:sz w:val="16"/>
              </w:rPr>
              <w:t>Strategic implication</w:t>
            </w:r>
          </w:p>
        </w:tc>
      </w:tr>
      <w:tr>
        <w:tc>
          <w:tcPr>
            <w:tcW w:type="dxa" w:w="5083"/>
          </w:tcPr>
          <w:p>
            <w:r>
              <w:rPr>
                <w:sz w:val="15"/>
              </w:rPr>
              <w:t>Workforce Trust Network</w:t>
            </w:r>
          </w:p>
        </w:tc>
        <w:tc>
          <w:tcPr>
            <w:tcW w:type="dxa" w:w="5083"/>
          </w:tcPr>
          <w:p>
            <w:r>
              <w:rPr>
                <w:sz w:val="15"/>
              </w:rPr>
              <w:t>Turn each verified credential into a reusable, provenance-rich trust assertion. A receiving organisation can see who verified what, how, when, against which source and policy, then make its own trust decision rather than repeating work blindly.</w:t>
            </w:r>
          </w:p>
        </w:tc>
      </w:tr>
      <w:tr>
        <w:tc>
          <w:tcPr>
            <w:tcW w:type="dxa" w:w="5083"/>
            <w:shd w:fill="F4F7FA"/>
          </w:tcPr>
          <w:p>
            <w:r>
              <w:rPr>
                <w:sz w:val="15"/>
              </w:rPr>
              <w:t>Federated Scope of Practice Registry</w:t>
            </w:r>
          </w:p>
        </w:tc>
        <w:tc>
          <w:tcPr>
            <w:tcW w:type="dxa" w:w="5083"/>
            <w:shd w:fill="F4F7FA"/>
          </w:tcPr>
          <w:p>
            <w:r>
              <w:rPr>
                <w:sz w:val="15"/>
              </w:rPr>
              <w:t>Represent organisation-issued ScopeGrants in a consistent interoperable form across facilities and health services. The registry federates local authority rather than creating national automatic scope portability.</w:t>
            </w:r>
          </w:p>
        </w:tc>
      </w:tr>
      <w:tr>
        <w:tc>
          <w:tcPr>
            <w:tcW w:type="dxa" w:w="5083"/>
          </w:tcPr>
          <w:p>
            <w:r>
              <w:rPr>
                <w:sz w:val="15"/>
              </w:rPr>
              <w:t>Machine-enforceable scope</w:t>
            </w:r>
          </w:p>
        </w:tc>
        <w:tc>
          <w:tcPr>
            <w:tcW w:type="dxa" w:w="5083"/>
          </w:tcPr>
          <w:p>
            <w:r>
              <w:rPr>
                <w:sz w:val="15"/>
              </w:rPr>
              <w:t>Make current ScopeGrant status available to downstream systems so future integrations can support access reviews, procedural privileges, prescribing controls, theatre workflows and other clinical-governance safeguards.</w:t>
            </w:r>
          </w:p>
        </w:tc>
      </w:tr>
      <w:tr>
        <w:tc>
          <w:tcPr>
            <w:tcW w:type="dxa" w:w="5083"/>
            <w:shd w:fill="F4F7FA"/>
          </w:tcPr>
          <w:p>
            <w:r>
              <w:rPr>
                <w:sz w:val="15"/>
              </w:rPr>
              <w:t>Reusable onboarding passport</w:t>
            </w:r>
          </w:p>
        </w:tc>
        <w:tc>
          <w:tcPr>
            <w:tcW w:type="dxa" w:w="5083"/>
            <w:shd w:fill="F4F7FA"/>
          </w:tcPr>
          <w:p>
            <w:r>
              <w:rPr>
                <w:sz w:val="15"/>
              </w:rPr>
              <w:t>Extend the doctor-owned passport beyond clinical credentials to reusable employment and onboarding information such as mandatory training, occupational requirements and other repeatable administrative evidence, while preserving organisation-specific decisions.</w:t>
            </w:r>
          </w:p>
        </w:tc>
      </w:tr>
      <w:tr>
        <w:tc>
          <w:tcPr>
            <w:tcW w:type="dxa" w:w="5083"/>
          </w:tcPr>
          <w:p>
            <w:r>
              <w:rPr>
                <w:sz w:val="15"/>
              </w:rPr>
              <w:t>Workforce digital twin</w:t>
            </w:r>
          </w:p>
        </w:tc>
        <w:tc>
          <w:tcPr>
            <w:tcW w:type="dxa" w:w="5083"/>
          </w:tcPr>
          <w:p>
            <w:r>
              <w:rPr>
                <w:sz w:val="15"/>
              </w:rPr>
              <w:t>Combine structured vacancies, eligibility, scope, availability, preferences and sourcing data to show the real deployable workforce for a site, service, role and time period.</w:t>
            </w:r>
          </w:p>
        </w:tc>
      </w:tr>
      <w:tr>
        <w:tc>
          <w:tcPr>
            <w:tcW w:type="dxa" w:w="5083"/>
            <w:shd w:fill="F4F7FA"/>
          </w:tcPr>
          <w:p>
            <w:r>
              <w:rPr>
                <w:sz w:val="15"/>
              </w:rPr>
              <w:t>Predictive shortage management</w:t>
            </w:r>
          </w:p>
        </w:tc>
        <w:tc>
          <w:tcPr>
            <w:tcW w:type="dxa" w:w="5083"/>
            <w:shd w:fill="F4F7FA"/>
          </w:tcPr>
          <w:p>
            <w:r>
              <w:rPr>
                <w:sz w:val="15"/>
              </w:rPr>
              <w:t>Use longitudinal vacancy, fill, cancellation, availability and eligibility data to forecast workforce gaps early. Predictive analytics may support planning, but must not replace deterministic clinical eligibility or scope decisions.</w:t>
            </w:r>
          </w:p>
        </w:tc>
      </w:tr>
      <w:tr>
        <w:tc>
          <w:tcPr>
            <w:tcW w:type="dxa" w:w="5083"/>
          </w:tcPr>
          <w:p>
            <w:r>
              <w:rPr>
                <w:sz w:val="15"/>
              </w:rPr>
              <w:t>Rural workforce laboratory</w:t>
            </w:r>
          </w:p>
        </w:tc>
        <w:tc>
          <w:tcPr>
            <w:tcW w:type="dxa" w:w="5083"/>
          </w:tcPr>
          <w:p>
            <w:r>
              <w:rPr>
                <w:sz w:val="15"/>
              </w:rPr>
              <w:t>Link clinician experience, culture, support, accommodation, workload, rates and actual return behaviour to identify modifiable drivers of rural attraction and retention and evaluate interventions.</w:t>
            </w:r>
          </w:p>
        </w:tc>
      </w:tr>
      <w:tr>
        <w:tc>
          <w:tcPr>
            <w:tcW w:type="dxa" w:w="5083"/>
            <w:shd w:fill="F4F7FA"/>
          </w:tcPr>
          <w:p>
            <w:r>
              <w:rPr>
                <w:sz w:val="15"/>
              </w:rPr>
              <w:t>Emergency workforce mobilisation</w:t>
            </w:r>
          </w:p>
        </w:tc>
        <w:tc>
          <w:tcPr>
            <w:tcW w:type="dxa" w:w="5083"/>
            <w:shd w:fill="F4F7FA"/>
          </w:tcPr>
          <w:p>
            <w:r>
              <w:rPr>
                <w:sz w:val="15"/>
              </w:rPr>
              <w:t>Provide a controlled mechanism to identify clinicians who are currently eligible, available and willing to deploy during surge, disaster, pandemic or sudden service failure.</w:t>
            </w:r>
          </w:p>
        </w:tc>
      </w:tr>
      <w:tr>
        <w:tc>
          <w:tcPr>
            <w:tcW w:type="dxa" w:w="5083"/>
          </w:tcPr>
          <w:p>
            <w:r>
              <w:rPr>
                <w:sz w:val="15"/>
              </w:rPr>
              <w:t>Multi-professional extensibility</w:t>
            </w:r>
          </w:p>
        </w:tc>
        <w:tc>
          <w:tcPr>
            <w:tcW w:type="dxa" w:w="5083"/>
          </w:tcPr>
          <w:p>
            <w:r>
              <w:rPr>
                <w:sz w:val="15"/>
              </w:rPr>
              <w:t>Keep the canonical architecture profession-agnostic so the same trust and mobilisation pattern can later support nursing, midwifery, pharmacy, allied health and other regulated workforces, while the initial product remains deliberately medical.</w:t>
            </w:r>
          </w:p>
        </w:tc>
      </w:tr>
      <w:tr>
        <w:tc>
          <w:tcPr>
            <w:tcW w:type="dxa" w:w="5083"/>
            <w:shd w:fill="F4F7FA"/>
          </w:tcPr>
          <w:p>
            <w:r>
              <w:rPr>
                <w:sz w:val="15"/>
              </w:rPr>
              <w:t>Longitudinal Clinical Professional Passport</w:t>
            </w:r>
          </w:p>
        </w:tc>
        <w:tc>
          <w:tcPr>
            <w:tcW w:type="dxa" w:w="5083"/>
            <w:shd w:fill="F4F7FA"/>
          </w:tcPr>
          <w:p>
            <w:r>
              <w:rPr>
                <w:sz w:val="15"/>
              </w:rPr>
              <w:t>Architect for a future doctor-owned professional record incorporating verified work history, procedural activity, CPD, supervision, training, references and competency evidence, without expanding the YNLHN MVP into those domains now.</w:t>
            </w:r>
          </w:p>
        </w:tc>
      </w:tr>
    </w:tbl>
    <w:p/>
    <w:p>
      <w:pPr>
        <w:pStyle w:val="Heading2"/>
      </w:pPr>
      <w:r>
        <w:t>Platform boundary and sequencing</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Horizon</w:t>
            </w:r>
          </w:p>
        </w:tc>
        <w:tc>
          <w:tcPr>
            <w:tcW w:type="dxa" w:w="5083"/>
            <w:shd w:fill="17365D"/>
          </w:tcPr>
          <w:p>
            <w:r/>
            <w:r>
              <w:rPr>
                <w:b/>
                <w:color w:val="FFFFFF"/>
                <w:sz w:val="16"/>
              </w:rPr>
              <w:t>Position</w:t>
            </w:r>
          </w:p>
        </w:tc>
      </w:tr>
      <w:tr>
        <w:tc>
          <w:tcPr>
            <w:tcW w:type="dxa" w:w="5083"/>
          </w:tcPr>
          <w:p>
            <w:r>
              <w:rPr>
                <w:sz w:val="15"/>
              </w:rPr>
              <w:t>BUILD NOW</w:t>
            </w:r>
          </w:p>
        </w:tc>
        <w:tc>
          <w:tcPr>
            <w:tcW w:type="dxa" w:w="5083"/>
          </w:tcPr>
          <w:p>
            <w:r>
              <w:rPr>
                <w:sz w:val="15"/>
              </w:rPr>
              <w:t>Doctor credential wallet and expiry tracking; reusable credential sharing; YNLHN scope visibility; deterministic eligibility; vacancy workflow; approved-agency sourcing; booking/timesheets; clinician experience and culture feedback; auditable data foundation.</w:t>
            </w:r>
          </w:p>
        </w:tc>
      </w:tr>
      <w:tr>
        <w:tc>
          <w:tcPr>
            <w:tcW w:type="dxa" w:w="5083"/>
            <w:shd w:fill="F4F7FA"/>
          </w:tcPr>
          <w:p>
            <w:r>
              <w:rPr>
                <w:sz w:val="15"/>
              </w:rPr>
              <w:t>ARCHITECT FOR</w:t>
            </w:r>
          </w:p>
        </w:tc>
        <w:tc>
          <w:tcPr>
            <w:tcW w:type="dxa" w:w="5083"/>
            <w:shd w:fill="F4F7FA"/>
          </w:tcPr>
          <w:p>
            <w:r>
              <w:rPr>
                <w:sz w:val="15"/>
              </w:rPr>
              <w:t>Trust assertions and provenance; federated ScopeGrant exchange; reusable onboarding data; digital-twin analytics; emergency mobilisation; profession-agnostic identifiers and credential definitions; longitudinal professional record; downstream scope events.</w:t>
            </w:r>
          </w:p>
        </w:tc>
      </w:tr>
      <w:tr>
        <w:tc>
          <w:tcPr>
            <w:tcW w:type="dxa" w:w="5083"/>
          </w:tcPr>
          <w:p>
            <w:r>
              <w:rPr>
                <w:sz w:val="15"/>
              </w:rPr>
              <w:t>INVESTIGATE / PILOT LATER</w:t>
            </w:r>
          </w:p>
        </w:tc>
        <w:tc>
          <w:tcPr>
            <w:tcW w:type="dxa" w:w="5083"/>
          </w:tcPr>
          <w:p>
            <w:r>
              <w:rPr>
                <w:sz w:val="15"/>
              </w:rPr>
              <w:t>Cross-LHN verification reuse; national FHIR patterns; predictive shortage models; direct authoritative-source credential feeds; clinical-system enforcement of scope; multi-professional pilots; cross-jurisdiction trust.</w:t>
            </w:r>
          </w:p>
        </w:tc>
      </w:tr>
      <w:tr>
        <w:tc>
          <w:tcPr>
            <w:tcW w:type="dxa" w:w="5083"/>
            <w:shd w:fill="F4F7FA"/>
          </w:tcPr>
          <w:p>
            <w:r>
              <w:rPr>
                <w:sz w:val="15"/>
              </w:rPr>
              <w:t>DELIBERATELY EXCLUDE FROM EARLY MVP</w:t>
            </w:r>
          </w:p>
        </w:tc>
        <w:tc>
          <w:tcPr>
            <w:tcW w:type="dxa" w:w="5083"/>
            <w:shd w:fill="F4F7FA"/>
          </w:tcPr>
          <w:p>
            <w:r>
              <w:rPr>
                <w:sz w:val="15"/>
              </w:rPr>
              <w:t>Automatic portability of clinical scope; AI-based credential or scope approval; open marketplace displacing approved agency arrangements; national storage of every credential document; payroll replacement; multi-professional rollout before the medical model is proven.</w:t>
            </w:r>
          </w:p>
        </w:tc>
      </w:tr>
    </w:tbl>
    <w:p/>
    <w:p>
      <w:r>
        <w:rPr>
          <w:b/>
        </w:rPr>
        <w:t xml:space="preserve">Updated programme vision: </w:t>
      </w:r>
      <w:r>
        <w:t>A trusted digital infrastructure that enables clinicians to prove credentials once, allows health services to define and exchange clinical authority safely and enables appropriately authorised clinicians to be mobilised wherever they are needed.</w:t>
      </w:r>
    </w:p>
    <w:tbl>
      <w:tblPr>
        <w:tblStyle w:val="TableGrid"/>
        <w:tblW w:type="auto" w:w="0"/>
        <w:tblLook w:firstColumn="1" w:firstRow="1" w:lastColumn="0" w:lastRow="0" w:noHBand="0" w:noVBand="1" w:val="04A0"/>
      </w:tblPr>
      <w:tblGrid>
        <w:gridCol w:w="5083"/>
        <w:gridCol w:w="5083"/>
      </w:tblGrid>
      <w:tr>
        <w:tc>
          <w:tcPr>
            <w:tcW w:type="dxa" w:w="5083"/>
            <w:shd w:fill="17365D"/>
          </w:tcPr>
          <w:p>
            <w:r/>
            <w:r>
              <w:rPr>
                <w:b/>
                <w:color w:val="FFFFFF"/>
                <w:sz w:val="16"/>
              </w:rPr>
              <w:t>Product layer</w:t>
            </w:r>
          </w:p>
        </w:tc>
        <w:tc>
          <w:tcPr>
            <w:tcW w:type="dxa" w:w="5083"/>
            <w:shd w:fill="17365D"/>
          </w:tcPr>
          <w:p>
            <w:r/>
            <w:r>
              <w:rPr>
                <w:b/>
                <w:color w:val="FFFFFF"/>
                <w:sz w:val="16"/>
              </w:rPr>
              <w:t>Core question</w:t>
            </w:r>
          </w:p>
        </w:tc>
      </w:tr>
      <w:tr>
        <w:tc>
          <w:tcPr>
            <w:tcW w:type="dxa" w:w="5083"/>
          </w:tcPr>
          <w:p>
            <w:r>
              <w:rPr>
                <w:sz w:val="15"/>
              </w:rPr>
              <w:t>Passport</w:t>
            </w:r>
          </w:p>
        </w:tc>
        <w:tc>
          <w:tcPr>
            <w:tcW w:type="dxa" w:w="5083"/>
          </w:tcPr>
          <w:p>
            <w:r>
              <w:rPr>
                <w:sz w:val="15"/>
              </w:rPr>
              <w:t>What can I prove about myself?</w:t>
            </w:r>
          </w:p>
        </w:tc>
      </w:tr>
      <w:tr>
        <w:tc>
          <w:tcPr>
            <w:tcW w:type="dxa" w:w="5083"/>
            <w:shd w:fill="F4F7FA"/>
          </w:tcPr>
          <w:p>
            <w:r>
              <w:rPr>
                <w:sz w:val="15"/>
              </w:rPr>
              <w:t>Scope</w:t>
            </w:r>
          </w:p>
        </w:tc>
        <w:tc>
          <w:tcPr>
            <w:tcW w:type="dxa" w:w="5083"/>
            <w:shd w:fill="F4F7FA"/>
          </w:tcPr>
          <w:p>
            <w:r>
              <w:rPr>
                <w:sz w:val="15"/>
              </w:rPr>
              <w:t>What has this health service authorised me to do?</w:t>
            </w:r>
          </w:p>
        </w:tc>
      </w:tr>
      <w:tr>
        <w:tc>
          <w:tcPr>
            <w:tcW w:type="dxa" w:w="5083"/>
          </w:tcPr>
          <w:p>
            <w:r>
              <w:rPr>
                <w:sz w:val="15"/>
              </w:rPr>
              <w:t>Exchange</w:t>
            </w:r>
          </w:p>
        </w:tc>
        <w:tc>
          <w:tcPr>
            <w:tcW w:type="dxa" w:w="5083"/>
          </w:tcPr>
          <w:p>
            <w:r>
              <w:rPr>
                <w:sz w:val="15"/>
              </w:rPr>
              <w:t>Where can I work and where am I needed?</w:t>
            </w:r>
          </w:p>
        </w:tc>
      </w:tr>
      <w:tr>
        <w:tc>
          <w:tcPr>
            <w:tcW w:type="dxa" w:w="5083"/>
            <w:shd w:fill="F4F7FA"/>
          </w:tcPr>
          <w:p>
            <w:r>
              <w:rPr>
                <w:sz w:val="15"/>
              </w:rPr>
              <w:t>Intelligence</w:t>
            </w:r>
          </w:p>
        </w:tc>
        <w:tc>
          <w:tcPr>
            <w:tcW w:type="dxa" w:w="5083"/>
            <w:shd w:fill="F4F7FA"/>
          </w:tcPr>
          <w:p>
            <w:r>
              <w:rPr>
                <w:sz w:val="15"/>
              </w:rPr>
              <w:t>What should the system change to put the right workforce in the right place?</w:t>
            </w:r>
          </w:p>
        </w:tc>
      </w:tr>
    </w:tbl>
    <w:p/>
    <w:p>
      <w:pPr>
        <w:pStyle w:val="Heading2"/>
      </w:pPr>
      <w:r>
        <w:t>Evaluation signals for future scale</w:t>
      </w:r>
    </w:p>
    <w:p>
      <w:pPr>
        <w:pStyle w:val="ListBullet"/>
      </w:pPr>
      <w:r>
        <w:t>Credential verification reuse potential and proportion of evidence suitable for reuse</w:t>
      </w:r>
    </w:p>
    <w:p>
      <w:pPr>
        <w:pStyle w:val="ListBullet"/>
      </w:pPr>
      <w:r>
        <w:t>Quality and completeness of site-specific ScopeGrant data</w:t>
      </w:r>
    </w:p>
    <w:p>
      <w:pPr>
        <w:pStyle w:val="ListBullet"/>
      </w:pPr>
      <w:r>
        <w:t>Ability to calculate eligible workforce supply for pilot roles</w:t>
      </w:r>
    </w:p>
    <w:p>
      <w:pPr>
        <w:pStyle w:val="ListBullet"/>
      </w:pPr>
      <w:r>
        <w:t>Relationship between experience scores and subsequent eligible return</w:t>
      </w:r>
    </w:p>
    <w:p>
      <w:pPr>
        <w:pStyle w:val="ListBullet"/>
      </w:pPr>
      <w:r>
        <w:t>Data completeness required for future shortage forecasting</w:t>
      </w:r>
    </w:p>
    <w:p>
      <w:pPr>
        <w:pStyle w:val="ListBullet"/>
      </w:pPr>
      <w:r>
        <w:t>Operational feasibility of rapidly identifying an eligible and willing surge pool</w:t>
      </w:r>
    </w:p>
    <w:p>
      <w:pPr>
        <w:pStyle w:val="Heading2"/>
      </w:pPr>
      <w:r>
        <w:t>v0.2 revision note</w:t>
      </w:r>
    </w:p>
    <w:p>
      <w:r>
        <w:t>26 September 2026 - Expanded strategic horizon to include the workforce trust network, federated scope registry, machine-enforceable scope, reusable onboarding passport, workforce digital twin, predictive shortage management, rural workforce laboratory, emergency workforce mobilisation, multi-professional extensibility and longitudinal Clinical Professional Passport. Added explicit platform-boundary controls to protect the YNLHN MVP from scope creep.</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4"/>
      </w:rPr>
      <w:t>Draft v0.2 | September 2026 | Controlled pilot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4"/>
      </w:rPr>
      <w:t>YNLHN Medical Locum Experience &amp; Workforce Platform | Implementation &amp; Evaluation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