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4"/>
        </w:rPr>
        <w:t>SA HEALTH MEDICAL WORKFORCE</w:t>
        <w:br/>
        <w:t>PASSPORT &amp; EXCHANGE</w:t>
      </w:r>
    </w:p>
    <w:p>
      <w:pPr>
        <w:jc w:val="center"/>
      </w:pPr>
      <w:r>
        <w:rPr>
          <w:color w:val="2F5597"/>
          <w:sz w:val="34"/>
        </w:rPr>
        <w:t>Statewide Business Case</w:t>
      </w:r>
    </w:p>
    <w:p>
      <w:pPr>
        <w:jc w:val="center"/>
      </w:pPr>
      <w:r>
        <w:rPr>
          <w:color w:val="666666"/>
          <w:sz w:val="20"/>
        </w:rPr>
        <w:t>Version 0.2 | September 2026</w:t>
      </w:r>
    </w:p>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0"/>
              </w:rPr>
              <w:t>Decision proposition: establish a staged South Australian medical workforce infrastructure programme that gives doctors a reusable credential passport, enables LHNs to reuse verified evidence while retaining authority over scope, coordinates procurement-compliant locum sourcing and creates statewide workforce intelligence.</w:t>
            </w:r>
          </w:p>
        </w:tc>
      </w:tr>
    </w:tbl>
    <w:p/>
    <w:p>
      <w:pPr>
        <w:jc w:val="center"/>
      </w:pPr>
      <w:r>
        <w:rPr>
          <w:sz w:val="18"/>
        </w:rPr>
        <w:t>Proposed pathway: YNLHN proof-of-value → second-LHN portability pilot → statewide SA Health Medical Workforce Passport &amp; Exchange.</w:t>
      </w:r>
    </w:p>
    <w:p>
      <w:r>
        <w:br w:type="page"/>
      </w:r>
    </w:p>
    <w:p>
      <w:pPr>
        <w:pStyle w:val="Heading1"/>
      </w:pPr>
      <w:r>
        <w:t>Executive summary</w:t>
      </w:r>
    </w:p>
    <w:p>
      <w:r>
        <w:t>South Australia operates a single public health system but mobilises medical workforce through multiple Local Health Networks, statewide services, local credentialling processes, workforce teams and agency interactions. Doctors moving between services repeatedly provide substantially similar professional evidence, while each health service must independently assure itself that the practitioner is appropriately credentialled and has suitable scope of clinical practice. Locum vacancies, agency proposals, commercial terms, approvals and timesheets are also managed through workflows that are not designed as a single statewide workforce market.</w:t>
      </w:r>
    </w:p>
    <w:p>
      <w:r>
        <w:t>This business case proposes a staged SA Health Medical Workforce Passport &amp; Exchange. The core design deliberately separates portable practitioner evidence from organisational authority. A doctor maintains one structured credential portfolio. Verification provenance travels with the evidence. Each LHN continues to decide what scope it grants, at which facilities and under what restrictions. A statewide exchange then uses those organisation-specific decisions to match eligible practitioners to workforce need.</w:t>
      </w:r>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0"/>
              </w:rPr>
              <w:t>One practitioner identity. Reusable evidence. Local scope authority. Statewide workforce mobility.</w:t>
            </w:r>
          </w:p>
        </w:tc>
      </w:tr>
    </w:tbl>
    <w:p/>
    <w:p>
      <w:r>
        <w:t>The proposal is not to commence with a statewide big-bang replacement of credentialling, rostering, payroll or agency contracts. YNLHN provides the controlled first implementation. A second LHN then tests whether verified credential evidence can be reused without compromising independent scope decisions. Only after these foundations are proven would SA Health establish a statewide workforce exchange and common credential interoperability layer.</w:t>
      </w:r>
    </w:p>
    <w:p>
      <w:r>
        <w:t>The strategic value is broader than locum savings. The platform can reduce duplicated administration, improve workforce mobility, strengthen panel-contract compliance, make agency performance and cost visible, improve locum experience and retention, and provide SA Health with a longitudinal view of medical workforce supply, demand, credential readiness and movement across the state.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Decision sought</w:t>
            </w:r>
          </w:p>
        </w:tc>
        <w:tc>
          <w:tcPr>
            <w:tcW w:type="dxa" w:w="5083"/>
            <w:vAlign w:val="center"/>
            <w:shd w:fill="17365D"/>
          </w:tcPr>
          <w:p>
            <w:r/>
            <w:r>
              <w:rPr>
                <w:rFonts w:ascii="Aptos" w:hAnsi="Aptos"/>
                <w:b/>
                <w:color w:val="FFFFFF"/>
                <w:sz w:val="16"/>
              </w:rPr>
              <w:t>Recommendation</w:t>
            </w:r>
          </w:p>
        </w:tc>
      </w:tr>
      <w:tr>
        <w:tc>
          <w:tcPr>
            <w:tcW w:type="dxa" w:w="5083"/>
            <w:vAlign w:val="center"/>
          </w:tcPr>
          <w:p>
            <w:r/>
            <w:r>
              <w:rPr>
                <w:rFonts w:ascii="Aptos" w:hAnsi="Aptos"/>
                <w:b w:val="0"/>
                <w:sz w:val="16"/>
              </w:rPr>
              <w:t>Statewide sponsorship</w:t>
            </w:r>
          </w:p>
        </w:tc>
        <w:tc>
          <w:tcPr>
            <w:tcW w:type="dxa" w:w="5083"/>
            <w:vAlign w:val="center"/>
          </w:tcPr>
          <w:p>
            <w:r/>
            <w:r>
              <w:rPr>
                <w:rFonts w:ascii="Aptos" w:hAnsi="Aptos"/>
                <w:b w:val="0"/>
                <w:sz w:val="16"/>
              </w:rPr>
              <w:t>Endorse the concept as a staged SA Health workforce and credential interoperability programme, subject to YNLHN pilot evidence.</w:t>
            </w:r>
          </w:p>
        </w:tc>
      </w:tr>
      <w:tr>
        <w:tc>
          <w:tcPr>
            <w:tcW w:type="dxa" w:w="5083"/>
            <w:vAlign w:val="center"/>
            <w:shd w:fill="F3F6FA"/>
          </w:tcPr>
          <w:p>
            <w:r/>
            <w:r>
              <w:rPr>
                <w:rFonts w:ascii="Aptos" w:hAnsi="Aptos"/>
                <w:b w:val="0"/>
                <w:sz w:val="16"/>
              </w:rPr>
              <w:t>Portability proof</w:t>
            </w:r>
          </w:p>
        </w:tc>
        <w:tc>
          <w:tcPr>
            <w:tcW w:type="dxa" w:w="5083"/>
            <w:vAlign w:val="center"/>
            <w:shd w:fill="F3F6FA"/>
          </w:tcPr>
          <w:p>
            <w:r/>
            <w:r>
              <w:rPr>
                <w:rFonts w:ascii="Aptos" w:hAnsi="Aptos"/>
                <w:b w:val="0"/>
                <w:sz w:val="16"/>
              </w:rPr>
              <w:t>Identify a second LHN to participate in a controlled credential-reuse pilot after YNLHN stage gates are met.</w:t>
            </w:r>
          </w:p>
        </w:tc>
      </w:tr>
      <w:tr>
        <w:tc>
          <w:tcPr>
            <w:tcW w:type="dxa" w:w="5083"/>
            <w:vAlign w:val="center"/>
          </w:tcPr>
          <w:p>
            <w:r/>
            <w:r>
              <w:rPr>
                <w:rFonts w:ascii="Aptos" w:hAnsi="Aptos"/>
                <w:b w:val="0"/>
                <w:sz w:val="16"/>
              </w:rPr>
              <w:t>Common standards</w:t>
            </w:r>
          </w:p>
        </w:tc>
        <w:tc>
          <w:tcPr>
            <w:tcW w:type="dxa" w:w="5083"/>
            <w:vAlign w:val="center"/>
          </w:tcPr>
          <w:p>
            <w:r/>
            <w:r>
              <w:rPr>
                <w:rFonts w:ascii="Aptos" w:hAnsi="Aptos"/>
                <w:b w:val="0"/>
                <w:sz w:val="16"/>
              </w:rPr>
              <w:t>Commission a statewide medical credential/role data standard and verification trust framework.</w:t>
            </w:r>
          </w:p>
        </w:tc>
      </w:tr>
      <w:tr>
        <w:tc>
          <w:tcPr>
            <w:tcW w:type="dxa" w:w="5083"/>
            <w:vAlign w:val="center"/>
            <w:shd w:fill="F3F6FA"/>
          </w:tcPr>
          <w:p>
            <w:r/>
            <w:r>
              <w:rPr>
                <w:rFonts w:ascii="Aptos" w:hAnsi="Aptos"/>
                <w:b w:val="0"/>
                <w:sz w:val="16"/>
              </w:rPr>
              <w:t>Procurement integration</w:t>
            </w:r>
          </w:p>
        </w:tc>
        <w:tc>
          <w:tcPr>
            <w:tcW w:type="dxa" w:w="5083"/>
            <w:vAlign w:val="center"/>
            <w:shd w:fill="F3F6FA"/>
          </w:tcPr>
          <w:p>
            <w:r/>
            <w:r>
              <w:rPr>
                <w:rFonts w:ascii="Aptos" w:hAnsi="Aptos"/>
                <w:b w:val="0"/>
                <w:sz w:val="16"/>
              </w:rPr>
              <w:t>Design the statewide Exchange around the mandatory SA Health locum panel/exemption framework.</w:t>
            </w:r>
          </w:p>
        </w:tc>
      </w:tr>
      <w:tr>
        <w:tc>
          <w:tcPr>
            <w:tcW w:type="dxa" w:w="5083"/>
            <w:vAlign w:val="center"/>
          </w:tcPr>
          <w:p>
            <w:r/>
            <w:r>
              <w:rPr>
                <w:rFonts w:ascii="Aptos" w:hAnsi="Aptos"/>
                <w:b w:val="0"/>
                <w:sz w:val="16"/>
              </w:rPr>
              <w:t>National alignment</w:t>
            </w:r>
          </w:p>
        </w:tc>
        <w:tc>
          <w:tcPr>
            <w:tcW w:type="dxa" w:w="5083"/>
            <w:vAlign w:val="center"/>
          </w:tcPr>
          <w:p>
            <w:r/>
            <w:r>
              <w:rPr>
                <w:rFonts w:ascii="Aptos" w:hAnsi="Aptos"/>
                <w:b w:val="0"/>
                <w:sz w:val="16"/>
              </w:rPr>
              <w:t>Engage early with national digital health stakeholders so the architecture complements HPI-I/HPI-O, Provider Connect Australia and emerging national provider directory capabilities.</w:t>
            </w:r>
          </w:p>
        </w:tc>
      </w:tr>
      <w:tr>
        <w:tc>
          <w:tcPr>
            <w:tcW w:type="dxa" w:w="5083"/>
            <w:vAlign w:val="center"/>
            <w:shd w:fill="F3F6FA"/>
          </w:tcPr>
          <w:p>
            <w:r/>
            <w:r>
              <w:rPr>
                <w:rFonts w:ascii="Aptos" w:hAnsi="Aptos"/>
                <w:b w:val="0"/>
                <w:sz w:val="16"/>
              </w:rPr>
              <w:t>Investment gate</w:t>
            </w:r>
          </w:p>
        </w:tc>
        <w:tc>
          <w:tcPr>
            <w:tcW w:type="dxa" w:w="5083"/>
            <w:vAlign w:val="center"/>
            <w:shd w:fill="F3F6FA"/>
          </w:tcPr>
          <w:p>
            <w:r/>
            <w:r>
              <w:rPr>
                <w:rFonts w:ascii="Aptos" w:hAnsi="Aptos"/>
                <w:b w:val="0"/>
                <w:sz w:val="16"/>
              </w:rPr>
              <w:t>Develop a costed statewide implementation case only after YNLHN baseline and second-LHN portability evidence are available.</w:t>
            </w:r>
          </w:p>
        </w:tc>
      </w:tr>
    </w:tbl>
    <w:p/>
    <w:p>
      <w:pPr>
        <w:pStyle w:val="Heading1"/>
      </w:pPr>
      <w:r>
        <w:t>1. Purpose</w:t>
      </w:r>
    </w:p>
    <w:p>
      <w:r>
        <w:t>This document sets out the strategic, clinical governance, workforce, procurement, digital, financial and implementation case for expanding the Medical Workforce Passport &amp; Exchange concept from a YNLHN pilot to a South Australian statewide capability.</w:t>
      </w:r>
    </w:p>
    <w:p>
      <w:pPr>
        <w:pStyle w:val="Heading1"/>
      </w:pPr>
      <w:r>
        <w:t>2. The statewide problem</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Problem</w:t>
            </w:r>
          </w:p>
        </w:tc>
        <w:tc>
          <w:tcPr>
            <w:tcW w:type="dxa" w:w="3389"/>
            <w:vAlign w:val="center"/>
            <w:shd w:fill="17365D"/>
          </w:tcPr>
          <w:p>
            <w:r/>
            <w:r>
              <w:rPr>
                <w:rFonts w:ascii="Aptos" w:hAnsi="Aptos"/>
                <w:b/>
                <w:color w:val="FFFFFF"/>
                <w:sz w:val="16"/>
              </w:rPr>
              <w:t>Statewide effect</w:t>
            </w:r>
          </w:p>
        </w:tc>
        <w:tc>
          <w:tcPr>
            <w:tcW w:type="dxa" w:w="3389"/>
            <w:vAlign w:val="center"/>
            <w:shd w:fill="17365D"/>
          </w:tcPr>
          <w:p>
            <w:r/>
            <w:r>
              <w:rPr>
                <w:rFonts w:ascii="Aptos" w:hAnsi="Aptos"/>
                <w:b/>
                <w:color w:val="FFFFFF"/>
                <w:sz w:val="16"/>
              </w:rPr>
              <w:t>Opportunity</w:t>
            </w:r>
          </w:p>
        </w:tc>
      </w:tr>
      <w:tr>
        <w:tc>
          <w:tcPr>
            <w:tcW w:type="dxa" w:w="3389"/>
            <w:vAlign w:val="center"/>
          </w:tcPr>
          <w:p>
            <w:r/>
            <w:r>
              <w:rPr>
                <w:rFonts w:ascii="Aptos" w:hAnsi="Aptos"/>
                <w:b w:val="0"/>
                <w:sz w:val="16"/>
              </w:rPr>
              <w:t>Credential evidence is repeatedly collected</w:t>
            </w:r>
          </w:p>
        </w:tc>
        <w:tc>
          <w:tcPr>
            <w:tcW w:type="dxa" w:w="3389"/>
            <w:vAlign w:val="center"/>
          </w:tcPr>
          <w:p>
            <w:r/>
            <w:r>
              <w:rPr>
                <w:rFonts w:ascii="Aptos" w:hAnsi="Aptos"/>
                <w:b w:val="0"/>
                <w:sz w:val="16"/>
              </w:rPr>
              <w:t>Doctors and credentialling teams repeat administrative work</w:t>
            </w:r>
          </w:p>
        </w:tc>
        <w:tc>
          <w:tcPr>
            <w:tcW w:type="dxa" w:w="3389"/>
            <w:vAlign w:val="center"/>
          </w:tcPr>
          <w:p>
            <w:r/>
            <w:r>
              <w:rPr>
                <w:rFonts w:ascii="Aptos" w:hAnsi="Aptos"/>
                <w:b w:val="0"/>
                <w:sz w:val="16"/>
              </w:rPr>
              <w:t>Reuse verified evidence with provenance</w:t>
            </w:r>
          </w:p>
        </w:tc>
      </w:tr>
      <w:tr>
        <w:tc>
          <w:tcPr>
            <w:tcW w:type="dxa" w:w="3389"/>
            <w:vAlign w:val="center"/>
            <w:shd w:fill="F3F6FA"/>
          </w:tcPr>
          <w:p>
            <w:r/>
            <w:r>
              <w:rPr>
                <w:rFonts w:ascii="Aptos" w:hAnsi="Aptos"/>
                <w:b w:val="0"/>
                <w:sz w:val="16"/>
              </w:rPr>
              <w:t>Scope decisions are organisation-specific and difficult to compare</w:t>
            </w:r>
          </w:p>
        </w:tc>
        <w:tc>
          <w:tcPr>
            <w:tcW w:type="dxa" w:w="3389"/>
            <w:vAlign w:val="center"/>
            <w:shd w:fill="F3F6FA"/>
          </w:tcPr>
          <w:p>
            <w:r/>
            <w:r>
              <w:rPr>
                <w:rFonts w:ascii="Aptos" w:hAnsi="Aptos"/>
                <w:b w:val="0"/>
                <w:sz w:val="16"/>
              </w:rPr>
              <w:t>Mobility requires manual interpretation</w:t>
            </w:r>
          </w:p>
        </w:tc>
        <w:tc>
          <w:tcPr>
            <w:tcW w:type="dxa" w:w="3389"/>
            <w:vAlign w:val="center"/>
            <w:shd w:fill="F3F6FA"/>
          </w:tcPr>
          <w:p>
            <w:r/>
            <w:r>
              <w:rPr>
                <w:rFonts w:ascii="Aptos" w:hAnsi="Aptos"/>
                <w:b w:val="0"/>
                <w:sz w:val="16"/>
              </w:rPr>
              <w:t>Common semantics while preserving local authority</w:t>
            </w:r>
          </w:p>
        </w:tc>
      </w:tr>
      <w:tr>
        <w:tc>
          <w:tcPr>
            <w:tcW w:type="dxa" w:w="3389"/>
            <w:vAlign w:val="center"/>
          </w:tcPr>
          <w:p>
            <w:r/>
            <w:r>
              <w:rPr>
                <w:rFonts w:ascii="Aptos" w:hAnsi="Aptos"/>
                <w:b w:val="0"/>
                <w:sz w:val="16"/>
              </w:rPr>
              <w:t>Locum demand is fragmented across LHNs</w:t>
            </w:r>
          </w:p>
        </w:tc>
        <w:tc>
          <w:tcPr>
            <w:tcW w:type="dxa" w:w="3389"/>
            <w:vAlign w:val="center"/>
          </w:tcPr>
          <w:p>
            <w:r/>
            <w:r>
              <w:rPr>
                <w:rFonts w:ascii="Aptos" w:hAnsi="Aptos"/>
                <w:b w:val="0"/>
                <w:sz w:val="16"/>
              </w:rPr>
              <w:t>SA Health competes internally for a limited workforce</w:t>
            </w:r>
          </w:p>
        </w:tc>
        <w:tc>
          <w:tcPr>
            <w:tcW w:type="dxa" w:w="3389"/>
            <w:vAlign w:val="center"/>
          </w:tcPr>
          <w:p>
            <w:r/>
            <w:r>
              <w:rPr>
                <w:rFonts w:ascii="Aptos" w:hAnsi="Aptos"/>
                <w:b w:val="0"/>
                <w:sz w:val="16"/>
              </w:rPr>
              <w:t>Coordinated visibility of demand and supply</w:t>
            </w:r>
          </w:p>
        </w:tc>
      </w:tr>
      <w:tr>
        <w:tc>
          <w:tcPr>
            <w:tcW w:type="dxa" w:w="3389"/>
            <w:vAlign w:val="center"/>
            <w:shd w:fill="F3F6FA"/>
          </w:tcPr>
          <w:p>
            <w:r/>
            <w:r>
              <w:rPr>
                <w:rFonts w:ascii="Aptos" w:hAnsi="Aptos"/>
                <w:b w:val="0"/>
                <w:sz w:val="16"/>
              </w:rPr>
              <w:t>Agency interactions are distributed</w:t>
            </w:r>
          </w:p>
        </w:tc>
        <w:tc>
          <w:tcPr>
            <w:tcW w:type="dxa" w:w="3389"/>
            <w:vAlign w:val="center"/>
            <w:shd w:fill="F3F6FA"/>
          </w:tcPr>
          <w:p>
            <w:r/>
            <w:r>
              <w:rPr>
                <w:rFonts w:ascii="Aptos" w:hAnsi="Aptos"/>
                <w:b w:val="0"/>
                <w:sz w:val="16"/>
              </w:rPr>
              <w:t>Performance, response and cost data are fragmented</w:t>
            </w:r>
          </w:p>
        </w:tc>
        <w:tc>
          <w:tcPr>
            <w:tcW w:type="dxa" w:w="3389"/>
            <w:vAlign w:val="center"/>
            <w:shd w:fill="F3F6FA"/>
          </w:tcPr>
          <w:p>
            <w:r/>
            <w:r>
              <w:rPr>
                <w:rFonts w:ascii="Aptos" w:hAnsi="Aptos"/>
                <w:b w:val="0"/>
                <w:sz w:val="16"/>
              </w:rPr>
              <w:t>Single panel-facing workflow and statewide analytics</w:t>
            </w:r>
          </w:p>
        </w:tc>
      </w:tr>
      <w:tr>
        <w:tc>
          <w:tcPr>
            <w:tcW w:type="dxa" w:w="3389"/>
            <w:vAlign w:val="center"/>
          </w:tcPr>
          <w:p>
            <w:r/>
            <w:r>
              <w:rPr>
                <w:rFonts w:ascii="Aptos" w:hAnsi="Aptos"/>
                <w:b w:val="0"/>
                <w:sz w:val="16"/>
              </w:rPr>
              <w:t>Practitioner preferences are not portable</w:t>
            </w:r>
          </w:p>
        </w:tc>
        <w:tc>
          <w:tcPr>
            <w:tcW w:type="dxa" w:w="3389"/>
            <w:vAlign w:val="center"/>
          </w:tcPr>
          <w:p>
            <w:r/>
            <w:r>
              <w:rPr>
                <w:rFonts w:ascii="Aptos" w:hAnsi="Aptos"/>
                <w:b w:val="0"/>
                <w:sz w:val="16"/>
              </w:rPr>
              <w:t>Doctors repeatedly communicate availability and location preferences</w:t>
            </w:r>
          </w:p>
        </w:tc>
        <w:tc>
          <w:tcPr>
            <w:tcW w:type="dxa" w:w="3389"/>
            <w:vAlign w:val="center"/>
          </w:tcPr>
          <w:p>
            <w:r/>
            <w:r>
              <w:rPr>
                <w:rFonts w:ascii="Aptos" w:hAnsi="Aptos"/>
                <w:b w:val="0"/>
                <w:sz w:val="16"/>
              </w:rPr>
              <w:t>One practitioner-controlled preference profile</w:t>
            </w:r>
          </w:p>
        </w:tc>
      </w:tr>
      <w:tr>
        <w:tc>
          <w:tcPr>
            <w:tcW w:type="dxa" w:w="3389"/>
            <w:vAlign w:val="center"/>
            <w:shd w:fill="F3F6FA"/>
          </w:tcPr>
          <w:p>
            <w:r/>
            <w:r>
              <w:rPr>
                <w:rFonts w:ascii="Aptos" w:hAnsi="Aptos"/>
                <w:b w:val="0"/>
                <w:sz w:val="16"/>
              </w:rPr>
              <w:t>Experience/retention data are sparse</w:t>
            </w:r>
          </w:p>
        </w:tc>
        <w:tc>
          <w:tcPr>
            <w:tcW w:type="dxa" w:w="3389"/>
            <w:vAlign w:val="center"/>
            <w:shd w:fill="F3F6FA"/>
          </w:tcPr>
          <w:p>
            <w:r/>
            <w:r>
              <w:rPr>
                <w:rFonts w:ascii="Aptos" w:hAnsi="Aptos"/>
                <w:b w:val="0"/>
                <w:sz w:val="16"/>
              </w:rPr>
              <w:t>Poor understanding of why clinicians return to rural sites</w:t>
            </w:r>
          </w:p>
        </w:tc>
        <w:tc>
          <w:tcPr>
            <w:tcW w:type="dxa" w:w="3389"/>
            <w:vAlign w:val="center"/>
            <w:shd w:fill="F3F6FA"/>
          </w:tcPr>
          <w:p>
            <w:r/>
            <w:r>
              <w:rPr>
                <w:rFonts w:ascii="Aptos" w:hAnsi="Aptos"/>
                <w:b w:val="0"/>
                <w:sz w:val="16"/>
              </w:rPr>
              <w:t>Statewide locum experience and return analytics</w:t>
            </w:r>
          </w:p>
        </w:tc>
      </w:tr>
      <w:tr>
        <w:tc>
          <w:tcPr>
            <w:tcW w:type="dxa" w:w="3389"/>
            <w:vAlign w:val="center"/>
          </w:tcPr>
          <w:p>
            <w:r/>
            <w:r>
              <w:rPr>
                <w:rFonts w:ascii="Aptos" w:hAnsi="Aptos"/>
                <w:b w:val="0"/>
                <w:sz w:val="16"/>
              </w:rPr>
              <w:t>No unified workforce event dataset</w:t>
            </w:r>
          </w:p>
        </w:tc>
        <w:tc>
          <w:tcPr>
            <w:tcW w:type="dxa" w:w="3389"/>
            <w:vAlign w:val="center"/>
          </w:tcPr>
          <w:p>
            <w:r/>
            <w:r>
              <w:rPr>
                <w:rFonts w:ascii="Aptos" w:hAnsi="Aptos"/>
                <w:b w:val="0"/>
                <w:sz w:val="16"/>
              </w:rPr>
              <w:t>Limited ability to forecast shortages or evaluate interventions</w:t>
            </w:r>
          </w:p>
        </w:tc>
        <w:tc>
          <w:tcPr>
            <w:tcW w:type="dxa" w:w="3389"/>
            <w:vAlign w:val="center"/>
          </w:tcPr>
          <w:p>
            <w:r/>
            <w:r>
              <w:rPr>
                <w:rFonts w:ascii="Aptos" w:hAnsi="Aptos"/>
                <w:b w:val="0"/>
                <w:sz w:val="16"/>
              </w:rPr>
              <w:t>Statewide longitudinal workforce intelligence</w:t>
            </w:r>
          </w:p>
        </w:tc>
      </w:tr>
    </w:tbl>
    <w:p/>
    <w:p>
      <w:pPr>
        <w:pStyle w:val="Heading1"/>
      </w:pPr>
      <w:r>
        <w:t>3. Why a statewide approach is justified</w:t>
      </w:r>
    </w:p>
    <w:p>
      <w:r>
        <w:t>The greatest value of a credential passport emerges when a practitioner crosses organisational boundaries. A wallet used by only one LHN improves document management; a wallet trusted across LHNs reduces duplication. Similarly, the greatest value of a workforce exchange emerges when multiple services can expose demand to an eligible workforce without each maintaining a separate pool.</w:t>
      </w:r>
    </w:p>
    <w:p>
      <w:pPr>
        <w:pStyle w:val="ListBullet"/>
      </w:pPr>
      <w:r>
        <w:t>SA Health can define common evidence semantics once while retaining LHN-specific scope requirements.</w:t>
      </w:r>
    </w:p>
    <w:p>
      <w:pPr>
        <w:pStyle w:val="ListBullet"/>
      </w:pPr>
      <w:r>
        <w:t>A practitioner can update a credential once rather than notify multiple workforce teams.</w:t>
      </w:r>
    </w:p>
    <w:p>
      <w:pPr>
        <w:pStyle w:val="ListBullet"/>
      </w:pPr>
      <w:r>
        <w:t>Verification effort can be reused where the receiving LHN accepts the verification source and assurance level.</w:t>
      </w:r>
    </w:p>
    <w:p>
      <w:pPr>
        <w:pStyle w:val="ListBullet"/>
      </w:pPr>
      <w:r>
        <w:t>Statewide panel agencies can interact through a consistent workflow.</w:t>
      </w:r>
    </w:p>
    <w:p>
      <w:pPr>
        <w:pStyle w:val="ListBullet"/>
      </w:pPr>
      <w:r>
        <w:t>Rural and regional services can reach a broader known workforce while respecting local credential/scope requirements.</w:t>
      </w:r>
    </w:p>
    <w:p>
      <w:pPr>
        <w:pStyle w:val="ListBullet"/>
      </w:pPr>
      <w:r>
        <w:t>Statewide data can reveal whether workforce shortages reflect supply, price, lead time, credential friction, site experience or service design.</w:t>
      </w:r>
    </w:p>
    <w:p>
      <w:pPr>
        <w:pStyle w:val="Heading1"/>
      </w:pPr>
      <w:r>
        <w:t>4. Policy and strategic alignment</w:t>
      </w:r>
    </w:p>
    <w:p>
      <w:pPr>
        <w:pStyle w:val="Heading2"/>
      </w:pPr>
      <w:r>
        <w:t>4.1 SA Health locum governance</w:t>
      </w:r>
    </w:p>
    <w:p>
      <w:r>
        <w:t>The SA Health Use of Locums Policy v1.0 applies across DHW, LHNs, statewide services and SAAS. It requires locums to be used where operationally necessary, engaged through the mandatory Locum Medical Services Panel Contract or panel exemption process, and supports robust governance and efficient use of staffing resources. A statewide platform can operationalise these requirements consistently and produce an auditable record of the sourcing pathway.</w:t>
      </w:r>
    </w:p>
    <w:p>
      <w:pPr>
        <w:pStyle w:val="Heading2"/>
      </w:pPr>
      <w:r>
        <w:t>4.2 Credentialling and clinical governance</w:t>
      </w:r>
    </w:p>
    <w:p>
      <w:r>
        <w:t>The Australian Commission on Safety and Quality in Health Care's 2026 guidance strengthens risk-based credentialling, recredentialling and defining scope of clinical practice. The proposed model supports this by separating credential evidence and verification from the receiving organisation's scope decision. Statewide portability therefore means reuse of trustworthy evidence, not automatic portability of clinical authority.</w:t>
      </w:r>
    </w:p>
    <w:p>
      <w:pPr>
        <w:pStyle w:val="Heading2"/>
      </w:pPr>
      <w:r>
        <w:t>4.3 National digital health alignment</w:t>
      </w:r>
    </w:p>
    <w:p>
      <w:r>
        <w:t>National healthcare identifiers already provide unique identifiers for practitioners and healthcare organisations. Ahpra-registered practitioners receive an HPI-I and healthcare organisations may hold HPI-Os. Provider Connect Australia and Health Connect Australia are also developing national provider/service information infrastructure. The SA design should use these foundations where lawful and technically appropriate rather than create a competing provider identity layer.</w:t>
      </w:r>
    </w:p>
    <w:p>
      <w:pPr>
        <w:pStyle w:val="Heading1"/>
      </w:pPr>
      <w:r>
        <w:t>5. Proposed statewide solution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Capability</w:t>
            </w:r>
          </w:p>
        </w:tc>
        <w:tc>
          <w:tcPr>
            <w:tcW w:type="dxa" w:w="3389"/>
            <w:vAlign w:val="center"/>
            <w:shd w:fill="17365D"/>
          </w:tcPr>
          <w:p>
            <w:r/>
            <w:r>
              <w:rPr>
                <w:rFonts w:ascii="Aptos" w:hAnsi="Aptos"/>
                <w:b/>
                <w:color w:val="FFFFFF"/>
                <w:sz w:val="16"/>
              </w:rPr>
              <w:t>Statewide function</w:t>
            </w:r>
          </w:p>
        </w:tc>
        <w:tc>
          <w:tcPr>
            <w:tcW w:type="dxa" w:w="3389"/>
            <w:vAlign w:val="center"/>
            <w:shd w:fill="17365D"/>
          </w:tcPr>
          <w:p>
            <w:r/>
            <w:r>
              <w:rPr>
                <w:rFonts w:ascii="Aptos" w:hAnsi="Aptos"/>
                <w:b/>
                <w:color w:val="FFFFFF"/>
                <w:sz w:val="16"/>
              </w:rPr>
              <w:t>What remains local</w:t>
            </w:r>
          </w:p>
        </w:tc>
      </w:tr>
      <w:tr>
        <w:tc>
          <w:tcPr>
            <w:tcW w:type="dxa" w:w="3389"/>
            <w:vAlign w:val="center"/>
          </w:tcPr>
          <w:p>
            <w:r/>
            <w:r>
              <w:rPr>
                <w:rFonts w:ascii="Aptos" w:hAnsi="Aptos"/>
                <w:b w:val="0"/>
                <w:sz w:val="16"/>
              </w:rPr>
              <w:t>Practitioner Passport</w:t>
            </w:r>
          </w:p>
        </w:tc>
        <w:tc>
          <w:tcPr>
            <w:tcW w:type="dxa" w:w="3389"/>
            <w:vAlign w:val="center"/>
          </w:tcPr>
          <w:p>
            <w:r/>
            <w:r>
              <w:rPr>
                <w:rFonts w:ascii="Aptos" w:hAnsi="Aptos"/>
                <w:b w:val="0"/>
                <w:sz w:val="16"/>
              </w:rPr>
              <w:t>One professional identity/profile and reusable credential portfolio</w:t>
            </w:r>
          </w:p>
        </w:tc>
        <w:tc>
          <w:tcPr>
            <w:tcW w:type="dxa" w:w="3389"/>
            <w:vAlign w:val="center"/>
          </w:tcPr>
          <w:p>
            <w:r/>
            <w:r>
              <w:rPr>
                <w:rFonts w:ascii="Aptos" w:hAnsi="Aptos"/>
                <w:b w:val="0"/>
                <w:sz w:val="16"/>
              </w:rPr>
              <w:t>Doctor controls portfolio and sharing</w:t>
            </w:r>
          </w:p>
        </w:tc>
      </w:tr>
      <w:tr>
        <w:tc>
          <w:tcPr>
            <w:tcW w:type="dxa" w:w="3389"/>
            <w:vAlign w:val="center"/>
            <w:shd w:fill="F3F6FA"/>
          </w:tcPr>
          <w:p>
            <w:r/>
            <w:r>
              <w:rPr>
                <w:rFonts w:ascii="Aptos" w:hAnsi="Aptos"/>
                <w:b w:val="0"/>
                <w:sz w:val="16"/>
              </w:rPr>
              <w:t>Credential Trust Layer</w:t>
            </w:r>
          </w:p>
        </w:tc>
        <w:tc>
          <w:tcPr>
            <w:tcW w:type="dxa" w:w="3389"/>
            <w:vAlign w:val="center"/>
            <w:shd w:fill="F3F6FA"/>
          </w:tcPr>
          <w:p>
            <w:r/>
            <w:r>
              <w:rPr>
                <w:rFonts w:ascii="Aptos" w:hAnsi="Aptos"/>
                <w:b w:val="0"/>
                <w:sz w:val="16"/>
              </w:rPr>
              <w:t>Common credential types, evidence and verification provenance</w:t>
            </w:r>
          </w:p>
        </w:tc>
        <w:tc>
          <w:tcPr>
            <w:tcW w:type="dxa" w:w="3389"/>
            <w:vAlign w:val="center"/>
            <w:shd w:fill="F3F6FA"/>
          </w:tcPr>
          <w:p>
            <w:r/>
            <w:r>
              <w:rPr>
                <w:rFonts w:ascii="Aptos" w:hAnsi="Aptos"/>
                <w:b w:val="0"/>
                <w:sz w:val="16"/>
              </w:rPr>
              <w:t>LHN determines acceptable evidence/assurance</w:t>
            </w:r>
          </w:p>
        </w:tc>
      </w:tr>
      <w:tr>
        <w:tc>
          <w:tcPr>
            <w:tcW w:type="dxa" w:w="3389"/>
            <w:vAlign w:val="center"/>
          </w:tcPr>
          <w:p>
            <w:r/>
            <w:r>
              <w:rPr>
                <w:rFonts w:ascii="Aptos" w:hAnsi="Aptos"/>
                <w:b w:val="0"/>
                <w:sz w:val="16"/>
              </w:rPr>
              <w:t>Scope Registry</w:t>
            </w:r>
          </w:p>
        </w:tc>
        <w:tc>
          <w:tcPr>
            <w:tcW w:type="dxa" w:w="3389"/>
            <w:vAlign w:val="center"/>
          </w:tcPr>
          <w:p>
            <w:r/>
            <w:r>
              <w:rPr>
                <w:rFonts w:ascii="Aptos" w:hAnsi="Aptos"/>
                <w:b w:val="0"/>
                <w:sz w:val="16"/>
              </w:rPr>
              <w:t>Common structure for organisation-issued scope attestations</w:t>
            </w:r>
          </w:p>
        </w:tc>
        <w:tc>
          <w:tcPr>
            <w:tcW w:type="dxa" w:w="3389"/>
            <w:vAlign w:val="center"/>
          </w:tcPr>
          <w:p>
            <w:r/>
            <w:r>
              <w:rPr>
                <w:rFonts w:ascii="Aptos" w:hAnsi="Aptos"/>
                <w:b w:val="0"/>
                <w:sz w:val="16"/>
              </w:rPr>
              <w:t>LHN grants, restricts, renews or withdraws scope</w:t>
            </w:r>
          </w:p>
        </w:tc>
      </w:tr>
      <w:tr>
        <w:tc>
          <w:tcPr>
            <w:tcW w:type="dxa" w:w="3389"/>
            <w:vAlign w:val="center"/>
            <w:shd w:fill="F3F6FA"/>
          </w:tcPr>
          <w:p>
            <w:r/>
            <w:r>
              <w:rPr>
                <w:rFonts w:ascii="Aptos" w:hAnsi="Aptos"/>
                <w:b w:val="0"/>
                <w:sz w:val="16"/>
              </w:rPr>
              <w:t>Role Catalogue</w:t>
            </w:r>
          </w:p>
        </w:tc>
        <w:tc>
          <w:tcPr>
            <w:tcW w:type="dxa" w:w="3389"/>
            <w:vAlign w:val="center"/>
            <w:shd w:fill="F3F6FA"/>
          </w:tcPr>
          <w:p>
            <w:r/>
            <w:r>
              <w:rPr>
                <w:rFonts w:ascii="Aptos" w:hAnsi="Aptos"/>
                <w:b w:val="0"/>
                <w:sz w:val="16"/>
              </w:rPr>
              <w:t>Common role/requirement templates where appropriate</w:t>
            </w:r>
          </w:p>
        </w:tc>
        <w:tc>
          <w:tcPr>
            <w:tcW w:type="dxa" w:w="3389"/>
            <w:vAlign w:val="center"/>
            <w:shd w:fill="F3F6FA"/>
          </w:tcPr>
          <w:p>
            <w:r/>
            <w:r>
              <w:rPr>
                <w:rFonts w:ascii="Aptos" w:hAnsi="Aptos"/>
                <w:b w:val="0"/>
                <w:sz w:val="16"/>
              </w:rPr>
              <w:t>Local service/facility overlays</w:t>
            </w:r>
          </w:p>
        </w:tc>
      </w:tr>
      <w:tr>
        <w:tc>
          <w:tcPr>
            <w:tcW w:type="dxa" w:w="3389"/>
            <w:vAlign w:val="center"/>
          </w:tcPr>
          <w:p>
            <w:r/>
            <w:r>
              <w:rPr>
                <w:rFonts w:ascii="Aptos" w:hAnsi="Aptos"/>
                <w:b w:val="0"/>
                <w:sz w:val="16"/>
              </w:rPr>
              <w:t>Workforce Exchange</w:t>
            </w:r>
          </w:p>
        </w:tc>
        <w:tc>
          <w:tcPr>
            <w:tcW w:type="dxa" w:w="3389"/>
            <w:vAlign w:val="center"/>
          </w:tcPr>
          <w:p>
            <w:r/>
            <w:r>
              <w:rPr>
                <w:rFonts w:ascii="Aptos" w:hAnsi="Aptos"/>
                <w:b w:val="0"/>
                <w:sz w:val="16"/>
              </w:rPr>
              <w:t>Vacancies, eligibility, preferences, applications and bookings</w:t>
            </w:r>
          </w:p>
        </w:tc>
        <w:tc>
          <w:tcPr>
            <w:tcW w:type="dxa" w:w="3389"/>
            <w:vAlign w:val="center"/>
          </w:tcPr>
          <w:p>
            <w:r/>
            <w:r>
              <w:rPr>
                <w:rFonts w:ascii="Aptos" w:hAnsi="Aptos"/>
                <w:b w:val="0"/>
                <w:sz w:val="16"/>
              </w:rPr>
              <w:t>LHN authorises vacancy and selects practitioner</w:t>
            </w:r>
          </w:p>
        </w:tc>
      </w:tr>
      <w:tr>
        <w:tc>
          <w:tcPr>
            <w:tcW w:type="dxa" w:w="3389"/>
            <w:vAlign w:val="center"/>
            <w:shd w:fill="F3F6FA"/>
          </w:tcPr>
          <w:p>
            <w:r/>
            <w:r>
              <w:rPr>
                <w:rFonts w:ascii="Aptos" w:hAnsi="Aptos"/>
                <w:b w:val="0"/>
                <w:sz w:val="16"/>
              </w:rPr>
              <w:t>Agency Gateway</w:t>
            </w:r>
          </w:p>
        </w:tc>
        <w:tc>
          <w:tcPr>
            <w:tcW w:type="dxa" w:w="3389"/>
            <w:vAlign w:val="center"/>
            <w:shd w:fill="F3F6FA"/>
          </w:tcPr>
          <w:p>
            <w:r/>
            <w:r>
              <w:rPr>
                <w:rFonts w:ascii="Aptos" w:hAnsi="Aptos"/>
                <w:b w:val="0"/>
                <w:sz w:val="16"/>
              </w:rPr>
              <w:t>One interface for eligible panel agencies</w:t>
            </w:r>
          </w:p>
        </w:tc>
        <w:tc>
          <w:tcPr>
            <w:tcW w:type="dxa" w:w="3389"/>
            <w:vAlign w:val="center"/>
            <w:shd w:fill="F3F6FA"/>
          </w:tcPr>
          <w:p>
            <w:r/>
            <w:r>
              <w:rPr>
                <w:rFonts w:ascii="Aptos" w:hAnsi="Aptos"/>
                <w:b w:val="0"/>
                <w:sz w:val="16"/>
              </w:rPr>
              <w:t>Commercial approvals and local operational decisions</w:t>
            </w:r>
          </w:p>
        </w:tc>
      </w:tr>
      <w:tr>
        <w:tc>
          <w:tcPr>
            <w:tcW w:type="dxa" w:w="3389"/>
            <w:vAlign w:val="center"/>
          </w:tcPr>
          <w:p>
            <w:r/>
            <w:r>
              <w:rPr>
                <w:rFonts w:ascii="Aptos" w:hAnsi="Aptos"/>
                <w:b w:val="0"/>
                <w:sz w:val="16"/>
              </w:rPr>
              <w:t>Timesheets</w:t>
            </w:r>
          </w:p>
        </w:tc>
        <w:tc>
          <w:tcPr>
            <w:tcW w:type="dxa" w:w="3389"/>
            <w:vAlign w:val="center"/>
          </w:tcPr>
          <w:p>
            <w:r/>
            <w:r>
              <w:rPr>
                <w:rFonts w:ascii="Aptos" w:hAnsi="Aptos"/>
                <w:b w:val="0"/>
                <w:sz w:val="16"/>
              </w:rPr>
              <w:t>Common digital workflow and approval evidence</w:t>
            </w:r>
          </w:p>
        </w:tc>
        <w:tc>
          <w:tcPr>
            <w:tcW w:type="dxa" w:w="3389"/>
            <w:vAlign w:val="center"/>
          </w:tcPr>
          <w:p>
            <w:r/>
            <w:r>
              <w:rPr>
                <w:rFonts w:ascii="Aptos" w:hAnsi="Aptos"/>
                <w:b w:val="0"/>
                <w:sz w:val="16"/>
              </w:rPr>
              <w:t>Payment remains in existing finance/payroll processes initially</w:t>
            </w:r>
          </w:p>
        </w:tc>
      </w:tr>
      <w:tr>
        <w:tc>
          <w:tcPr>
            <w:tcW w:type="dxa" w:w="3389"/>
            <w:vAlign w:val="center"/>
            <w:shd w:fill="F3F6FA"/>
          </w:tcPr>
          <w:p>
            <w:r/>
            <w:r>
              <w:rPr>
                <w:rFonts w:ascii="Aptos" w:hAnsi="Aptos"/>
                <w:b w:val="0"/>
                <w:sz w:val="16"/>
              </w:rPr>
              <w:t>Experience</w:t>
            </w:r>
          </w:p>
        </w:tc>
        <w:tc>
          <w:tcPr>
            <w:tcW w:type="dxa" w:w="3389"/>
            <w:vAlign w:val="center"/>
            <w:shd w:fill="F3F6FA"/>
          </w:tcPr>
          <w:p>
            <w:r/>
            <w:r>
              <w:rPr>
                <w:rFonts w:ascii="Aptos" w:hAnsi="Aptos"/>
                <w:b w:val="0"/>
                <w:sz w:val="16"/>
              </w:rPr>
              <w:t>Common locum experience instrument and return measures</w:t>
            </w:r>
          </w:p>
        </w:tc>
        <w:tc>
          <w:tcPr>
            <w:tcW w:type="dxa" w:w="3389"/>
            <w:vAlign w:val="center"/>
            <w:shd w:fill="F3F6FA"/>
          </w:tcPr>
          <w:p>
            <w:r/>
            <w:r>
              <w:rPr>
                <w:rFonts w:ascii="Aptos" w:hAnsi="Aptos"/>
                <w:b w:val="0"/>
                <w:sz w:val="16"/>
              </w:rPr>
              <w:t>Local improvement action</w:t>
            </w:r>
          </w:p>
        </w:tc>
      </w:tr>
      <w:tr>
        <w:tc>
          <w:tcPr>
            <w:tcW w:type="dxa" w:w="3389"/>
            <w:vAlign w:val="center"/>
          </w:tcPr>
          <w:p>
            <w:r/>
            <w:r>
              <w:rPr>
                <w:rFonts w:ascii="Aptos" w:hAnsi="Aptos"/>
                <w:b w:val="0"/>
                <w:sz w:val="16"/>
              </w:rPr>
              <w:t>Intelligence</w:t>
            </w:r>
          </w:p>
        </w:tc>
        <w:tc>
          <w:tcPr>
            <w:tcW w:type="dxa" w:w="3389"/>
            <w:vAlign w:val="center"/>
          </w:tcPr>
          <w:p>
            <w:r/>
            <w:r>
              <w:rPr>
                <w:rFonts w:ascii="Aptos" w:hAnsi="Aptos"/>
                <w:b w:val="0"/>
                <w:sz w:val="16"/>
              </w:rPr>
              <w:t>Statewide demand, supply, cost, agency and retention analytics</w:t>
            </w:r>
          </w:p>
        </w:tc>
        <w:tc>
          <w:tcPr>
            <w:tcW w:type="dxa" w:w="3389"/>
            <w:vAlign w:val="center"/>
          </w:tcPr>
          <w:p>
            <w:r/>
            <w:r>
              <w:rPr>
                <w:rFonts w:ascii="Aptos" w:hAnsi="Aptos"/>
                <w:b w:val="0"/>
                <w:sz w:val="16"/>
              </w:rPr>
              <w:t>Operational access controlled by role</w:t>
            </w:r>
          </w:p>
        </w:tc>
      </w:tr>
    </w:tbl>
    <w:p/>
    <w:p>
      <w:pPr>
        <w:pStyle w:val="Heading1"/>
      </w:pPr>
      <w:r>
        <w:t>6. The credential portability model</w:t>
      </w:r>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0"/>
              </w:rPr>
              <w:t>Portable credential evidence does not equal portable scope.</w:t>
            </w:r>
          </w:p>
        </w:tc>
      </w:tr>
    </w:tbl>
    <w:p/>
    <w:p>
      <w:r>
        <w:t>The statewide model should distinguish six concepts that are often conflated: practitioner identity, credential, credential evidence, verification, capability and organisational scope. This separation is the principal clinical governance safeguard and the mechanism that allows portability without removing LHN accountability.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Layer</w:t>
            </w:r>
          </w:p>
        </w:tc>
        <w:tc>
          <w:tcPr>
            <w:tcW w:type="dxa" w:w="3389"/>
            <w:vAlign w:val="center"/>
            <w:shd w:fill="17365D"/>
          </w:tcPr>
          <w:p>
            <w:r/>
            <w:r>
              <w:rPr>
                <w:rFonts w:ascii="Aptos" w:hAnsi="Aptos"/>
                <w:b/>
                <w:color w:val="FFFFFF"/>
                <w:sz w:val="16"/>
              </w:rPr>
              <w:t>Question</w:t>
            </w:r>
          </w:p>
        </w:tc>
        <w:tc>
          <w:tcPr>
            <w:tcW w:type="dxa" w:w="3389"/>
            <w:vAlign w:val="center"/>
            <w:shd w:fill="17365D"/>
          </w:tcPr>
          <w:p>
            <w:r/>
            <w:r>
              <w:rPr>
                <w:rFonts w:ascii="Aptos" w:hAnsi="Aptos"/>
                <w:b/>
                <w:color w:val="FFFFFF"/>
                <w:sz w:val="16"/>
              </w:rPr>
              <w:t>Owner/source</w:t>
            </w:r>
          </w:p>
        </w:tc>
      </w:tr>
      <w:tr>
        <w:tc>
          <w:tcPr>
            <w:tcW w:type="dxa" w:w="3389"/>
            <w:vAlign w:val="center"/>
          </w:tcPr>
          <w:p>
            <w:r/>
            <w:r>
              <w:rPr>
                <w:rFonts w:ascii="Aptos" w:hAnsi="Aptos"/>
                <w:b w:val="0"/>
                <w:sz w:val="16"/>
              </w:rPr>
              <w:t>Identity</w:t>
            </w:r>
          </w:p>
        </w:tc>
        <w:tc>
          <w:tcPr>
            <w:tcW w:type="dxa" w:w="3389"/>
            <w:vAlign w:val="center"/>
          </w:tcPr>
          <w:p>
            <w:r/>
            <w:r>
              <w:rPr>
                <w:rFonts w:ascii="Aptos" w:hAnsi="Aptos"/>
                <w:b w:val="0"/>
                <w:sz w:val="16"/>
              </w:rPr>
              <w:t>Who is the practitioner?</w:t>
            </w:r>
          </w:p>
        </w:tc>
        <w:tc>
          <w:tcPr>
            <w:tcW w:type="dxa" w:w="3389"/>
            <w:vAlign w:val="center"/>
          </w:tcPr>
          <w:p>
            <w:r/>
            <w:r>
              <w:rPr>
                <w:rFonts w:ascii="Aptos" w:hAnsi="Aptos"/>
                <w:b w:val="0"/>
                <w:sz w:val="16"/>
              </w:rPr>
              <w:t>National identifiers/Ahpra plus verified platform identity</w:t>
            </w:r>
          </w:p>
        </w:tc>
      </w:tr>
      <w:tr>
        <w:tc>
          <w:tcPr>
            <w:tcW w:type="dxa" w:w="3389"/>
            <w:vAlign w:val="center"/>
            <w:shd w:fill="F3F6FA"/>
          </w:tcPr>
          <w:p>
            <w:r/>
            <w:r>
              <w:rPr>
                <w:rFonts w:ascii="Aptos" w:hAnsi="Aptos"/>
                <w:b w:val="0"/>
                <w:sz w:val="16"/>
              </w:rPr>
              <w:t>Credential</w:t>
            </w:r>
          </w:p>
        </w:tc>
        <w:tc>
          <w:tcPr>
            <w:tcW w:type="dxa" w:w="3389"/>
            <w:vAlign w:val="center"/>
            <w:shd w:fill="F3F6FA"/>
          </w:tcPr>
          <w:p>
            <w:r/>
            <w:r>
              <w:rPr>
                <w:rFonts w:ascii="Aptos" w:hAnsi="Aptos"/>
                <w:b w:val="0"/>
                <w:sz w:val="16"/>
              </w:rPr>
              <w:t>What qualification/check/training is claimed?</w:t>
            </w:r>
          </w:p>
        </w:tc>
        <w:tc>
          <w:tcPr>
            <w:tcW w:type="dxa" w:w="3389"/>
            <w:vAlign w:val="center"/>
            <w:shd w:fill="F3F6FA"/>
          </w:tcPr>
          <w:p>
            <w:r/>
            <w:r>
              <w:rPr>
                <w:rFonts w:ascii="Aptos" w:hAnsi="Aptos"/>
                <w:b w:val="0"/>
                <w:sz w:val="16"/>
              </w:rPr>
              <w:t>Practitioner portfolio</w:t>
            </w:r>
          </w:p>
        </w:tc>
      </w:tr>
      <w:tr>
        <w:tc>
          <w:tcPr>
            <w:tcW w:type="dxa" w:w="3389"/>
            <w:vAlign w:val="center"/>
          </w:tcPr>
          <w:p>
            <w:r/>
            <w:r>
              <w:rPr>
                <w:rFonts w:ascii="Aptos" w:hAnsi="Aptos"/>
                <w:b w:val="0"/>
                <w:sz w:val="16"/>
              </w:rPr>
              <w:t>Evidence</w:t>
            </w:r>
          </w:p>
        </w:tc>
        <w:tc>
          <w:tcPr>
            <w:tcW w:type="dxa" w:w="3389"/>
            <w:vAlign w:val="center"/>
          </w:tcPr>
          <w:p>
            <w:r/>
            <w:r>
              <w:rPr>
                <w:rFonts w:ascii="Aptos" w:hAnsi="Aptos"/>
                <w:b w:val="0"/>
                <w:sz w:val="16"/>
              </w:rPr>
              <w:t>What supports the claim?</w:t>
            </w:r>
          </w:p>
        </w:tc>
        <w:tc>
          <w:tcPr>
            <w:tcW w:type="dxa" w:w="3389"/>
            <w:vAlign w:val="center"/>
          </w:tcPr>
          <w:p>
            <w:r/>
            <w:r>
              <w:rPr>
                <w:rFonts w:ascii="Aptos" w:hAnsi="Aptos"/>
                <w:b w:val="0"/>
                <w:sz w:val="16"/>
              </w:rPr>
              <w:t>Document or authoritative source</w:t>
            </w:r>
          </w:p>
        </w:tc>
      </w:tr>
      <w:tr>
        <w:tc>
          <w:tcPr>
            <w:tcW w:type="dxa" w:w="3389"/>
            <w:vAlign w:val="center"/>
            <w:shd w:fill="F3F6FA"/>
          </w:tcPr>
          <w:p>
            <w:r/>
            <w:r>
              <w:rPr>
                <w:rFonts w:ascii="Aptos" w:hAnsi="Aptos"/>
                <w:b w:val="0"/>
                <w:sz w:val="16"/>
              </w:rPr>
              <w:t>Verification</w:t>
            </w:r>
          </w:p>
        </w:tc>
        <w:tc>
          <w:tcPr>
            <w:tcW w:type="dxa" w:w="3389"/>
            <w:vAlign w:val="center"/>
            <w:shd w:fill="F3F6FA"/>
          </w:tcPr>
          <w:p>
            <w:r/>
            <w:r>
              <w:rPr>
                <w:rFonts w:ascii="Aptos" w:hAnsi="Aptos"/>
                <w:b w:val="0"/>
                <w:sz w:val="16"/>
              </w:rPr>
              <w:t>Who checked it and how?</w:t>
            </w:r>
          </w:p>
        </w:tc>
        <w:tc>
          <w:tcPr>
            <w:tcW w:type="dxa" w:w="3389"/>
            <w:vAlign w:val="center"/>
            <w:shd w:fill="F3F6FA"/>
          </w:tcPr>
          <w:p>
            <w:r/>
            <w:r>
              <w:rPr>
                <w:rFonts w:ascii="Aptos" w:hAnsi="Aptos"/>
                <w:b w:val="0"/>
                <w:sz w:val="16"/>
              </w:rPr>
              <w:t>Named verifier/source</w:t>
            </w:r>
          </w:p>
        </w:tc>
      </w:tr>
      <w:tr>
        <w:tc>
          <w:tcPr>
            <w:tcW w:type="dxa" w:w="3389"/>
            <w:vAlign w:val="center"/>
          </w:tcPr>
          <w:p>
            <w:r/>
            <w:r>
              <w:rPr>
                <w:rFonts w:ascii="Aptos" w:hAnsi="Aptos"/>
                <w:b w:val="0"/>
                <w:sz w:val="16"/>
              </w:rPr>
              <w:t>Capability</w:t>
            </w:r>
          </w:p>
        </w:tc>
        <w:tc>
          <w:tcPr>
            <w:tcW w:type="dxa" w:w="3389"/>
            <w:vAlign w:val="center"/>
          </w:tcPr>
          <w:p>
            <w:r/>
            <w:r>
              <w:rPr>
                <w:rFonts w:ascii="Aptos" w:hAnsi="Aptos"/>
                <w:b w:val="0"/>
                <w:sz w:val="16"/>
              </w:rPr>
              <w:t>What may this evidence support?</w:t>
            </w:r>
          </w:p>
        </w:tc>
        <w:tc>
          <w:tcPr>
            <w:tcW w:type="dxa" w:w="3389"/>
            <w:vAlign w:val="center"/>
          </w:tcPr>
          <w:p>
            <w:r/>
            <w:r>
              <w:rPr>
                <w:rFonts w:ascii="Aptos" w:hAnsi="Aptos"/>
                <w:b w:val="0"/>
                <w:sz w:val="16"/>
              </w:rPr>
              <w:t>Rules/clinical interpretation</w:t>
            </w:r>
          </w:p>
        </w:tc>
      </w:tr>
      <w:tr>
        <w:tc>
          <w:tcPr>
            <w:tcW w:type="dxa" w:w="3389"/>
            <w:vAlign w:val="center"/>
            <w:shd w:fill="F3F6FA"/>
          </w:tcPr>
          <w:p>
            <w:r/>
            <w:r>
              <w:rPr>
                <w:rFonts w:ascii="Aptos" w:hAnsi="Aptos"/>
                <w:b w:val="0"/>
                <w:sz w:val="16"/>
              </w:rPr>
              <w:t>Scope</w:t>
            </w:r>
          </w:p>
        </w:tc>
        <w:tc>
          <w:tcPr>
            <w:tcW w:type="dxa" w:w="3389"/>
            <w:vAlign w:val="center"/>
            <w:shd w:fill="F3F6FA"/>
          </w:tcPr>
          <w:p>
            <w:r/>
            <w:r>
              <w:rPr>
                <w:rFonts w:ascii="Aptos" w:hAnsi="Aptos"/>
                <w:b w:val="0"/>
                <w:sz w:val="16"/>
              </w:rPr>
              <w:t>What has this LHN authorised here?</w:t>
            </w:r>
          </w:p>
        </w:tc>
        <w:tc>
          <w:tcPr>
            <w:tcW w:type="dxa" w:w="3389"/>
            <w:vAlign w:val="center"/>
            <w:shd w:fill="F3F6FA"/>
          </w:tcPr>
          <w:p>
            <w:r/>
            <w:r>
              <w:rPr>
                <w:rFonts w:ascii="Aptos" w:hAnsi="Aptos"/>
                <w:b w:val="0"/>
                <w:sz w:val="16"/>
              </w:rPr>
              <w:t>Receiving LHN</w:t>
            </w:r>
          </w:p>
        </w:tc>
      </w:tr>
      <w:tr>
        <w:tc>
          <w:tcPr>
            <w:tcW w:type="dxa" w:w="3389"/>
            <w:vAlign w:val="center"/>
          </w:tcPr>
          <w:p>
            <w:r/>
            <w:r>
              <w:rPr>
                <w:rFonts w:ascii="Aptos" w:hAnsi="Aptos"/>
                <w:b w:val="0"/>
                <w:sz w:val="16"/>
              </w:rPr>
              <w:t>Eligibility</w:t>
            </w:r>
          </w:p>
        </w:tc>
        <w:tc>
          <w:tcPr>
            <w:tcW w:type="dxa" w:w="3389"/>
            <w:vAlign w:val="center"/>
          </w:tcPr>
          <w:p>
            <w:r/>
            <w:r>
              <w:rPr>
                <w:rFonts w:ascii="Aptos" w:hAnsi="Aptos"/>
                <w:b w:val="0"/>
                <w:sz w:val="16"/>
              </w:rPr>
              <w:t>Can this practitioner fill this role at this time?</w:t>
            </w:r>
          </w:p>
        </w:tc>
        <w:tc>
          <w:tcPr>
            <w:tcW w:type="dxa" w:w="3389"/>
            <w:vAlign w:val="center"/>
          </w:tcPr>
          <w:p>
            <w:r/>
            <w:r>
              <w:rPr>
                <w:rFonts w:ascii="Aptos" w:hAnsi="Aptos"/>
                <w:b w:val="0"/>
                <w:sz w:val="16"/>
              </w:rPr>
              <w:t>Calculated from current requirements and scope</w:t>
            </w:r>
          </w:p>
        </w:tc>
      </w:tr>
    </w:tbl>
    <w:p/>
    <w:p>
      <w:pPr>
        <w:pStyle w:val="Heading1"/>
      </w:pPr>
      <w:r>
        <w:t>7. Second-LHN portability proof</w:t>
      </w:r>
    </w:p>
    <w:p>
      <w:r>
        <w:t>The second-LHN pilot is the pivotal statewide test. It should occur only after YNLHN has demonstrated that doctors will maintain the wallet, verification provenance is reliable and organisation scope is represented accurately.</w:t>
      </w:r>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0"/>
              </w:rPr>
              <w:t>Target experience: a doctor already working at YNLHN applies to a second LHN and is told 'most evidence is already available and verified; only these organisation-specific requirements remain'.</w:t>
            </w:r>
          </w:p>
        </w:tc>
      </w:tr>
    </w:tbl>
    <w:p/>
    <w:p>
      <w:pPr>
        <w:pStyle w:val="ListBullet"/>
      </w:pPr>
      <w:r>
        <w:t>Receiving LHN independently reviews the application and grants or declines scope.</w:t>
      </w:r>
    </w:p>
    <w:p>
      <w:pPr>
        <w:pStyle w:val="ListBullet"/>
      </w:pPr>
      <w:r>
        <w:t>Evidence is not copied into an opaque new record; provenance is retained.</w:t>
      </w:r>
    </w:p>
    <w:p>
      <w:pPr>
        <w:pStyle w:val="ListBullet"/>
      </w:pPr>
      <w:r>
        <w:t>The receiving LHN can require re-verification or additional evidence.</w:t>
      </w:r>
    </w:p>
    <w:p>
      <w:pPr>
        <w:pStyle w:val="ListBullet"/>
      </w:pPr>
      <w:r>
        <w:t>Differences in role requirements become explicit configuration rather than informal email knowledge.</w:t>
      </w:r>
    </w:p>
    <w:p>
      <w:pPr>
        <w:pStyle w:val="ListBullet"/>
      </w:pPr>
      <w:r>
        <w:t>Time, touches and duplicated uploads are measured against current practice.</w:t>
      </w:r>
    </w:p>
    <w:p>
      <w:pPr>
        <w:pStyle w:val="ListBullet"/>
      </w:pPr>
      <w:r>
        <w:t>Any disagreement about verification trust is captured to refine the statewide trust framework.</w:t>
      </w:r>
    </w:p>
    <w:p>
      <w:pPr>
        <w:pStyle w:val="Heading1"/>
      </w:pPr>
      <w:r>
        <w:t>8. Statewide workforce exchange model</w:t>
      </w:r>
    </w:p>
    <w:p>
      <w:r>
        <w:t>Once credential portability is proven, SA Health can progressively expose vacancies to a statewide pool. The Exchange should never rank an ineligible practitioner above an eligible practitioner based on rate or preference. Eligibility is the gate; preference and commercial factors operate only after that gate.</w:t>
      </w:r>
    </w:p>
    <w:p>
      <w:pPr>
        <w:pStyle w:val="ListBullet"/>
      </w:pPr>
      <w:r>
        <w:t>Doctor-controlled location and travel willingness</w:t>
      </w:r>
    </w:p>
    <w:p>
      <w:pPr>
        <w:pStyle w:val="ListBullet"/>
      </w:pPr>
      <w:r>
        <w:t>Role preferences and maximum self-declared scope</w:t>
      </w:r>
    </w:p>
    <w:p>
      <w:pPr>
        <w:pStyle w:val="ListBullet"/>
      </w:pPr>
      <w:r>
        <w:t>Availability and block-work preferences</w:t>
      </w:r>
    </w:p>
    <w:p>
      <w:pPr>
        <w:pStyle w:val="ListBullet"/>
      </w:pPr>
      <w:r>
        <w:t>Confidential minimum acceptable rate</w:t>
      </w:r>
    </w:p>
    <w:p>
      <w:pPr>
        <w:pStyle w:val="ListBullet"/>
      </w:pPr>
      <w:r>
        <w:t>LHN-issued role/site scope</w:t>
      </w:r>
    </w:p>
    <w:p>
      <w:pPr>
        <w:pStyle w:val="ListBullet"/>
      </w:pPr>
      <w:r>
        <w:t>Credential currency</w:t>
      </w:r>
    </w:p>
    <w:p>
      <w:pPr>
        <w:pStyle w:val="ListBullet"/>
      </w:pPr>
      <w:r>
        <w:t>Panel/direct sourcing status</w:t>
      </w:r>
    </w:p>
    <w:p>
      <w:pPr>
        <w:pStyle w:val="ListBullet"/>
      </w:pPr>
      <w:r>
        <w:t>Continuity and previous site experience</w:t>
      </w:r>
    </w:p>
    <w:p>
      <w:pPr>
        <w:pStyle w:val="ListBullet"/>
      </w:pPr>
      <w:r>
        <w:t>Travel/accommodation requirements</w:t>
      </w:r>
    </w:p>
    <w:p>
      <w:pPr>
        <w:pStyle w:val="Heading1"/>
      </w:pPr>
      <w:r>
        <w:t>9. Statewide agency gateway</w:t>
      </w:r>
    </w:p>
    <w:p>
      <w:r>
        <w:t>The initial statewide proposition should improve the operation of the existing SA Health panel rather than attempt to remove agencies. Eligible agencies receive a consistent structured vacancy feed, can propose represented doctors and receive structured outcomes. Variable fees and commissions are stored as effective-dated agreement data.</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Statewide benefit</w:t>
            </w:r>
          </w:p>
        </w:tc>
        <w:tc>
          <w:tcPr>
            <w:tcW w:type="dxa" w:w="5083"/>
            <w:vAlign w:val="center"/>
            <w:shd w:fill="17365D"/>
          </w:tcPr>
          <w:p>
            <w:r/>
            <w:r>
              <w:rPr>
                <w:rFonts w:ascii="Aptos" w:hAnsi="Aptos"/>
                <w:b/>
                <w:color w:val="FFFFFF"/>
                <w:sz w:val="16"/>
              </w:rPr>
              <w:t>Mechanism</w:t>
            </w:r>
          </w:p>
        </w:tc>
      </w:tr>
      <w:tr>
        <w:tc>
          <w:tcPr>
            <w:tcW w:type="dxa" w:w="5083"/>
            <w:vAlign w:val="center"/>
          </w:tcPr>
          <w:p>
            <w:r/>
            <w:r>
              <w:rPr>
                <w:rFonts w:ascii="Aptos" w:hAnsi="Aptos"/>
                <w:b w:val="0"/>
                <w:sz w:val="16"/>
              </w:rPr>
              <w:t>Faster agency distribution</w:t>
            </w:r>
          </w:p>
        </w:tc>
        <w:tc>
          <w:tcPr>
            <w:tcW w:type="dxa" w:w="5083"/>
            <w:vAlign w:val="center"/>
          </w:tcPr>
          <w:p>
            <w:r/>
            <w:r>
              <w:rPr>
                <w:rFonts w:ascii="Aptos" w:hAnsi="Aptos"/>
                <w:b w:val="0"/>
                <w:sz w:val="16"/>
              </w:rPr>
              <w:t>Publish one structured vacancy to all applicable eligible panel suppliers</w:t>
            </w:r>
          </w:p>
        </w:tc>
      </w:tr>
      <w:tr>
        <w:tc>
          <w:tcPr>
            <w:tcW w:type="dxa" w:w="5083"/>
            <w:vAlign w:val="center"/>
            <w:shd w:fill="F3F6FA"/>
          </w:tcPr>
          <w:p>
            <w:r/>
            <w:r>
              <w:rPr>
                <w:rFonts w:ascii="Aptos" w:hAnsi="Aptos"/>
                <w:b w:val="0"/>
                <w:sz w:val="16"/>
              </w:rPr>
              <w:t>Fairer comparison</w:t>
            </w:r>
          </w:p>
        </w:tc>
        <w:tc>
          <w:tcPr>
            <w:tcW w:type="dxa" w:w="5083"/>
            <w:vAlign w:val="center"/>
            <w:shd w:fill="F3F6FA"/>
          </w:tcPr>
          <w:p>
            <w:r/>
            <w:r>
              <w:rPr>
                <w:rFonts w:ascii="Aptos" w:hAnsi="Aptos"/>
                <w:b w:val="0"/>
                <w:sz w:val="16"/>
              </w:rPr>
              <w:t>Common proposal fields and timestamps</w:t>
            </w:r>
          </w:p>
        </w:tc>
      </w:tr>
      <w:tr>
        <w:tc>
          <w:tcPr>
            <w:tcW w:type="dxa" w:w="5083"/>
            <w:vAlign w:val="center"/>
          </w:tcPr>
          <w:p>
            <w:r/>
            <w:r>
              <w:rPr>
                <w:rFonts w:ascii="Aptos" w:hAnsi="Aptos"/>
                <w:b w:val="0"/>
                <w:sz w:val="16"/>
              </w:rPr>
              <w:t>Compliance evidence</w:t>
            </w:r>
          </w:p>
        </w:tc>
        <w:tc>
          <w:tcPr>
            <w:tcW w:type="dxa" w:w="5083"/>
            <w:vAlign w:val="center"/>
          </w:tcPr>
          <w:p>
            <w:r/>
            <w:r>
              <w:rPr>
                <w:rFonts w:ascii="Aptos" w:hAnsi="Aptos"/>
                <w:b w:val="0"/>
                <w:sz w:val="16"/>
              </w:rPr>
              <w:t>Record panel tier, exemption and authorised override</w:t>
            </w:r>
          </w:p>
        </w:tc>
      </w:tr>
      <w:tr>
        <w:tc>
          <w:tcPr>
            <w:tcW w:type="dxa" w:w="5083"/>
            <w:vAlign w:val="center"/>
            <w:shd w:fill="F3F6FA"/>
          </w:tcPr>
          <w:p>
            <w:r/>
            <w:r>
              <w:rPr>
                <w:rFonts w:ascii="Aptos" w:hAnsi="Aptos"/>
                <w:b w:val="0"/>
                <w:sz w:val="16"/>
              </w:rPr>
              <w:t>Commercial visibility</w:t>
            </w:r>
          </w:p>
        </w:tc>
        <w:tc>
          <w:tcPr>
            <w:tcW w:type="dxa" w:w="5083"/>
            <w:vAlign w:val="center"/>
            <w:shd w:fill="F3F6FA"/>
          </w:tcPr>
          <w:p>
            <w:r/>
            <w:r>
              <w:rPr>
                <w:rFonts w:ascii="Aptos" w:hAnsi="Aptos"/>
                <w:b w:val="0"/>
                <w:sz w:val="16"/>
              </w:rPr>
              <w:t>Booking-level rate, fee/commission, travel and accommodation</w:t>
            </w:r>
          </w:p>
        </w:tc>
      </w:tr>
      <w:tr>
        <w:tc>
          <w:tcPr>
            <w:tcW w:type="dxa" w:w="5083"/>
            <w:vAlign w:val="center"/>
          </w:tcPr>
          <w:p>
            <w:r/>
            <w:r>
              <w:rPr>
                <w:rFonts w:ascii="Aptos" w:hAnsi="Aptos"/>
                <w:b w:val="0"/>
                <w:sz w:val="16"/>
              </w:rPr>
              <w:t>Supplier management</w:t>
            </w:r>
          </w:p>
        </w:tc>
        <w:tc>
          <w:tcPr>
            <w:tcW w:type="dxa" w:w="5083"/>
            <w:vAlign w:val="center"/>
          </w:tcPr>
          <w:p>
            <w:r/>
            <w:r>
              <w:rPr>
                <w:rFonts w:ascii="Aptos" w:hAnsi="Aptos"/>
                <w:b w:val="0"/>
                <w:sz w:val="16"/>
              </w:rPr>
              <w:t>Response, fill, cancellation and cost performance</w:t>
            </w:r>
          </w:p>
        </w:tc>
      </w:tr>
      <w:tr>
        <w:tc>
          <w:tcPr>
            <w:tcW w:type="dxa" w:w="5083"/>
            <w:vAlign w:val="center"/>
            <w:shd w:fill="F3F6FA"/>
          </w:tcPr>
          <w:p>
            <w:r/>
            <w:r>
              <w:rPr>
                <w:rFonts w:ascii="Aptos" w:hAnsi="Aptos"/>
                <w:b w:val="0"/>
                <w:sz w:val="16"/>
              </w:rPr>
              <w:t>Future direct pool</w:t>
            </w:r>
          </w:p>
        </w:tc>
        <w:tc>
          <w:tcPr>
            <w:tcW w:type="dxa" w:w="5083"/>
            <w:vAlign w:val="center"/>
            <w:shd w:fill="F3F6FA"/>
          </w:tcPr>
          <w:p>
            <w:r/>
            <w:r>
              <w:rPr>
                <w:rFonts w:ascii="Aptos" w:hAnsi="Aptos"/>
                <w:b w:val="0"/>
                <w:sz w:val="16"/>
              </w:rPr>
              <w:t>Release only where procurement rules permit and configured conditions are met</w:t>
            </w:r>
          </w:p>
        </w:tc>
      </w:tr>
    </w:tbl>
    <w:p/>
    <w:p>
      <w:pPr>
        <w:pStyle w:val="Heading1"/>
      </w:pPr>
      <w:r>
        <w:t>10. Locum experience as statewide workforce intelligence</w:t>
      </w:r>
    </w:p>
    <w:p>
      <w:r>
        <w:t>A common locum experience instrument creates a new statewide signal about the environments that attract and retain doctors. It should remain an improvement tool, not a public ranking system.</w:t>
      </w:r>
    </w:p>
    <w:p>
      <w:pPr>
        <w:pStyle w:val="ListBullet"/>
      </w:pPr>
      <w:r>
        <w:t>Confidence in care</w:t>
      </w:r>
    </w:p>
    <w:p>
      <w:pPr>
        <w:pStyle w:val="ListBullet"/>
      </w:pPr>
      <w:r>
        <w:t>Clinical team culture</w:t>
      </w:r>
    </w:p>
    <w:p>
      <w:pPr>
        <w:pStyle w:val="ListBullet"/>
      </w:pPr>
      <w:r>
        <w:t>Safety to speak up</w:t>
      </w:r>
    </w:p>
    <w:p>
      <w:pPr>
        <w:pStyle w:val="ListBullet"/>
      </w:pPr>
      <w:r>
        <w:t>Access to senior/clinical support</w:t>
      </w:r>
    </w:p>
    <w:p>
      <w:pPr>
        <w:pStyle w:val="ListBullet"/>
      </w:pPr>
      <w:r>
        <w:t>Workload manageability</w:t>
      </w:r>
    </w:p>
    <w:p>
      <w:pPr>
        <w:pStyle w:val="ListBullet"/>
      </w:pPr>
      <w:r>
        <w:t>Orientation and local information</w:t>
      </w:r>
    </w:p>
    <w:p>
      <w:pPr>
        <w:pStyle w:val="ListBullet"/>
      </w:pPr>
      <w:r>
        <w:t>Likelihood of return</w:t>
      </w:r>
    </w:p>
    <w:p>
      <w:pPr>
        <w:pStyle w:val="ListBullet"/>
      </w:pPr>
      <w:r>
        <w:t>Single most useful improvement</w:t>
      </w:r>
    </w:p>
    <w:p>
      <w:pPr>
        <w:pStyle w:val="ListBullet"/>
      </w:pPr>
      <w:r>
        <w:t>Actual subsequent return when a suitable opportunity occurs</w:t>
      </w:r>
    </w:p>
    <w:p>
      <w:r>
        <w:t>Reporting should use anonymity thresholds and appropriate aggregation for small rural sites. Statewide benchmarking should be contextual and designed to identify improvement opportunities rather than punish services with intrinsically different workforce environments.</w:t>
      </w:r>
    </w:p>
    <w:p>
      <w:pPr>
        <w:pStyle w:val="Heading1"/>
      </w:pPr>
      <w:r>
        <w:t>11. Strategic benefits</w:t>
      </w:r>
    </w:p>
    <w:p>
      <w:pPr>
        <w:pStyle w:val="Heading2"/>
      </w:pPr>
      <w:r>
        <w:t>11.1 Benefits to practitioners</w:t>
      </w:r>
    </w:p>
    <w:p>
      <w:pPr>
        <w:pStyle w:val="ListBullet"/>
      </w:pPr>
      <w:r>
        <w:t>One credential portfolio rather than repeated document assembly</w:t>
      </w:r>
    </w:p>
    <w:p>
      <w:pPr>
        <w:pStyle w:val="ListBullet"/>
      </w:pPr>
      <w:r>
        <w:t>Expiry tracking and reusable sharing across SA Health</w:t>
      </w:r>
    </w:p>
    <w:p>
      <w:pPr>
        <w:pStyle w:val="ListBullet"/>
      </w:pPr>
      <w:r>
        <w:t>Greater transparency about what remains outstanding for a new LHN</w:t>
      </w:r>
    </w:p>
    <w:p>
      <w:pPr>
        <w:pStyle w:val="ListBullet"/>
      </w:pPr>
      <w:r>
        <w:t>One preference/availability profile for participating services</w:t>
      </w:r>
    </w:p>
    <w:p>
      <w:pPr>
        <w:pStyle w:val="ListBullet"/>
      </w:pPr>
      <w:r>
        <w:t>Simpler shift discovery and timesheets</w:t>
      </w:r>
    </w:p>
    <w:p>
      <w:pPr>
        <w:pStyle w:val="ListBullet"/>
      </w:pPr>
      <w:r>
        <w:t>A confidential statewide mechanism to influence workforce experience</w:t>
      </w:r>
    </w:p>
    <w:p>
      <w:pPr>
        <w:pStyle w:val="Heading2"/>
      </w:pPr>
      <w:r>
        <w:t>11.2 Benefits to LHNs</w:t>
      </w:r>
    </w:p>
    <w:p>
      <w:pPr>
        <w:pStyle w:val="ListBullet"/>
      </w:pPr>
      <w:r>
        <w:t>Reduced duplicate evidence collection and verification</w:t>
      </w:r>
    </w:p>
    <w:p>
      <w:pPr>
        <w:pStyle w:val="ListBullet"/>
      </w:pPr>
      <w:r>
        <w:t>Faster mobilisation of already-known practitioners</w:t>
      </w:r>
    </w:p>
    <w:p>
      <w:pPr>
        <w:pStyle w:val="ListBullet"/>
      </w:pPr>
      <w:r>
        <w:t>Clear separation of portable evidence and local scope authority</w:t>
      </w:r>
    </w:p>
    <w:p>
      <w:pPr>
        <w:pStyle w:val="ListBullet"/>
      </w:pPr>
      <w:r>
        <w:t>Broader eligible workforce reach</w:t>
      </w:r>
    </w:p>
    <w:p>
      <w:pPr>
        <w:pStyle w:val="ListBullet"/>
      </w:pPr>
      <w:r>
        <w:t>Improved vacancy, agency and cost visibility</w:t>
      </w:r>
    </w:p>
    <w:p>
      <w:pPr>
        <w:pStyle w:val="ListBullet"/>
      </w:pPr>
      <w:r>
        <w:t>Locum experience and retention intelligence</w:t>
      </w:r>
    </w:p>
    <w:p>
      <w:pPr>
        <w:pStyle w:val="ListBullet"/>
      </w:pPr>
      <w:r>
        <w:t>Reduced manual workforce administration</w:t>
      </w:r>
    </w:p>
    <w:p>
      <w:pPr>
        <w:pStyle w:val="Heading2"/>
      </w:pPr>
      <w:r>
        <w:t>11.3 Benefits to SA Health/DHW</w:t>
      </w:r>
    </w:p>
    <w:p>
      <w:pPr>
        <w:pStyle w:val="ListBullet"/>
      </w:pPr>
      <w:r>
        <w:t>System-wide visibility of locum demand and supply</w:t>
      </w:r>
    </w:p>
    <w:p>
      <w:pPr>
        <w:pStyle w:val="ListBullet"/>
      </w:pPr>
      <w:r>
        <w:t>Consistent panel compliance and supplier performance data</w:t>
      </w:r>
    </w:p>
    <w:p>
      <w:pPr>
        <w:pStyle w:val="ListBullet"/>
      </w:pPr>
      <w:r>
        <w:t>Common credential semantics and verification standards</w:t>
      </w:r>
    </w:p>
    <w:p>
      <w:pPr>
        <w:pStyle w:val="ListBullet"/>
      </w:pPr>
      <w:r>
        <w:t>Evidence for rural workforce policy and incentives</w:t>
      </w:r>
    </w:p>
    <w:p>
      <w:pPr>
        <w:pStyle w:val="ListBullet"/>
      </w:pPr>
      <w:r>
        <w:t>Reduced internal competition and duplicated administrative effort</w:t>
      </w:r>
    </w:p>
    <w:p>
      <w:pPr>
        <w:pStyle w:val="ListBullet"/>
      </w:pPr>
      <w:r>
        <w:t>Platform for future statewide medical workforce planning</w:t>
      </w:r>
    </w:p>
    <w:p>
      <w:pPr>
        <w:pStyle w:val="ListBullet"/>
      </w:pPr>
      <w:r>
        <w:t>A credible state demonstrator for national credential interoperability</w:t>
      </w:r>
    </w:p>
    <w:p>
      <w:pPr>
        <w:pStyle w:val="Heading1"/>
      </w:pPr>
      <w:r>
        <w:t>12. Financial case and value pools</w:t>
      </w:r>
    </w:p>
    <w:p>
      <w:r>
        <w:t>A statewide financial model should be built from measured YNLHN and second-LHN data rather than speculative savings. The business case should distinguish cash-releasing savings, cost avoidance, productivity benefit and strategic/system value.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Value pool</w:t>
            </w:r>
          </w:p>
        </w:tc>
        <w:tc>
          <w:tcPr>
            <w:tcW w:type="dxa" w:w="3389"/>
            <w:vAlign w:val="center"/>
            <w:shd w:fill="17365D"/>
          </w:tcPr>
          <w:p>
            <w:r/>
            <w:r>
              <w:rPr>
                <w:rFonts w:ascii="Aptos" w:hAnsi="Aptos"/>
                <w:b/>
                <w:color w:val="FFFFFF"/>
                <w:sz w:val="16"/>
              </w:rPr>
              <w:t>Potential mechanism</w:t>
            </w:r>
          </w:p>
        </w:tc>
        <w:tc>
          <w:tcPr>
            <w:tcW w:type="dxa" w:w="3389"/>
            <w:vAlign w:val="center"/>
            <w:shd w:fill="17365D"/>
          </w:tcPr>
          <w:p>
            <w:r/>
            <w:r>
              <w:rPr>
                <w:rFonts w:ascii="Aptos" w:hAnsi="Aptos"/>
                <w:b/>
                <w:color w:val="FFFFFF"/>
                <w:sz w:val="16"/>
              </w:rPr>
              <w:t>Evidence required</w:t>
            </w:r>
          </w:p>
        </w:tc>
      </w:tr>
      <w:tr>
        <w:tc>
          <w:tcPr>
            <w:tcW w:type="dxa" w:w="3389"/>
            <w:vAlign w:val="center"/>
          </w:tcPr>
          <w:p>
            <w:r/>
            <w:r>
              <w:rPr>
                <w:rFonts w:ascii="Aptos" w:hAnsi="Aptos"/>
                <w:b w:val="0"/>
                <w:sz w:val="16"/>
              </w:rPr>
              <w:t>Credential administration</w:t>
            </w:r>
          </w:p>
        </w:tc>
        <w:tc>
          <w:tcPr>
            <w:tcW w:type="dxa" w:w="3389"/>
            <w:vAlign w:val="center"/>
          </w:tcPr>
          <w:p>
            <w:r/>
            <w:r>
              <w:rPr>
                <w:rFonts w:ascii="Aptos" w:hAnsi="Aptos"/>
                <w:b w:val="0"/>
                <w:sz w:val="16"/>
              </w:rPr>
              <w:t>Reuse evidence and verification</w:t>
            </w:r>
          </w:p>
        </w:tc>
        <w:tc>
          <w:tcPr>
            <w:tcW w:type="dxa" w:w="3389"/>
            <w:vAlign w:val="center"/>
          </w:tcPr>
          <w:p>
            <w:r/>
            <w:r>
              <w:rPr>
                <w:rFonts w:ascii="Aptos" w:hAnsi="Aptos"/>
                <w:b w:val="0"/>
                <w:sz w:val="16"/>
              </w:rPr>
              <w:t>Applications, staff time, repeated requests and verification cost</w:t>
            </w:r>
          </w:p>
        </w:tc>
      </w:tr>
      <w:tr>
        <w:tc>
          <w:tcPr>
            <w:tcW w:type="dxa" w:w="3389"/>
            <w:vAlign w:val="center"/>
            <w:shd w:fill="F3F6FA"/>
          </w:tcPr>
          <w:p>
            <w:r/>
            <w:r>
              <w:rPr>
                <w:rFonts w:ascii="Aptos" w:hAnsi="Aptos"/>
                <w:b w:val="0"/>
                <w:sz w:val="16"/>
              </w:rPr>
              <w:t>Agency commission/fees</w:t>
            </w:r>
          </w:p>
        </w:tc>
        <w:tc>
          <w:tcPr>
            <w:tcW w:type="dxa" w:w="3389"/>
            <w:vAlign w:val="center"/>
            <w:shd w:fill="F3F6FA"/>
          </w:tcPr>
          <w:p>
            <w:r/>
            <w:r>
              <w:rPr>
                <w:rFonts w:ascii="Aptos" w:hAnsi="Aptos"/>
                <w:b w:val="0"/>
                <w:sz w:val="16"/>
              </w:rPr>
              <w:t>Greater direct engagement where permitted and improved supplier competition</w:t>
            </w:r>
          </w:p>
        </w:tc>
        <w:tc>
          <w:tcPr>
            <w:tcW w:type="dxa" w:w="3389"/>
            <w:vAlign w:val="center"/>
            <w:shd w:fill="F3F6FA"/>
          </w:tcPr>
          <w:p>
            <w:r/>
            <w:r>
              <w:rPr>
                <w:rFonts w:ascii="Aptos" w:hAnsi="Aptos"/>
                <w:b w:val="0"/>
                <w:sz w:val="16"/>
              </w:rPr>
              <w:t>Spend and effective fee by agency/category</w:t>
            </w:r>
          </w:p>
        </w:tc>
      </w:tr>
      <w:tr>
        <w:tc>
          <w:tcPr>
            <w:tcW w:type="dxa" w:w="3389"/>
            <w:vAlign w:val="center"/>
          </w:tcPr>
          <w:p>
            <w:r/>
            <w:r>
              <w:rPr>
                <w:rFonts w:ascii="Aptos" w:hAnsi="Aptos"/>
                <w:b w:val="0"/>
                <w:sz w:val="16"/>
              </w:rPr>
              <w:t>Premium locum rates</w:t>
            </w:r>
          </w:p>
        </w:tc>
        <w:tc>
          <w:tcPr>
            <w:tcW w:type="dxa" w:w="3389"/>
            <w:vAlign w:val="center"/>
          </w:tcPr>
          <w:p>
            <w:r/>
            <w:r>
              <w:rPr>
                <w:rFonts w:ascii="Aptos" w:hAnsi="Aptos"/>
                <w:b w:val="0"/>
                <w:sz w:val="16"/>
              </w:rPr>
              <w:t>Earlier/broader advertising and better workforce visibility</w:t>
            </w:r>
          </w:p>
        </w:tc>
        <w:tc>
          <w:tcPr>
            <w:tcW w:type="dxa" w:w="3389"/>
            <w:vAlign w:val="center"/>
          </w:tcPr>
          <w:p>
            <w:r/>
            <w:r>
              <w:rPr>
                <w:rFonts w:ascii="Aptos" w:hAnsi="Aptos"/>
                <w:b w:val="0"/>
                <w:sz w:val="16"/>
              </w:rPr>
              <w:t>Rate versus lead time/urgency</w:t>
            </w:r>
          </w:p>
        </w:tc>
      </w:tr>
      <w:tr>
        <w:tc>
          <w:tcPr>
            <w:tcW w:type="dxa" w:w="3389"/>
            <w:vAlign w:val="center"/>
            <w:shd w:fill="F3F6FA"/>
          </w:tcPr>
          <w:p>
            <w:r/>
            <w:r>
              <w:rPr>
                <w:rFonts w:ascii="Aptos" w:hAnsi="Aptos"/>
                <w:b w:val="0"/>
                <w:sz w:val="16"/>
              </w:rPr>
              <w:t>Workforce administration</w:t>
            </w:r>
          </w:p>
        </w:tc>
        <w:tc>
          <w:tcPr>
            <w:tcW w:type="dxa" w:w="3389"/>
            <w:vAlign w:val="center"/>
            <w:shd w:fill="F3F6FA"/>
          </w:tcPr>
          <w:p>
            <w:r/>
            <w:r>
              <w:rPr>
                <w:rFonts w:ascii="Aptos" w:hAnsi="Aptos"/>
                <w:b w:val="0"/>
                <w:sz w:val="16"/>
              </w:rPr>
              <w:t>Fewer calls/emails/manual reconciliation</w:t>
            </w:r>
          </w:p>
        </w:tc>
        <w:tc>
          <w:tcPr>
            <w:tcW w:type="dxa" w:w="3389"/>
            <w:vAlign w:val="center"/>
            <w:shd w:fill="F3F6FA"/>
          </w:tcPr>
          <w:p>
            <w:r/>
            <w:r>
              <w:rPr>
                <w:rFonts w:ascii="Aptos" w:hAnsi="Aptos"/>
                <w:b w:val="0"/>
                <w:sz w:val="16"/>
              </w:rPr>
              <w:t>Time-and-motion sample</w:t>
            </w:r>
          </w:p>
        </w:tc>
      </w:tr>
      <w:tr>
        <w:tc>
          <w:tcPr>
            <w:tcW w:type="dxa" w:w="3389"/>
            <w:vAlign w:val="center"/>
          </w:tcPr>
          <w:p>
            <w:r/>
            <w:r>
              <w:rPr>
                <w:rFonts w:ascii="Aptos" w:hAnsi="Aptos"/>
                <w:b w:val="0"/>
                <w:sz w:val="16"/>
              </w:rPr>
              <w:t>Unfilled shift cost</w:t>
            </w:r>
          </w:p>
        </w:tc>
        <w:tc>
          <w:tcPr>
            <w:tcW w:type="dxa" w:w="3389"/>
            <w:vAlign w:val="center"/>
          </w:tcPr>
          <w:p>
            <w:r/>
            <w:r>
              <w:rPr>
                <w:rFonts w:ascii="Aptos" w:hAnsi="Aptos"/>
                <w:b w:val="0"/>
                <w:sz w:val="16"/>
              </w:rPr>
              <w:t>Higher fill and earlier escalation</w:t>
            </w:r>
          </w:p>
        </w:tc>
        <w:tc>
          <w:tcPr>
            <w:tcW w:type="dxa" w:w="3389"/>
            <w:vAlign w:val="center"/>
          </w:tcPr>
          <w:p>
            <w:r/>
            <w:r>
              <w:rPr>
                <w:rFonts w:ascii="Aptos" w:hAnsi="Aptos"/>
                <w:b w:val="0"/>
                <w:sz w:val="16"/>
              </w:rPr>
              <w:t>Vacancy/fill and service consequence data</w:t>
            </w:r>
          </w:p>
        </w:tc>
      </w:tr>
      <w:tr>
        <w:tc>
          <w:tcPr>
            <w:tcW w:type="dxa" w:w="3389"/>
            <w:vAlign w:val="center"/>
            <w:shd w:fill="F3F6FA"/>
          </w:tcPr>
          <w:p>
            <w:r/>
            <w:r>
              <w:rPr>
                <w:rFonts w:ascii="Aptos" w:hAnsi="Aptos"/>
                <w:b w:val="0"/>
                <w:sz w:val="16"/>
              </w:rPr>
              <w:t>Retention</w:t>
            </w:r>
          </w:p>
        </w:tc>
        <w:tc>
          <w:tcPr>
            <w:tcW w:type="dxa" w:w="3389"/>
            <w:vAlign w:val="center"/>
            <w:shd w:fill="F3F6FA"/>
          </w:tcPr>
          <w:p>
            <w:r/>
            <w:r>
              <w:rPr>
                <w:rFonts w:ascii="Aptos" w:hAnsi="Aptos"/>
                <w:b w:val="0"/>
                <w:sz w:val="16"/>
              </w:rPr>
              <w:t>Improved return reduces recruitment effort and premium sourcing</w:t>
            </w:r>
          </w:p>
        </w:tc>
        <w:tc>
          <w:tcPr>
            <w:tcW w:type="dxa" w:w="3389"/>
            <w:vAlign w:val="center"/>
            <w:shd w:fill="F3F6FA"/>
          </w:tcPr>
          <w:p>
            <w:r/>
            <w:r>
              <w:rPr>
                <w:rFonts w:ascii="Aptos" w:hAnsi="Aptos"/>
                <w:b w:val="0"/>
                <w:sz w:val="16"/>
              </w:rPr>
              <w:t>Eligible return and subsequent cost</w:t>
            </w:r>
          </w:p>
        </w:tc>
      </w:tr>
      <w:tr>
        <w:tc>
          <w:tcPr>
            <w:tcW w:type="dxa" w:w="3389"/>
            <w:vAlign w:val="center"/>
          </w:tcPr>
          <w:p>
            <w:r/>
            <w:r>
              <w:rPr>
                <w:rFonts w:ascii="Aptos" w:hAnsi="Aptos"/>
                <w:b w:val="0"/>
                <w:sz w:val="16"/>
              </w:rPr>
              <w:t>Statewide procurement</w:t>
            </w:r>
          </w:p>
        </w:tc>
        <w:tc>
          <w:tcPr>
            <w:tcW w:type="dxa" w:w="3389"/>
            <w:vAlign w:val="center"/>
          </w:tcPr>
          <w:p>
            <w:r/>
            <w:r>
              <w:rPr>
                <w:rFonts w:ascii="Aptos" w:hAnsi="Aptos"/>
                <w:b w:val="0"/>
                <w:sz w:val="16"/>
              </w:rPr>
              <w:t>Supplier performance transparency</w:t>
            </w:r>
          </w:p>
        </w:tc>
        <w:tc>
          <w:tcPr>
            <w:tcW w:type="dxa" w:w="3389"/>
            <w:vAlign w:val="center"/>
          </w:tcPr>
          <w:p>
            <w:r/>
            <w:r>
              <w:rPr>
                <w:rFonts w:ascii="Aptos" w:hAnsi="Aptos"/>
                <w:b w:val="0"/>
                <w:sz w:val="16"/>
              </w:rPr>
              <w:t>Agency response/fill/cancellation/cost</w:t>
            </w:r>
          </w:p>
        </w:tc>
      </w:tr>
      <w:tr>
        <w:tc>
          <w:tcPr>
            <w:tcW w:type="dxa" w:w="3389"/>
            <w:vAlign w:val="center"/>
            <w:shd w:fill="F3F6FA"/>
          </w:tcPr>
          <w:p>
            <w:r/>
            <w:r>
              <w:rPr>
                <w:rFonts w:ascii="Aptos" w:hAnsi="Aptos"/>
                <w:b w:val="0"/>
                <w:sz w:val="16"/>
              </w:rPr>
              <w:t>Digital consolidation</w:t>
            </w:r>
          </w:p>
        </w:tc>
        <w:tc>
          <w:tcPr>
            <w:tcW w:type="dxa" w:w="3389"/>
            <w:vAlign w:val="center"/>
            <w:shd w:fill="F3F6FA"/>
          </w:tcPr>
          <w:p>
            <w:r/>
            <w:r>
              <w:rPr>
                <w:rFonts w:ascii="Aptos" w:hAnsi="Aptos"/>
                <w:b w:val="0"/>
                <w:sz w:val="16"/>
              </w:rPr>
              <w:t>Avoid multiple bespoke local solutions</w:t>
            </w:r>
          </w:p>
        </w:tc>
        <w:tc>
          <w:tcPr>
            <w:tcW w:type="dxa" w:w="3389"/>
            <w:vAlign w:val="center"/>
            <w:shd w:fill="F3F6FA"/>
          </w:tcPr>
          <w:p>
            <w:r/>
            <w:r>
              <w:rPr>
                <w:rFonts w:ascii="Aptos" w:hAnsi="Aptos"/>
                <w:b w:val="0"/>
                <w:sz w:val="16"/>
              </w:rPr>
              <w:t>Current/future system cost and duplication</w:t>
            </w:r>
          </w:p>
        </w:tc>
      </w:tr>
    </w:tbl>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0"/>
              </w:rPr>
              <w:t>The statewide case should not rely on 'cutting out agencies'. The stronger case is reducing friction and duplication while making the whole workforce market measurable. Agency substitution becomes one measurable future option where policy permits.</w:t>
            </w:r>
          </w:p>
        </w:tc>
      </w:tr>
    </w:tbl>
    <w:p/>
    <w:p>
      <w:pPr>
        <w:pStyle w:val="Heading1"/>
      </w:pPr>
      <w:r>
        <w:t>13. Options considered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Option</w:t>
            </w:r>
          </w:p>
        </w:tc>
        <w:tc>
          <w:tcPr>
            <w:tcW w:type="dxa" w:w="5083"/>
            <w:vAlign w:val="center"/>
            <w:shd w:fill="17365D"/>
          </w:tcPr>
          <w:p>
            <w:r/>
            <w:r>
              <w:rPr>
                <w:rFonts w:ascii="Aptos" w:hAnsi="Aptos"/>
                <w:b/>
                <w:color w:val="FFFFFF"/>
                <w:sz w:val="16"/>
              </w:rPr>
              <w:t>Assessment</w:t>
            </w:r>
          </w:p>
        </w:tc>
      </w:tr>
      <w:tr>
        <w:tc>
          <w:tcPr>
            <w:tcW w:type="dxa" w:w="5083"/>
            <w:vAlign w:val="center"/>
          </w:tcPr>
          <w:p>
            <w:r/>
            <w:r>
              <w:rPr>
                <w:rFonts w:ascii="Aptos" w:hAnsi="Aptos"/>
                <w:b w:val="0"/>
                <w:sz w:val="16"/>
              </w:rPr>
              <w:t>Status quo</w:t>
            </w:r>
          </w:p>
        </w:tc>
        <w:tc>
          <w:tcPr>
            <w:tcW w:type="dxa" w:w="5083"/>
            <w:vAlign w:val="center"/>
          </w:tcPr>
          <w:p>
            <w:r/>
            <w:r>
              <w:rPr>
                <w:rFonts w:ascii="Aptos" w:hAnsi="Aptos"/>
                <w:b w:val="0"/>
                <w:sz w:val="16"/>
              </w:rPr>
              <w:t>Lowest implementation cost but preserves duplicated credential work, fragmented workforce pools and limited statewide intelligence.</w:t>
            </w:r>
          </w:p>
        </w:tc>
      </w:tr>
      <w:tr>
        <w:tc>
          <w:tcPr>
            <w:tcW w:type="dxa" w:w="5083"/>
            <w:vAlign w:val="center"/>
            <w:shd w:fill="F3F6FA"/>
          </w:tcPr>
          <w:p>
            <w:r/>
            <w:r>
              <w:rPr>
                <w:rFonts w:ascii="Aptos" w:hAnsi="Aptos"/>
                <w:b w:val="0"/>
                <w:sz w:val="16"/>
              </w:rPr>
              <w:t>Independent LHN solutions</w:t>
            </w:r>
          </w:p>
        </w:tc>
        <w:tc>
          <w:tcPr>
            <w:tcW w:type="dxa" w:w="5083"/>
            <w:vAlign w:val="center"/>
            <w:shd w:fill="F3F6FA"/>
          </w:tcPr>
          <w:p>
            <w:r/>
            <w:r>
              <w:rPr>
                <w:rFonts w:ascii="Aptos" w:hAnsi="Aptos"/>
                <w:b w:val="0"/>
                <w:sz w:val="16"/>
              </w:rPr>
              <w:t>May solve local problems quickly but risks incompatible credential semantics, duplicate vendor cost and further fragmentation.</w:t>
            </w:r>
          </w:p>
        </w:tc>
      </w:tr>
      <w:tr>
        <w:tc>
          <w:tcPr>
            <w:tcW w:type="dxa" w:w="5083"/>
            <w:vAlign w:val="center"/>
          </w:tcPr>
          <w:p>
            <w:r/>
            <w:r>
              <w:rPr>
                <w:rFonts w:ascii="Aptos" w:hAnsi="Aptos"/>
                <w:b w:val="0"/>
                <w:sz w:val="16"/>
              </w:rPr>
              <w:t>Statewide job board only</w:t>
            </w:r>
          </w:p>
        </w:tc>
        <w:tc>
          <w:tcPr>
            <w:tcW w:type="dxa" w:w="5083"/>
            <w:vAlign w:val="center"/>
          </w:tcPr>
          <w:p>
            <w:r/>
            <w:r>
              <w:rPr>
                <w:rFonts w:ascii="Aptos" w:hAnsi="Aptos"/>
                <w:b w:val="0"/>
                <w:sz w:val="16"/>
              </w:rPr>
              <w:t>Improves vacancy visibility but does not solve eligibility, credential portability, agency workflow or trust.</w:t>
            </w:r>
          </w:p>
        </w:tc>
      </w:tr>
      <w:tr>
        <w:tc>
          <w:tcPr>
            <w:tcW w:type="dxa" w:w="5083"/>
            <w:vAlign w:val="center"/>
            <w:shd w:fill="F3F6FA"/>
          </w:tcPr>
          <w:p>
            <w:r/>
            <w:r>
              <w:rPr>
                <w:rFonts w:ascii="Aptos" w:hAnsi="Aptos"/>
                <w:b w:val="0"/>
                <w:sz w:val="16"/>
              </w:rPr>
              <w:t>Statewide credential repository only</w:t>
            </w:r>
          </w:p>
        </w:tc>
        <w:tc>
          <w:tcPr>
            <w:tcW w:type="dxa" w:w="5083"/>
            <w:vAlign w:val="center"/>
            <w:shd w:fill="F3F6FA"/>
          </w:tcPr>
          <w:p>
            <w:r/>
            <w:r>
              <w:rPr>
                <w:rFonts w:ascii="Aptos" w:hAnsi="Aptos"/>
                <w:b w:val="0"/>
                <w:sz w:val="16"/>
              </w:rPr>
              <w:t>Reduces document duplication but leaves workforce mobilisation fragmented.</w:t>
            </w:r>
          </w:p>
        </w:tc>
      </w:tr>
      <w:tr>
        <w:tc>
          <w:tcPr>
            <w:tcW w:type="dxa" w:w="5083"/>
            <w:vAlign w:val="center"/>
          </w:tcPr>
          <w:p>
            <w:r/>
            <w:r>
              <w:rPr>
                <w:rFonts w:ascii="Aptos" w:hAnsi="Aptos"/>
                <w:b w:val="0"/>
                <w:sz w:val="16"/>
              </w:rPr>
              <w:t>Staged Passport &amp; Exchange</w:t>
            </w:r>
          </w:p>
        </w:tc>
        <w:tc>
          <w:tcPr>
            <w:tcW w:type="dxa" w:w="5083"/>
            <w:vAlign w:val="center"/>
          </w:tcPr>
          <w:p>
            <w:r/>
            <w:r>
              <w:rPr>
                <w:rFonts w:ascii="Aptos" w:hAnsi="Aptos"/>
                <w:b w:val="0"/>
                <w:sz w:val="16"/>
              </w:rPr>
              <w:t>Combines doctor utility, credential interoperability, local scope authority and workforce mobilisation. Preferred.</w:t>
            </w:r>
          </w:p>
        </w:tc>
      </w:tr>
      <w:tr>
        <w:tc>
          <w:tcPr>
            <w:tcW w:type="dxa" w:w="5083"/>
            <w:vAlign w:val="center"/>
            <w:shd w:fill="F3F6FA"/>
          </w:tcPr>
          <w:p>
            <w:r/>
            <w:r>
              <w:rPr>
                <w:rFonts w:ascii="Aptos" w:hAnsi="Aptos"/>
                <w:b w:val="0"/>
                <w:sz w:val="16"/>
              </w:rPr>
              <w:t>Immediate national build</w:t>
            </w:r>
          </w:p>
        </w:tc>
        <w:tc>
          <w:tcPr>
            <w:tcW w:type="dxa" w:w="5083"/>
            <w:vAlign w:val="center"/>
            <w:shd w:fill="F3F6FA"/>
          </w:tcPr>
          <w:p>
            <w:r/>
            <w:r>
              <w:rPr>
                <w:rFonts w:ascii="Aptos" w:hAnsi="Aptos"/>
                <w:b w:val="0"/>
                <w:sz w:val="16"/>
              </w:rPr>
              <w:t>Premature before state-level trust, governance and value are demonstrated.</w:t>
            </w:r>
          </w:p>
        </w:tc>
      </w:tr>
    </w:tbl>
    <w:p/>
    <w:p>
      <w:pPr>
        <w:pStyle w:val="Heading1"/>
      </w:pPr>
      <w:r>
        <w:t>14. Proposed statewide implementation pathway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Stage</w:t>
            </w:r>
          </w:p>
        </w:tc>
        <w:tc>
          <w:tcPr>
            <w:tcW w:type="dxa" w:w="3389"/>
            <w:vAlign w:val="center"/>
            <w:shd w:fill="17365D"/>
          </w:tcPr>
          <w:p>
            <w:r/>
            <w:r>
              <w:rPr>
                <w:rFonts w:ascii="Aptos" w:hAnsi="Aptos"/>
                <w:b/>
                <w:color w:val="FFFFFF"/>
                <w:sz w:val="16"/>
              </w:rPr>
              <w:t>Indicative horizon</w:t>
            </w:r>
          </w:p>
        </w:tc>
        <w:tc>
          <w:tcPr>
            <w:tcW w:type="dxa" w:w="3389"/>
            <w:vAlign w:val="center"/>
            <w:shd w:fill="17365D"/>
          </w:tcPr>
          <w:p>
            <w:r/>
            <w:r>
              <w:rPr>
                <w:rFonts w:ascii="Aptos" w:hAnsi="Aptos"/>
                <w:b/>
                <w:color w:val="FFFFFF"/>
                <w:sz w:val="16"/>
              </w:rPr>
              <w:t>Outcome</w:t>
            </w:r>
          </w:p>
        </w:tc>
      </w:tr>
      <w:tr>
        <w:tc>
          <w:tcPr>
            <w:tcW w:type="dxa" w:w="3389"/>
            <w:vAlign w:val="center"/>
          </w:tcPr>
          <w:p>
            <w:r/>
            <w:r>
              <w:rPr>
                <w:rFonts w:ascii="Aptos" w:hAnsi="Aptos"/>
                <w:b w:val="0"/>
                <w:sz w:val="16"/>
              </w:rPr>
              <w:t>0. YNLHN proof-of-value</w:t>
            </w:r>
          </w:p>
        </w:tc>
        <w:tc>
          <w:tcPr>
            <w:tcW w:type="dxa" w:w="3389"/>
            <w:vAlign w:val="center"/>
          </w:tcPr>
          <w:p>
            <w:r/>
            <w:r>
              <w:rPr>
                <w:rFonts w:ascii="Aptos" w:hAnsi="Aptos"/>
                <w:b w:val="0"/>
                <w:sz w:val="16"/>
              </w:rPr>
              <w:t>0–12 months</w:t>
            </w:r>
          </w:p>
        </w:tc>
        <w:tc>
          <w:tcPr>
            <w:tcW w:type="dxa" w:w="3389"/>
            <w:vAlign w:val="center"/>
          </w:tcPr>
          <w:p>
            <w:r/>
            <w:r>
              <w:rPr>
                <w:rFonts w:ascii="Aptos" w:hAnsi="Aptos"/>
                <w:b w:val="0"/>
                <w:sz w:val="16"/>
              </w:rPr>
              <w:t>Credential Wallet, experience, agency-compliant exchange and timesheets</w:t>
            </w:r>
          </w:p>
        </w:tc>
      </w:tr>
      <w:tr>
        <w:tc>
          <w:tcPr>
            <w:tcW w:type="dxa" w:w="3389"/>
            <w:vAlign w:val="center"/>
            <w:shd w:fill="F3F6FA"/>
          </w:tcPr>
          <w:p>
            <w:r/>
            <w:r>
              <w:rPr>
                <w:rFonts w:ascii="Aptos" w:hAnsi="Aptos"/>
                <w:b w:val="0"/>
                <w:sz w:val="16"/>
              </w:rPr>
              <w:t>1. State design</w:t>
            </w:r>
          </w:p>
        </w:tc>
        <w:tc>
          <w:tcPr>
            <w:tcW w:type="dxa" w:w="3389"/>
            <w:vAlign w:val="center"/>
            <w:shd w:fill="F3F6FA"/>
          </w:tcPr>
          <w:p>
            <w:r/>
            <w:r>
              <w:rPr>
                <w:rFonts w:ascii="Aptos" w:hAnsi="Aptos"/>
                <w:b w:val="0"/>
                <w:sz w:val="16"/>
              </w:rPr>
              <w:t>6–15 months</w:t>
            </w:r>
          </w:p>
        </w:tc>
        <w:tc>
          <w:tcPr>
            <w:tcW w:type="dxa" w:w="3389"/>
            <w:vAlign w:val="center"/>
            <w:shd w:fill="F3F6FA"/>
          </w:tcPr>
          <w:p>
            <w:r/>
            <w:r>
              <w:rPr>
                <w:rFonts w:ascii="Aptos" w:hAnsi="Aptos"/>
                <w:b w:val="0"/>
                <w:sz w:val="16"/>
              </w:rPr>
              <w:t>Common credential ontology, trust framework, statewide governance and architecture</w:t>
            </w:r>
          </w:p>
        </w:tc>
      </w:tr>
      <w:tr>
        <w:tc>
          <w:tcPr>
            <w:tcW w:type="dxa" w:w="3389"/>
            <w:vAlign w:val="center"/>
          </w:tcPr>
          <w:p>
            <w:r/>
            <w:r>
              <w:rPr>
                <w:rFonts w:ascii="Aptos" w:hAnsi="Aptos"/>
                <w:b w:val="0"/>
                <w:sz w:val="16"/>
              </w:rPr>
              <w:t>2. Second-LHN portability</w:t>
            </w:r>
          </w:p>
        </w:tc>
        <w:tc>
          <w:tcPr>
            <w:tcW w:type="dxa" w:w="3389"/>
            <w:vAlign w:val="center"/>
          </w:tcPr>
          <w:p>
            <w:r/>
            <w:r>
              <w:rPr>
                <w:rFonts w:ascii="Aptos" w:hAnsi="Aptos"/>
                <w:b w:val="0"/>
                <w:sz w:val="16"/>
              </w:rPr>
              <w:t>12–24 months</w:t>
            </w:r>
          </w:p>
        </w:tc>
        <w:tc>
          <w:tcPr>
            <w:tcW w:type="dxa" w:w="3389"/>
            <w:vAlign w:val="center"/>
          </w:tcPr>
          <w:p>
            <w:r/>
            <w:r>
              <w:rPr>
                <w:rFonts w:ascii="Aptos" w:hAnsi="Aptos"/>
                <w:b w:val="0"/>
                <w:sz w:val="16"/>
              </w:rPr>
              <w:t>Reuse verified evidence with independent receiving-LHN scope</w:t>
            </w:r>
          </w:p>
        </w:tc>
      </w:tr>
      <w:tr>
        <w:tc>
          <w:tcPr>
            <w:tcW w:type="dxa" w:w="3389"/>
            <w:vAlign w:val="center"/>
            <w:shd w:fill="F3F6FA"/>
          </w:tcPr>
          <w:p>
            <w:r/>
            <w:r>
              <w:rPr>
                <w:rFonts w:ascii="Aptos" w:hAnsi="Aptos"/>
                <w:b w:val="0"/>
                <w:sz w:val="16"/>
              </w:rPr>
              <w:t>3. Multi-LHN expansion</w:t>
            </w:r>
          </w:p>
        </w:tc>
        <w:tc>
          <w:tcPr>
            <w:tcW w:type="dxa" w:w="3389"/>
            <w:vAlign w:val="center"/>
            <w:shd w:fill="F3F6FA"/>
          </w:tcPr>
          <w:p>
            <w:r/>
            <w:r>
              <w:rPr>
                <w:rFonts w:ascii="Aptos" w:hAnsi="Aptos"/>
                <w:b w:val="0"/>
                <w:sz w:val="16"/>
              </w:rPr>
              <w:t>18–30 months</w:t>
            </w:r>
          </w:p>
        </w:tc>
        <w:tc>
          <w:tcPr>
            <w:tcW w:type="dxa" w:w="3389"/>
            <w:vAlign w:val="center"/>
            <w:shd w:fill="F3F6FA"/>
          </w:tcPr>
          <w:p>
            <w:r/>
            <w:r>
              <w:rPr>
                <w:rFonts w:ascii="Aptos" w:hAnsi="Aptos"/>
                <w:b w:val="0"/>
                <w:sz w:val="16"/>
              </w:rPr>
              <w:t>Progressive Passport adoption and common role/requirement templates</w:t>
            </w:r>
          </w:p>
        </w:tc>
      </w:tr>
      <w:tr>
        <w:tc>
          <w:tcPr>
            <w:tcW w:type="dxa" w:w="3389"/>
            <w:vAlign w:val="center"/>
          </w:tcPr>
          <w:p>
            <w:r/>
            <w:r>
              <w:rPr>
                <w:rFonts w:ascii="Aptos" w:hAnsi="Aptos"/>
                <w:b w:val="0"/>
                <w:sz w:val="16"/>
              </w:rPr>
              <w:t>4. SA Medical Workforce Exchange</w:t>
            </w:r>
          </w:p>
        </w:tc>
        <w:tc>
          <w:tcPr>
            <w:tcW w:type="dxa" w:w="3389"/>
            <w:vAlign w:val="center"/>
          </w:tcPr>
          <w:p>
            <w:r/>
            <w:r>
              <w:rPr>
                <w:rFonts w:ascii="Aptos" w:hAnsi="Aptos"/>
                <w:b w:val="0"/>
                <w:sz w:val="16"/>
              </w:rPr>
              <w:t>24–36 months</w:t>
            </w:r>
          </w:p>
        </w:tc>
        <w:tc>
          <w:tcPr>
            <w:tcW w:type="dxa" w:w="3389"/>
            <w:vAlign w:val="center"/>
          </w:tcPr>
          <w:p>
            <w:r/>
            <w:r>
              <w:rPr>
                <w:rFonts w:ascii="Aptos" w:hAnsi="Aptos"/>
                <w:b w:val="0"/>
                <w:sz w:val="16"/>
              </w:rPr>
              <w:t>Statewide vacancies, panel agency gateway and workforce pool</w:t>
            </w:r>
          </w:p>
        </w:tc>
      </w:tr>
      <w:tr>
        <w:tc>
          <w:tcPr>
            <w:tcW w:type="dxa" w:w="3389"/>
            <w:vAlign w:val="center"/>
            <w:shd w:fill="F3F6FA"/>
          </w:tcPr>
          <w:p>
            <w:r/>
            <w:r>
              <w:rPr>
                <w:rFonts w:ascii="Aptos" w:hAnsi="Aptos"/>
                <w:b w:val="0"/>
                <w:sz w:val="16"/>
              </w:rPr>
              <w:t>5. Mature statewide capability</w:t>
            </w:r>
          </w:p>
        </w:tc>
        <w:tc>
          <w:tcPr>
            <w:tcW w:type="dxa" w:w="3389"/>
            <w:vAlign w:val="center"/>
            <w:shd w:fill="F3F6FA"/>
          </w:tcPr>
          <w:p>
            <w:r/>
            <w:r>
              <w:rPr>
                <w:rFonts w:ascii="Aptos" w:hAnsi="Aptos"/>
                <w:b w:val="0"/>
                <w:sz w:val="16"/>
              </w:rPr>
              <w:t>36+ months</w:t>
            </w:r>
          </w:p>
        </w:tc>
        <w:tc>
          <w:tcPr>
            <w:tcW w:type="dxa" w:w="3389"/>
            <w:vAlign w:val="center"/>
            <w:shd w:fill="F3F6FA"/>
          </w:tcPr>
          <w:p>
            <w:r/>
            <w:r>
              <w:rPr>
                <w:rFonts w:ascii="Aptos" w:hAnsi="Aptos"/>
                <w:b w:val="0"/>
                <w:sz w:val="16"/>
              </w:rPr>
              <w:t>Digital credentialling interoperability, analytics and national integration</w:t>
            </w:r>
          </w:p>
        </w:tc>
      </w:tr>
    </w:tbl>
    <w:p/>
    <w:p>
      <w:pPr>
        <w:pStyle w:val="Heading1"/>
      </w:pPr>
      <w:r>
        <w:t>15. Statewide governance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Governance function</w:t>
            </w:r>
          </w:p>
        </w:tc>
        <w:tc>
          <w:tcPr>
            <w:tcW w:type="dxa" w:w="5083"/>
            <w:vAlign w:val="center"/>
            <w:shd w:fill="17365D"/>
          </w:tcPr>
          <w:p>
            <w:r/>
            <w:r>
              <w:rPr>
                <w:rFonts w:ascii="Aptos" w:hAnsi="Aptos"/>
                <w:b/>
                <w:color w:val="FFFFFF"/>
                <w:sz w:val="16"/>
              </w:rPr>
              <w:t>Proposed responsibility</w:t>
            </w:r>
          </w:p>
        </w:tc>
      </w:tr>
      <w:tr>
        <w:tc>
          <w:tcPr>
            <w:tcW w:type="dxa" w:w="5083"/>
            <w:vAlign w:val="center"/>
          </w:tcPr>
          <w:p>
            <w:r/>
            <w:r>
              <w:rPr>
                <w:rFonts w:ascii="Aptos" w:hAnsi="Aptos"/>
                <w:b w:val="0"/>
                <w:sz w:val="16"/>
              </w:rPr>
              <w:t>Executive sponsorship</w:t>
            </w:r>
          </w:p>
        </w:tc>
        <w:tc>
          <w:tcPr>
            <w:tcW w:type="dxa" w:w="5083"/>
            <w:vAlign w:val="center"/>
          </w:tcPr>
          <w:p>
            <w:r/>
            <w:r>
              <w:rPr>
                <w:rFonts w:ascii="Aptos" w:hAnsi="Aptos"/>
                <w:b w:val="0"/>
                <w:sz w:val="16"/>
              </w:rPr>
              <w:t>DHW/SA Health executive sponsor with LHN executive representation</w:t>
            </w:r>
          </w:p>
        </w:tc>
      </w:tr>
      <w:tr>
        <w:tc>
          <w:tcPr>
            <w:tcW w:type="dxa" w:w="5083"/>
            <w:vAlign w:val="center"/>
            <w:shd w:fill="F3F6FA"/>
          </w:tcPr>
          <w:p>
            <w:r/>
            <w:r>
              <w:rPr>
                <w:rFonts w:ascii="Aptos" w:hAnsi="Aptos"/>
                <w:b w:val="0"/>
                <w:sz w:val="16"/>
              </w:rPr>
              <w:t>Clinical governance</w:t>
            </w:r>
          </w:p>
        </w:tc>
        <w:tc>
          <w:tcPr>
            <w:tcW w:type="dxa" w:w="5083"/>
            <w:vAlign w:val="center"/>
            <w:shd w:fill="F3F6FA"/>
          </w:tcPr>
          <w:p>
            <w:r/>
            <w:r>
              <w:rPr>
                <w:rFonts w:ascii="Aptos" w:hAnsi="Aptos"/>
                <w:b w:val="0"/>
                <w:sz w:val="16"/>
              </w:rPr>
              <w:t>Statewide principles; LHN accountability for local scope</w:t>
            </w:r>
          </w:p>
        </w:tc>
      </w:tr>
      <w:tr>
        <w:tc>
          <w:tcPr>
            <w:tcW w:type="dxa" w:w="5083"/>
            <w:vAlign w:val="center"/>
          </w:tcPr>
          <w:p>
            <w:r/>
            <w:r>
              <w:rPr>
                <w:rFonts w:ascii="Aptos" w:hAnsi="Aptos"/>
                <w:b w:val="0"/>
                <w:sz w:val="16"/>
              </w:rPr>
              <w:t>Credential standards</w:t>
            </w:r>
          </w:p>
        </w:tc>
        <w:tc>
          <w:tcPr>
            <w:tcW w:type="dxa" w:w="5083"/>
            <w:vAlign w:val="center"/>
          </w:tcPr>
          <w:p>
            <w:r/>
            <w:r>
              <w:rPr>
                <w:rFonts w:ascii="Aptos" w:hAnsi="Aptos"/>
                <w:b w:val="0"/>
                <w:sz w:val="16"/>
              </w:rPr>
              <w:t>Common credential ontology, assurance levels and verification trust rules</w:t>
            </w:r>
          </w:p>
        </w:tc>
      </w:tr>
      <w:tr>
        <w:tc>
          <w:tcPr>
            <w:tcW w:type="dxa" w:w="5083"/>
            <w:vAlign w:val="center"/>
            <w:shd w:fill="F3F6FA"/>
          </w:tcPr>
          <w:p>
            <w:r/>
            <w:r>
              <w:rPr>
                <w:rFonts w:ascii="Aptos" w:hAnsi="Aptos"/>
                <w:b w:val="0"/>
                <w:sz w:val="16"/>
              </w:rPr>
              <w:t>Workforce governance</w:t>
            </w:r>
          </w:p>
        </w:tc>
        <w:tc>
          <w:tcPr>
            <w:tcW w:type="dxa" w:w="5083"/>
            <w:vAlign w:val="center"/>
            <w:shd w:fill="F3F6FA"/>
          </w:tcPr>
          <w:p>
            <w:r/>
            <w:r>
              <w:rPr>
                <w:rFonts w:ascii="Aptos" w:hAnsi="Aptos"/>
                <w:b w:val="0"/>
                <w:sz w:val="16"/>
              </w:rPr>
              <w:t>Role catalogue, workforce exchange rules and operational standards</w:t>
            </w:r>
          </w:p>
        </w:tc>
      </w:tr>
      <w:tr>
        <w:tc>
          <w:tcPr>
            <w:tcW w:type="dxa" w:w="5083"/>
            <w:vAlign w:val="center"/>
          </w:tcPr>
          <w:p>
            <w:r/>
            <w:r>
              <w:rPr>
                <w:rFonts w:ascii="Aptos" w:hAnsi="Aptos"/>
                <w:b w:val="0"/>
                <w:sz w:val="16"/>
              </w:rPr>
              <w:t>Procurement</w:t>
            </w:r>
          </w:p>
        </w:tc>
        <w:tc>
          <w:tcPr>
            <w:tcW w:type="dxa" w:w="5083"/>
            <w:vAlign w:val="center"/>
          </w:tcPr>
          <w:p>
            <w:r/>
            <w:r>
              <w:rPr>
                <w:rFonts w:ascii="Aptos" w:hAnsi="Aptos"/>
                <w:b w:val="0"/>
                <w:sz w:val="16"/>
              </w:rPr>
              <w:t>Panel supplier rules, commercial data governance and exemptions</w:t>
            </w:r>
          </w:p>
        </w:tc>
      </w:tr>
      <w:tr>
        <w:tc>
          <w:tcPr>
            <w:tcW w:type="dxa" w:w="5083"/>
            <w:vAlign w:val="center"/>
            <w:shd w:fill="F3F6FA"/>
          </w:tcPr>
          <w:p>
            <w:r/>
            <w:r>
              <w:rPr>
                <w:rFonts w:ascii="Aptos" w:hAnsi="Aptos"/>
                <w:b w:val="0"/>
                <w:sz w:val="16"/>
              </w:rPr>
              <w:t>Digital architecture</w:t>
            </w:r>
          </w:p>
        </w:tc>
        <w:tc>
          <w:tcPr>
            <w:tcW w:type="dxa" w:w="5083"/>
            <w:vAlign w:val="center"/>
            <w:shd w:fill="F3F6FA"/>
          </w:tcPr>
          <w:p>
            <w:r/>
            <w:r>
              <w:rPr>
                <w:rFonts w:ascii="Aptos" w:hAnsi="Aptos"/>
                <w:b w:val="0"/>
                <w:sz w:val="16"/>
              </w:rPr>
              <w:t>Platform, identity, APIs, integration and technical standards</w:t>
            </w:r>
          </w:p>
        </w:tc>
      </w:tr>
      <w:tr>
        <w:tc>
          <w:tcPr>
            <w:tcW w:type="dxa" w:w="5083"/>
            <w:vAlign w:val="center"/>
          </w:tcPr>
          <w:p>
            <w:r/>
            <w:r>
              <w:rPr>
                <w:rFonts w:ascii="Aptos" w:hAnsi="Aptos"/>
                <w:b w:val="0"/>
                <w:sz w:val="16"/>
              </w:rPr>
              <w:t>Privacy/legal</w:t>
            </w:r>
          </w:p>
        </w:tc>
        <w:tc>
          <w:tcPr>
            <w:tcW w:type="dxa" w:w="5083"/>
            <w:vAlign w:val="center"/>
          </w:tcPr>
          <w:p>
            <w:r/>
            <w:r>
              <w:rPr>
                <w:rFonts w:ascii="Aptos" w:hAnsi="Aptos"/>
                <w:b w:val="0"/>
                <w:sz w:val="16"/>
              </w:rPr>
              <w:t>Statewide sharing framework, consent, retention and cross-LHN access</w:t>
            </w:r>
          </w:p>
        </w:tc>
      </w:tr>
      <w:tr>
        <w:tc>
          <w:tcPr>
            <w:tcW w:type="dxa" w:w="5083"/>
            <w:vAlign w:val="center"/>
            <w:shd w:fill="F3F6FA"/>
          </w:tcPr>
          <w:p>
            <w:r/>
            <w:r>
              <w:rPr>
                <w:rFonts w:ascii="Aptos" w:hAnsi="Aptos"/>
                <w:b w:val="0"/>
                <w:sz w:val="16"/>
              </w:rPr>
              <w:t>Data governance</w:t>
            </w:r>
          </w:p>
        </w:tc>
        <w:tc>
          <w:tcPr>
            <w:tcW w:type="dxa" w:w="5083"/>
            <w:vAlign w:val="center"/>
            <w:shd w:fill="F3F6FA"/>
          </w:tcPr>
          <w:p>
            <w:r/>
            <w:r>
              <w:rPr>
                <w:rFonts w:ascii="Aptos" w:hAnsi="Aptos"/>
                <w:b w:val="0"/>
                <w:sz w:val="16"/>
              </w:rPr>
              <w:t>Statewide dataset, permitted uses, analytics and access</w:t>
            </w:r>
          </w:p>
        </w:tc>
      </w:tr>
      <w:tr>
        <w:tc>
          <w:tcPr>
            <w:tcW w:type="dxa" w:w="5083"/>
            <w:vAlign w:val="center"/>
          </w:tcPr>
          <w:p>
            <w:r/>
            <w:r>
              <w:rPr>
                <w:rFonts w:ascii="Aptos" w:hAnsi="Aptos"/>
                <w:b w:val="0"/>
                <w:sz w:val="16"/>
              </w:rPr>
              <w:t>Evaluation</w:t>
            </w:r>
          </w:p>
        </w:tc>
        <w:tc>
          <w:tcPr>
            <w:tcW w:type="dxa" w:w="5083"/>
            <w:vAlign w:val="center"/>
          </w:tcPr>
          <w:p>
            <w:r/>
            <w:r>
              <w:rPr>
                <w:rFonts w:ascii="Aptos" w:hAnsi="Aptos"/>
                <w:b w:val="0"/>
                <w:sz w:val="16"/>
              </w:rPr>
              <w:t>Benefits, safety, equity, unintended consequences and expansion gates</w:t>
            </w:r>
          </w:p>
        </w:tc>
      </w:tr>
    </w:tbl>
    <w:p/>
    <w:p>
      <w:pPr>
        <w:pStyle w:val="Heading1"/>
      </w:pPr>
      <w:r>
        <w:t>16. Decision rights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Decision</w:t>
            </w:r>
          </w:p>
        </w:tc>
        <w:tc>
          <w:tcPr>
            <w:tcW w:type="dxa" w:w="3389"/>
            <w:vAlign w:val="center"/>
            <w:shd w:fill="17365D"/>
          </w:tcPr>
          <w:p>
            <w:r/>
            <w:r>
              <w:rPr>
                <w:rFonts w:ascii="Aptos" w:hAnsi="Aptos"/>
                <w:b/>
                <w:color w:val="FFFFFF"/>
                <w:sz w:val="16"/>
              </w:rPr>
              <w:t>Statewide</w:t>
            </w:r>
          </w:p>
        </w:tc>
        <w:tc>
          <w:tcPr>
            <w:tcW w:type="dxa" w:w="3389"/>
            <w:vAlign w:val="center"/>
            <w:shd w:fill="17365D"/>
          </w:tcPr>
          <w:p>
            <w:r/>
            <w:r>
              <w:rPr>
                <w:rFonts w:ascii="Aptos" w:hAnsi="Aptos"/>
                <w:b/>
                <w:color w:val="FFFFFF"/>
                <w:sz w:val="16"/>
              </w:rPr>
              <w:t>LHN/local</w:t>
            </w:r>
          </w:p>
        </w:tc>
      </w:tr>
      <w:tr>
        <w:tc>
          <w:tcPr>
            <w:tcW w:type="dxa" w:w="3389"/>
            <w:vAlign w:val="center"/>
          </w:tcPr>
          <w:p>
            <w:r/>
            <w:r>
              <w:rPr>
                <w:rFonts w:ascii="Aptos" w:hAnsi="Aptos"/>
                <w:b w:val="0"/>
                <w:sz w:val="16"/>
              </w:rPr>
              <w:t>Credential taxonomy</w:t>
            </w:r>
          </w:p>
        </w:tc>
        <w:tc>
          <w:tcPr>
            <w:tcW w:type="dxa" w:w="3389"/>
            <w:vAlign w:val="center"/>
          </w:tcPr>
          <w:p>
            <w:r/>
            <w:r>
              <w:rPr>
                <w:rFonts w:ascii="Aptos" w:hAnsi="Aptos"/>
                <w:b w:val="0"/>
                <w:sz w:val="16"/>
              </w:rPr>
              <w:t>Common minimum standard</w:t>
            </w:r>
          </w:p>
        </w:tc>
        <w:tc>
          <w:tcPr>
            <w:tcW w:type="dxa" w:w="3389"/>
            <w:vAlign w:val="center"/>
          </w:tcPr>
          <w:p>
            <w:r/>
            <w:r>
              <w:rPr>
                <w:rFonts w:ascii="Aptos" w:hAnsi="Aptos"/>
                <w:b w:val="0"/>
                <w:sz w:val="16"/>
              </w:rPr>
              <w:t>May add local requirements</w:t>
            </w:r>
          </w:p>
        </w:tc>
      </w:tr>
      <w:tr>
        <w:tc>
          <w:tcPr>
            <w:tcW w:type="dxa" w:w="3389"/>
            <w:vAlign w:val="center"/>
            <w:shd w:fill="F3F6FA"/>
          </w:tcPr>
          <w:p>
            <w:r/>
            <w:r>
              <w:rPr>
                <w:rFonts w:ascii="Aptos" w:hAnsi="Aptos"/>
                <w:b w:val="0"/>
                <w:sz w:val="16"/>
              </w:rPr>
              <w:t>Verification assurance framework</w:t>
            </w:r>
          </w:p>
        </w:tc>
        <w:tc>
          <w:tcPr>
            <w:tcW w:type="dxa" w:w="3389"/>
            <w:vAlign w:val="center"/>
            <w:shd w:fill="F3F6FA"/>
          </w:tcPr>
          <w:p>
            <w:r/>
            <w:r>
              <w:rPr>
                <w:rFonts w:ascii="Aptos" w:hAnsi="Aptos"/>
                <w:b w:val="0"/>
                <w:sz w:val="16"/>
              </w:rPr>
              <w:t>Common definitions</w:t>
            </w:r>
          </w:p>
        </w:tc>
        <w:tc>
          <w:tcPr>
            <w:tcW w:type="dxa" w:w="3389"/>
            <w:vAlign w:val="center"/>
            <w:shd w:fill="F3F6FA"/>
          </w:tcPr>
          <w:p>
            <w:r/>
            <w:r>
              <w:rPr>
                <w:rFonts w:ascii="Aptos" w:hAnsi="Aptos"/>
                <w:b w:val="0"/>
                <w:sz w:val="16"/>
              </w:rPr>
              <w:t>Determines which assurance levels it accepts</w:t>
            </w:r>
          </w:p>
        </w:tc>
      </w:tr>
      <w:tr>
        <w:tc>
          <w:tcPr>
            <w:tcW w:type="dxa" w:w="3389"/>
            <w:vAlign w:val="center"/>
          </w:tcPr>
          <w:p>
            <w:r/>
            <w:r>
              <w:rPr>
                <w:rFonts w:ascii="Aptos" w:hAnsi="Aptos"/>
                <w:b w:val="0"/>
                <w:sz w:val="16"/>
              </w:rPr>
              <w:t>Scope of clinical practice</w:t>
            </w:r>
          </w:p>
        </w:tc>
        <w:tc>
          <w:tcPr>
            <w:tcW w:type="dxa" w:w="3389"/>
            <w:vAlign w:val="center"/>
          </w:tcPr>
          <w:p>
            <w:r/>
            <w:r>
              <w:rPr>
                <w:rFonts w:ascii="Aptos" w:hAnsi="Aptos"/>
                <w:b w:val="0"/>
                <w:sz w:val="16"/>
              </w:rPr>
              <w:t>Common data structure</w:t>
            </w:r>
          </w:p>
        </w:tc>
        <w:tc>
          <w:tcPr>
            <w:tcW w:type="dxa" w:w="3389"/>
            <w:vAlign w:val="center"/>
          </w:tcPr>
          <w:p>
            <w:r/>
            <w:r>
              <w:rPr>
                <w:rFonts w:ascii="Aptos" w:hAnsi="Aptos"/>
                <w:b w:val="0"/>
                <w:sz w:val="16"/>
              </w:rPr>
              <w:t>Grants/declines/restricts scope</w:t>
            </w:r>
          </w:p>
        </w:tc>
      </w:tr>
      <w:tr>
        <w:tc>
          <w:tcPr>
            <w:tcW w:type="dxa" w:w="3389"/>
            <w:vAlign w:val="center"/>
            <w:shd w:fill="F3F6FA"/>
          </w:tcPr>
          <w:p>
            <w:r/>
            <w:r>
              <w:rPr>
                <w:rFonts w:ascii="Aptos" w:hAnsi="Aptos"/>
                <w:b w:val="0"/>
                <w:sz w:val="16"/>
              </w:rPr>
              <w:t>Role catalogue</w:t>
            </w:r>
          </w:p>
        </w:tc>
        <w:tc>
          <w:tcPr>
            <w:tcW w:type="dxa" w:w="3389"/>
            <w:vAlign w:val="center"/>
            <w:shd w:fill="F3F6FA"/>
          </w:tcPr>
          <w:p>
            <w:r/>
            <w:r>
              <w:rPr>
                <w:rFonts w:ascii="Aptos" w:hAnsi="Aptos"/>
                <w:b w:val="0"/>
                <w:sz w:val="16"/>
              </w:rPr>
              <w:t>Common templates where possible</w:t>
            </w:r>
          </w:p>
        </w:tc>
        <w:tc>
          <w:tcPr>
            <w:tcW w:type="dxa" w:w="3389"/>
            <w:vAlign w:val="center"/>
            <w:shd w:fill="F3F6FA"/>
          </w:tcPr>
          <w:p>
            <w:r/>
            <w:r>
              <w:rPr>
                <w:rFonts w:ascii="Aptos" w:hAnsi="Aptos"/>
                <w:b w:val="0"/>
                <w:sz w:val="16"/>
              </w:rPr>
              <w:t>Adds service/facility requirements</w:t>
            </w:r>
          </w:p>
        </w:tc>
      </w:tr>
      <w:tr>
        <w:tc>
          <w:tcPr>
            <w:tcW w:type="dxa" w:w="3389"/>
            <w:vAlign w:val="center"/>
          </w:tcPr>
          <w:p>
            <w:r/>
            <w:r>
              <w:rPr>
                <w:rFonts w:ascii="Aptos" w:hAnsi="Aptos"/>
                <w:b w:val="0"/>
                <w:sz w:val="16"/>
              </w:rPr>
              <w:t>Vacancy approval</w:t>
            </w:r>
          </w:p>
        </w:tc>
        <w:tc>
          <w:tcPr>
            <w:tcW w:type="dxa" w:w="3389"/>
            <w:vAlign w:val="center"/>
          </w:tcPr>
          <w:p>
            <w:r/>
            <w:r>
              <w:rPr>
                <w:rFonts w:ascii="Aptos" w:hAnsi="Aptos"/>
                <w:b w:val="0"/>
                <w:sz w:val="16"/>
              </w:rPr>
              <w:t>Standards/workflow</w:t>
            </w:r>
          </w:p>
        </w:tc>
        <w:tc>
          <w:tcPr>
            <w:tcW w:type="dxa" w:w="3389"/>
            <w:vAlign w:val="center"/>
          </w:tcPr>
          <w:p>
            <w:r/>
            <w:r>
              <w:rPr>
                <w:rFonts w:ascii="Aptos" w:hAnsi="Aptos"/>
                <w:b w:val="0"/>
                <w:sz w:val="16"/>
              </w:rPr>
              <w:t>Creates and authorises vacancy</w:t>
            </w:r>
          </w:p>
        </w:tc>
      </w:tr>
      <w:tr>
        <w:tc>
          <w:tcPr>
            <w:tcW w:type="dxa" w:w="3389"/>
            <w:vAlign w:val="center"/>
            <w:shd w:fill="F3F6FA"/>
          </w:tcPr>
          <w:p>
            <w:r/>
            <w:r>
              <w:rPr>
                <w:rFonts w:ascii="Aptos" w:hAnsi="Aptos"/>
                <w:b w:val="0"/>
                <w:sz w:val="16"/>
              </w:rPr>
              <w:t>Panel sourcing rules</w:t>
            </w:r>
          </w:p>
        </w:tc>
        <w:tc>
          <w:tcPr>
            <w:tcW w:type="dxa" w:w="3389"/>
            <w:vAlign w:val="center"/>
            <w:shd w:fill="F3F6FA"/>
          </w:tcPr>
          <w:p>
            <w:r/>
            <w:r>
              <w:rPr>
                <w:rFonts w:ascii="Aptos" w:hAnsi="Aptos"/>
                <w:b w:val="0"/>
                <w:sz w:val="16"/>
              </w:rPr>
              <w:t>State procurement framework</w:t>
            </w:r>
          </w:p>
        </w:tc>
        <w:tc>
          <w:tcPr>
            <w:tcW w:type="dxa" w:w="3389"/>
            <w:vAlign w:val="center"/>
            <w:shd w:fill="F3F6FA"/>
          </w:tcPr>
          <w:p>
            <w:r/>
            <w:r>
              <w:rPr>
                <w:rFonts w:ascii="Aptos" w:hAnsi="Aptos"/>
                <w:b w:val="0"/>
                <w:sz w:val="16"/>
              </w:rPr>
              <w:t>Operates within framework and approved exceptions</w:t>
            </w:r>
          </w:p>
        </w:tc>
      </w:tr>
      <w:tr>
        <w:tc>
          <w:tcPr>
            <w:tcW w:type="dxa" w:w="3389"/>
            <w:vAlign w:val="center"/>
          </w:tcPr>
          <w:p>
            <w:r/>
            <w:r>
              <w:rPr>
                <w:rFonts w:ascii="Aptos" w:hAnsi="Aptos"/>
                <w:b w:val="0"/>
                <w:sz w:val="16"/>
              </w:rPr>
              <w:t>Doctor selection</w:t>
            </w:r>
          </w:p>
        </w:tc>
        <w:tc>
          <w:tcPr>
            <w:tcW w:type="dxa" w:w="3389"/>
            <w:vAlign w:val="center"/>
          </w:tcPr>
          <w:p>
            <w:r/>
            <w:r>
              <w:rPr>
                <w:rFonts w:ascii="Aptos" w:hAnsi="Aptos"/>
                <w:b w:val="0"/>
                <w:sz w:val="16"/>
              </w:rPr>
              <w:t>Platform eligibility support</w:t>
            </w:r>
          </w:p>
        </w:tc>
        <w:tc>
          <w:tcPr>
            <w:tcW w:type="dxa" w:w="3389"/>
            <w:vAlign w:val="center"/>
          </w:tcPr>
          <w:p>
            <w:r/>
            <w:r>
              <w:rPr>
                <w:rFonts w:ascii="Aptos" w:hAnsi="Aptos"/>
                <w:b w:val="0"/>
                <w:sz w:val="16"/>
              </w:rPr>
              <w:t>Final operational selection</w:t>
            </w:r>
          </w:p>
        </w:tc>
      </w:tr>
      <w:tr>
        <w:tc>
          <w:tcPr>
            <w:tcW w:type="dxa" w:w="3389"/>
            <w:vAlign w:val="center"/>
            <w:shd w:fill="F3F6FA"/>
          </w:tcPr>
          <w:p>
            <w:r/>
            <w:r>
              <w:rPr>
                <w:rFonts w:ascii="Aptos" w:hAnsi="Aptos"/>
                <w:b w:val="0"/>
                <w:sz w:val="16"/>
              </w:rPr>
              <w:t>Experience instrument</w:t>
            </w:r>
          </w:p>
        </w:tc>
        <w:tc>
          <w:tcPr>
            <w:tcW w:type="dxa" w:w="3389"/>
            <w:vAlign w:val="center"/>
            <w:shd w:fill="F3F6FA"/>
          </w:tcPr>
          <w:p>
            <w:r/>
            <w:r>
              <w:rPr>
                <w:rFonts w:ascii="Aptos" w:hAnsi="Aptos"/>
                <w:b w:val="0"/>
                <w:sz w:val="16"/>
              </w:rPr>
              <w:t>Common core measures</w:t>
            </w:r>
          </w:p>
        </w:tc>
        <w:tc>
          <w:tcPr>
            <w:tcW w:type="dxa" w:w="3389"/>
            <w:vAlign w:val="center"/>
            <w:shd w:fill="F3F6FA"/>
          </w:tcPr>
          <w:p>
            <w:r/>
            <w:r>
              <w:rPr>
                <w:rFonts w:ascii="Aptos" w:hAnsi="Aptos"/>
                <w:b w:val="0"/>
                <w:sz w:val="16"/>
              </w:rPr>
              <w:t>Local improvement response</w:t>
            </w:r>
          </w:p>
        </w:tc>
      </w:tr>
      <w:tr>
        <w:tc>
          <w:tcPr>
            <w:tcW w:type="dxa" w:w="3389"/>
            <w:vAlign w:val="center"/>
          </w:tcPr>
          <w:p>
            <w:r/>
            <w:r>
              <w:rPr>
                <w:rFonts w:ascii="Aptos" w:hAnsi="Aptos"/>
                <w:b w:val="0"/>
                <w:sz w:val="16"/>
              </w:rPr>
              <w:t>Data access</w:t>
            </w:r>
          </w:p>
        </w:tc>
        <w:tc>
          <w:tcPr>
            <w:tcW w:type="dxa" w:w="3389"/>
            <w:vAlign w:val="center"/>
          </w:tcPr>
          <w:p>
            <w:r/>
            <w:r>
              <w:rPr>
                <w:rFonts w:ascii="Aptos" w:hAnsi="Aptos"/>
                <w:b w:val="0"/>
                <w:sz w:val="16"/>
              </w:rPr>
              <w:t>Statewide governance</w:t>
            </w:r>
          </w:p>
        </w:tc>
        <w:tc>
          <w:tcPr>
            <w:tcW w:type="dxa" w:w="3389"/>
            <w:vAlign w:val="center"/>
          </w:tcPr>
          <w:p>
            <w:r/>
            <w:r>
              <w:rPr>
                <w:rFonts w:ascii="Aptos" w:hAnsi="Aptos"/>
                <w:b w:val="0"/>
                <w:sz w:val="16"/>
              </w:rPr>
              <w:t>Role-based operational access</w:t>
            </w:r>
          </w:p>
        </w:tc>
      </w:tr>
    </w:tbl>
    <w:p/>
    <w:p>
      <w:pPr>
        <w:pStyle w:val="Heading1"/>
      </w:pPr>
      <w:r>
        <w:t>17. Data and interoperability architecture</w:t>
      </w:r>
    </w:p>
    <w:p>
      <w:pPr>
        <w:pStyle w:val="ListBullet"/>
      </w:pPr>
      <w:r>
        <w:t>Use HPI-I and HPI-O where lawful, available and fit for purpose as national identifiers rather than creating a new provider identity namespace.</w:t>
      </w:r>
    </w:p>
    <w:p>
      <w:pPr>
        <w:pStyle w:val="ListBullet"/>
      </w:pPr>
      <w:r>
        <w:t>Maintain Ahpra registration number as a key professional identifier with appropriate validation.</w:t>
      </w:r>
    </w:p>
    <w:p>
      <w:pPr>
        <w:pStyle w:val="ListBullet"/>
      </w:pPr>
      <w:r>
        <w:t>Represent practitioner, organisation, facility, role, credential, verification and scope as distinct entities.</w:t>
      </w:r>
    </w:p>
    <w:p>
      <w:pPr>
        <w:pStyle w:val="ListBullet"/>
      </w:pPr>
      <w:r>
        <w:t>Use standards-based APIs and FHIR-aligned representations where appropriate for national interoperability.</w:t>
      </w:r>
    </w:p>
    <w:p>
      <w:pPr>
        <w:pStyle w:val="ListBullet"/>
      </w:pPr>
      <w:r>
        <w:t>Design for Provider Connect Australia/Health Connect Australia coexistence and potential integration.</w:t>
      </w:r>
    </w:p>
    <w:p>
      <w:pPr>
        <w:pStyle w:val="ListBullet"/>
      </w:pPr>
      <w:r>
        <w:t>Retain verification provenance and effective dates.</w:t>
      </w:r>
    </w:p>
    <w:p>
      <w:pPr>
        <w:pStyle w:val="ListBullet"/>
      </w:pPr>
      <w:r>
        <w:t>Separate confidential commercial, credential evidence and workforce experience access domains.</w:t>
      </w:r>
    </w:p>
    <w:p>
      <w:pPr>
        <w:pStyle w:val="ListBullet"/>
      </w:pPr>
      <w:r>
        <w:t>Provide governed statewide analytics without giving one LHN unrestricted access to another LHN's confidential operational data.</w:t>
      </w:r>
    </w:p>
    <w:p>
      <w:pPr>
        <w:pStyle w:val="Heading1"/>
      </w:pPr>
      <w:r>
        <w:t>18. Privacy, cyber and trust</w:t>
      </w:r>
    </w:p>
    <w:p>
      <w:pPr>
        <w:pStyle w:val="ListBullet"/>
      </w:pPr>
      <w:r>
        <w:t>Statewide Privacy Impact Assessment and cross-LHN information-sharing framework</w:t>
      </w:r>
    </w:p>
    <w:p>
      <w:pPr>
        <w:pStyle w:val="ListBullet"/>
      </w:pPr>
      <w:r>
        <w:t>Explicit practitioner controls for external credential sharing</w:t>
      </w:r>
    </w:p>
    <w:p>
      <w:pPr>
        <w:pStyle w:val="ListBullet"/>
      </w:pPr>
      <w:r>
        <w:t>Clear distinction between practitioner-held portfolio data and organisation-issued records</w:t>
      </w:r>
    </w:p>
    <w:p>
      <w:pPr>
        <w:pStyle w:val="ListBullet"/>
      </w:pPr>
      <w:r>
        <w:t>MFA, federation and least-privilege role access</w:t>
      </w:r>
    </w:p>
    <w:p>
      <w:pPr>
        <w:pStyle w:val="ListBullet"/>
      </w:pPr>
      <w:r>
        <w:t>Encryption, audit and security monitoring</w:t>
      </w:r>
    </w:p>
    <w:p>
      <w:pPr>
        <w:pStyle w:val="ListBullet"/>
      </w:pPr>
      <w:r>
        <w:t>Separate controls for identity evidence, credential evidence, commercial data and confidential feedback</w:t>
      </w:r>
    </w:p>
    <w:p>
      <w:pPr>
        <w:pStyle w:val="ListBullet"/>
      </w:pPr>
      <w:r>
        <w:t>Minimum reporting thresholds for small-site experience data</w:t>
      </w:r>
    </w:p>
    <w:p>
      <w:pPr>
        <w:pStyle w:val="ListBullet"/>
      </w:pPr>
      <w:r>
        <w:t>Defined breach response and credential-verification correction process</w:t>
      </w:r>
    </w:p>
    <w:p>
      <w:pPr>
        <w:pStyle w:val="ListBullet"/>
      </w:pPr>
      <w:r>
        <w:t>Australian Government/state requirements for hosting and data residency confirmed during procurement</w:t>
      </w:r>
    </w:p>
    <w:p>
      <w:pPr>
        <w:pStyle w:val="Heading1"/>
      </w:pPr>
      <w:r>
        <w:t>19. Workforce and industrial considerations</w:t>
      </w:r>
    </w:p>
    <w:p>
      <w:r>
        <w:t>The Exchange is a workforce coordination mechanism, not an employment-law shortcut. Employment status, industrial instruments, outside-employment approvals, taxation, superannuation, contractor arrangements, fatigue management and local rostering obligations remain applicable. These rules should be represented as policy controls or integrations where useful, but require specialist industrial/legal review before automation.</w:t>
      </w:r>
    </w:p>
    <w:p>
      <w:pPr>
        <w:pStyle w:val="Heading1"/>
      </w:pPr>
      <w:r>
        <w:t>20. Procurement strategy</w:t>
      </w:r>
    </w:p>
    <w:p>
      <w:r>
        <w:t>The technology procurement strategy should preserve SA Health ownership/control of critical data semantics and interoperability. The state should avoid replacing current fragmentation with vendor lock-in.</w:t>
      </w:r>
    </w:p>
    <w:p>
      <w:pPr>
        <w:pStyle w:val="ListBullet"/>
      </w:pPr>
      <w:r>
        <w:t>Procure against open API and data portability requirements.</w:t>
      </w:r>
    </w:p>
    <w:p>
      <w:pPr>
        <w:pStyle w:val="ListBullet"/>
      </w:pPr>
      <w:r>
        <w:t>Require SA Health access to all operational and audit data.</w:t>
      </w:r>
    </w:p>
    <w:p>
      <w:pPr>
        <w:pStyle w:val="ListBullet"/>
      </w:pPr>
      <w:r>
        <w:t>Require export of practitioner, credential, verification, scope, vacancy and booking data in documented formats.</w:t>
      </w:r>
    </w:p>
    <w:p>
      <w:pPr>
        <w:pStyle w:val="ListBullet"/>
      </w:pPr>
      <w:r>
        <w:t>Avoid proprietary credential identifiers as the only means of interpreting records.</w:t>
      </w:r>
    </w:p>
    <w:p>
      <w:pPr>
        <w:pStyle w:val="ListBullet"/>
      </w:pPr>
      <w:r>
        <w:t>Retain configuration ownership for panel sourcing rules and credential requirements.</w:t>
      </w:r>
    </w:p>
    <w:p>
      <w:pPr>
        <w:pStyle w:val="ListBullet"/>
      </w:pPr>
      <w:r>
        <w:t>Require security, availability, disaster recovery and exit provisions.</w:t>
      </w:r>
    </w:p>
    <w:p>
      <w:pPr>
        <w:pStyle w:val="ListBullet"/>
      </w:pPr>
      <w:r>
        <w:t>Assess build, buy and hybrid options after the YNLHN proof-of-value.</w:t>
      </w:r>
    </w:p>
    <w:p>
      <w:pPr>
        <w:pStyle w:val="Heading1"/>
      </w:pPr>
      <w:r>
        <w:t>21. Statewide evaluation framework</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Domain</w:t>
            </w:r>
          </w:p>
        </w:tc>
        <w:tc>
          <w:tcPr>
            <w:tcW w:type="dxa" w:w="5083"/>
            <w:vAlign w:val="center"/>
            <w:shd w:fill="17365D"/>
          </w:tcPr>
          <w:p>
            <w:r/>
            <w:r>
              <w:rPr>
                <w:rFonts w:ascii="Aptos" w:hAnsi="Aptos"/>
                <w:b/>
                <w:color w:val="FFFFFF"/>
                <w:sz w:val="16"/>
              </w:rPr>
              <w:t>Statewide measure</w:t>
            </w:r>
          </w:p>
        </w:tc>
      </w:tr>
      <w:tr>
        <w:tc>
          <w:tcPr>
            <w:tcW w:type="dxa" w:w="5083"/>
            <w:vAlign w:val="center"/>
          </w:tcPr>
          <w:p>
            <w:r/>
            <w:r>
              <w:rPr>
                <w:rFonts w:ascii="Aptos" w:hAnsi="Aptos"/>
                <w:b w:val="0"/>
                <w:sz w:val="16"/>
              </w:rPr>
              <w:t>Portability</w:t>
            </w:r>
          </w:p>
        </w:tc>
        <w:tc>
          <w:tcPr>
            <w:tcW w:type="dxa" w:w="5083"/>
            <w:vAlign w:val="center"/>
          </w:tcPr>
          <w:p>
            <w:r/>
            <w:r>
              <w:rPr>
                <w:rFonts w:ascii="Aptos" w:hAnsi="Aptos"/>
                <w:b w:val="0"/>
                <w:sz w:val="16"/>
              </w:rPr>
              <w:t>Evidence items reused per cross-LHN application; reduction in duplicate uploads and verification</w:t>
            </w:r>
          </w:p>
        </w:tc>
      </w:tr>
      <w:tr>
        <w:tc>
          <w:tcPr>
            <w:tcW w:type="dxa" w:w="5083"/>
            <w:vAlign w:val="center"/>
            <w:shd w:fill="F3F6FA"/>
          </w:tcPr>
          <w:p>
            <w:r/>
            <w:r>
              <w:rPr>
                <w:rFonts w:ascii="Aptos" w:hAnsi="Aptos"/>
                <w:b w:val="0"/>
                <w:sz w:val="16"/>
              </w:rPr>
              <w:t>Credential turnaround</w:t>
            </w:r>
          </w:p>
        </w:tc>
        <w:tc>
          <w:tcPr>
            <w:tcW w:type="dxa" w:w="5083"/>
            <w:vAlign w:val="center"/>
            <w:shd w:fill="F3F6FA"/>
          </w:tcPr>
          <w:p>
            <w:r/>
            <w:r>
              <w:rPr>
                <w:rFonts w:ascii="Aptos" w:hAnsi="Aptos"/>
                <w:b w:val="0"/>
                <w:sz w:val="16"/>
              </w:rPr>
              <w:t>Time from application to scope decision for already-known practitioners</w:t>
            </w:r>
          </w:p>
        </w:tc>
      </w:tr>
      <w:tr>
        <w:tc>
          <w:tcPr>
            <w:tcW w:type="dxa" w:w="5083"/>
            <w:vAlign w:val="center"/>
          </w:tcPr>
          <w:p>
            <w:r/>
            <w:r>
              <w:rPr>
                <w:rFonts w:ascii="Aptos" w:hAnsi="Aptos"/>
                <w:b w:val="0"/>
                <w:sz w:val="16"/>
              </w:rPr>
              <w:t>Mobility</w:t>
            </w:r>
          </w:p>
        </w:tc>
        <w:tc>
          <w:tcPr>
            <w:tcW w:type="dxa" w:w="5083"/>
            <w:vAlign w:val="center"/>
          </w:tcPr>
          <w:p>
            <w:r/>
            <w:r>
              <w:rPr>
                <w:rFonts w:ascii="Aptos" w:hAnsi="Aptos"/>
                <w:b w:val="0"/>
                <w:sz w:val="16"/>
              </w:rPr>
              <w:t>Number/proportion of practitioners working across multiple LHNs</w:t>
            </w:r>
          </w:p>
        </w:tc>
      </w:tr>
      <w:tr>
        <w:tc>
          <w:tcPr>
            <w:tcW w:type="dxa" w:w="5083"/>
            <w:vAlign w:val="center"/>
            <w:shd w:fill="F3F6FA"/>
          </w:tcPr>
          <w:p>
            <w:r/>
            <w:r>
              <w:rPr>
                <w:rFonts w:ascii="Aptos" w:hAnsi="Aptos"/>
                <w:b w:val="0"/>
                <w:sz w:val="16"/>
              </w:rPr>
              <w:t>Vacancy performance</w:t>
            </w:r>
          </w:p>
        </w:tc>
        <w:tc>
          <w:tcPr>
            <w:tcW w:type="dxa" w:w="5083"/>
            <w:vAlign w:val="center"/>
            <w:shd w:fill="F3F6FA"/>
          </w:tcPr>
          <w:p>
            <w:r/>
            <w:r>
              <w:rPr>
                <w:rFonts w:ascii="Aptos" w:hAnsi="Aptos"/>
                <w:b w:val="0"/>
                <w:sz w:val="16"/>
              </w:rPr>
              <w:t>Fill, time-to-fill and lead time by site/role</w:t>
            </w:r>
          </w:p>
        </w:tc>
      </w:tr>
      <w:tr>
        <w:tc>
          <w:tcPr>
            <w:tcW w:type="dxa" w:w="5083"/>
            <w:vAlign w:val="center"/>
          </w:tcPr>
          <w:p>
            <w:r/>
            <w:r>
              <w:rPr>
                <w:rFonts w:ascii="Aptos" w:hAnsi="Aptos"/>
                <w:b w:val="0"/>
                <w:sz w:val="16"/>
              </w:rPr>
              <w:t>Agency performance</w:t>
            </w:r>
          </w:p>
        </w:tc>
        <w:tc>
          <w:tcPr>
            <w:tcW w:type="dxa" w:w="5083"/>
            <w:vAlign w:val="center"/>
          </w:tcPr>
          <w:p>
            <w:r/>
            <w:r>
              <w:rPr>
                <w:rFonts w:ascii="Aptos" w:hAnsi="Aptos"/>
                <w:b w:val="0"/>
                <w:sz w:val="16"/>
              </w:rPr>
              <w:t>Response, proposal, fill, cancellation and effective cost</w:t>
            </w:r>
          </w:p>
        </w:tc>
      </w:tr>
      <w:tr>
        <w:tc>
          <w:tcPr>
            <w:tcW w:type="dxa" w:w="5083"/>
            <w:vAlign w:val="center"/>
            <w:shd w:fill="F3F6FA"/>
          </w:tcPr>
          <w:p>
            <w:r/>
            <w:r>
              <w:rPr>
                <w:rFonts w:ascii="Aptos" w:hAnsi="Aptos"/>
                <w:b w:val="0"/>
                <w:sz w:val="16"/>
              </w:rPr>
              <w:t>Direct workforce</w:t>
            </w:r>
          </w:p>
        </w:tc>
        <w:tc>
          <w:tcPr>
            <w:tcW w:type="dxa" w:w="5083"/>
            <w:vAlign w:val="center"/>
            <w:shd w:fill="F3F6FA"/>
          </w:tcPr>
          <w:p>
            <w:r/>
            <w:r>
              <w:rPr>
                <w:rFonts w:ascii="Aptos" w:hAnsi="Aptos"/>
                <w:b w:val="0"/>
                <w:sz w:val="16"/>
              </w:rPr>
              <w:t>Use of permitted direct pool and comparative cost</w:t>
            </w:r>
          </w:p>
        </w:tc>
      </w:tr>
      <w:tr>
        <w:tc>
          <w:tcPr>
            <w:tcW w:type="dxa" w:w="5083"/>
            <w:vAlign w:val="center"/>
          </w:tcPr>
          <w:p>
            <w:r/>
            <w:r>
              <w:rPr>
                <w:rFonts w:ascii="Aptos" w:hAnsi="Aptos"/>
                <w:b w:val="0"/>
                <w:sz w:val="16"/>
              </w:rPr>
              <w:t>Experience</w:t>
            </w:r>
          </w:p>
        </w:tc>
        <w:tc>
          <w:tcPr>
            <w:tcW w:type="dxa" w:w="5083"/>
            <w:vAlign w:val="center"/>
          </w:tcPr>
          <w:p>
            <w:r/>
            <w:r>
              <w:rPr>
                <w:rFonts w:ascii="Aptos" w:hAnsi="Aptos"/>
                <w:b w:val="0"/>
                <w:sz w:val="16"/>
              </w:rPr>
              <w:t>Culture/support/orientation/confidence measures</w:t>
            </w:r>
          </w:p>
        </w:tc>
      </w:tr>
      <w:tr>
        <w:tc>
          <w:tcPr>
            <w:tcW w:type="dxa" w:w="5083"/>
            <w:vAlign w:val="center"/>
            <w:shd w:fill="F3F6FA"/>
          </w:tcPr>
          <w:p>
            <w:r/>
            <w:r>
              <w:rPr>
                <w:rFonts w:ascii="Aptos" w:hAnsi="Aptos"/>
                <w:b w:val="0"/>
                <w:sz w:val="16"/>
              </w:rPr>
              <w:t>Retention</w:t>
            </w:r>
          </w:p>
        </w:tc>
        <w:tc>
          <w:tcPr>
            <w:tcW w:type="dxa" w:w="5083"/>
            <w:vAlign w:val="center"/>
            <w:shd w:fill="F3F6FA"/>
          </w:tcPr>
          <w:p>
            <w:r/>
            <w:r>
              <w:rPr>
                <w:rFonts w:ascii="Aptos" w:hAnsi="Aptos"/>
                <w:b w:val="0"/>
                <w:sz w:val="16"/>
              </w:rPr>
              <w:t>Eligible return and repeat shifts by site/region</w:t>
            </w:r>
          </w:p>
        </w:tc>
      </w:tr>
      <w:tr>
        <w:tc>
          <w:tcPr>
            <w:tcW w:type="dxa" w:w="5083"/>
            <w:vAlign w:val="center"/>
          </w:tcPr>
          <w:p>
            <w:r/>
            <w:r>
              <w:rPr>
                <w:rFonts w:ascii="Aptos" w:hAnsi="Aptos"/>
                <w:b w:val="0"/>
                <w:sz w:val="16"/>
              </w:rPr>
              <w:t>Administration</w:t>
            </w:r>
          </w:p>
        </w:tc>
        <w:tc>
          <w:tcPr>
            <w:tcW w:type="dxa" w:w="5083"/>
            <w:vAlign w:val="center"/>
          </w:tcPr>
          <w:p>
            <w:r/>
            <w:r>
              <w:rPr>
                <w:rFonts w:ascii="Aptos" w:hAnsi="Aptos"/>
                <w:b w:val="0"/>
                <w:sz w:val="16"/>
              </w:rPr>
              <w:t>Staff time and manual contacts</w:t>
            </w:r>
          </w:p>
        </w:tc>
      </w:tr>
      <w:tr>
        <w:tc>
          <w:tcPr>
            <w:tcW w:type="dxa" w:w="5083"/>
            <w:vAlign w:val="center"/>
            <w:shd w:fill="F3F6FA"/>
          </w:tcPr>
          <w:p>
            <w:r/>
            <w:r>
              <w:rPr>
                <w:rFonts w:ascii="Aptos" w:hAnsi="Aptos"/>
                <w:b w:val="0"/>
                <w:sz w:val="16"/>
              </w:rPr>
              <w:t>Safety/governance</w:t>
            </w:r>
          </w:p>
        </w:tc>
        <w:tc>
          <w:tcPr>
            <w:tcW w:type="dxa" w:w="5083"/>
            <w:vAlign w:val="center"/>
            <w:shd w:fill="F3F6FA"/>
          </w:tcPr>
          <w:p>
            <w:r/>
            <w:r>
              <w:rPr>
                <w:rFonts w:ascii="Aptos" w:hAnsi="Aptos"/>
                <w:b w:val="0"/>
                <w:sz w:val="16"/>
              </w:rPr>
              <w:t>Scope errors, overrides, credential incidents and audit compliance</w:t>
            </w:r>
          </w:p>
        </w:tc>
      </w:tr>
      <w:tr>
        <w:tc>
          <w:tcPr>
            <w:tcW w:type="dxa" w:w="5083"/>
            <w:vAlign w:val="center"/>
          </w:tcPr>
          <w:p>
            <w:r/>
            <w:r>
              <w:rPr>
                <w:rFonts w:ascii="Aptos" w:hAnsi="Aptos"/>
                <w:b w:val="0"/>
                <w:sz w:val="16"/>
              </w:rPr>
              <w:t>Equity</w:t>
            </w:r>
          </w:p>
        </w:tc>
        <w:tc>
          <w:tcPr>
            <w:tcW w:type="dxa" w:w="5083"/>
            <w:vAlign w:val="center"/>
          </w:tcPr>
          <w:p>
            <w:r/>
            <w:r>
              <w:rPr>
                <w:rFonts w:ascii="Aptos" w:hAnsi="Aptos"/>
                <w:b w:val="0"/>
                <w:sz w:val="16"/>
              </w:rPr>
              <w:t>Metropolitan/rural access to workforce and differential fill performance</w:t>
            </w:r>
          </w:p>
        </w:tc>
      </w:tr>
      <w:tr>
        <w:tc>
          <w:tcPr>
            <w:tcW w:type="dxa" w:w="5083"/>
            <w:vAlign w:val="center"/>
            <w:shd w:fill="F3F6FA"/>
          </w:tcPr>
          <w:p>
            <w:r/>
            <w:r>
              <w:rPr>
                <w:rFonts w:ascii="Aptos" w:hAnsi="Aptos"/>
                <w:b w:val="0"/>
                <w:sz w:val="16"/>
              </w:rPr>
              <w:t>Financial</w:t>
            </w:r>
          </w:p>
        </w:tc>
        <w:tc>
          <w:tcPr>
            <w:tcW w:type="dxa" w:w="5083"/>
            <w:vAlign w:val="center"/>
            <w:shd w:fill="F3F6FA"/>
          </w:tcPr>
          <w:p>
            <w:r/>
            <w:r>
              <w:rPr>
                <w:rFonts w:ascii="Aptos" w:hAnsi="Aptos"/>
                <w:b w:val="0"/>
                <w:sz w:val="16"/>
              </w:rPr>
              <w:t>Cash-releasing savings, cost avoidance and productivity separately reported</w:t>
            </w:r>
          </w:p>
        </w:tc>
      </w:tr>
    </w:tbl>
    <w:p/>
    <w:p>
      <w:pPr>
        <w:pStyle w:val="Heading1"/>
      </w:pPr>
      <w:r>
        <w:t>22. Statewide stage gates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Gate</w:t>
            </w:r>
          </w:p>
        </w:tc>
        <w:tc>
          <w:tcPr>
            <w:tcW w:type="dxa" w:w="5083"/>
            <w:vAlign w:val="center"/>
            <w:shd w:fill="17365D"/>
          </w:tcPr>
          <w:p>
            <w:r/>
            <w:r>
              <w:rPr>
                <w:rFonts w:ascii="Aptos" w:hAnsi="Aptos"/>
                <w:b/>
                <w:color w:val="FFFFFF"/>
                <w:sz w:val="16"/>
              </w:rPr>
              <w:t>Evidence required</w:t>
            </w:r>
          </w:p>
        </w:tc>
      </w:tr>
      <w:tr>
        <w:tc>
          <w:tcPr>
            <w:tcW w:type="dxa" w:w="5083"/>
            <w:vAlign w:val="center"/>
          </w:tcPr>
          <w:p>
            <w:r/>
            <w:r>
              <w:rPr>
                <w:rFonts w:ascii="Aptos" w:hAnsi="Aptos"/>
                <w:b w:val="0"/>
                <w:sz w:val="16"/>
              </w:rPr>
              <w:t>YNLHN → state design</w:t>
            </w:r>
          </w:p>
        </w:tc>
        <w:tc>
          <w:tcPr>
            <w:tcW w:type="dxa" w:w="5083"/>
            <w:vAlign w:val="center"/>
          </w:tcPr>
          <w:p>
            <w:r/>
            <w:r>
              <w:rPr>
                <w:rFonts w:ascii="Aptos" w:hAnsi="Aptos"/>
                <w:b w:val="0"/>
                <w:sz w:val="16"/>
              </w:rPr>
              <w:t>Pilot adoption, trust and operational data are credible; no unresolved high risks</w:t>
            </w:r>
          </w:p>
        </w:tc>
      </w:tr>
      <w:tr>
        <w:tc>
          <w:tcPr>
            <w:tcW w:type="dxa" w:w="5083"/>
            <w:vAlign w:val="center"/>
            <w:shd w:fill="F3F6FA"/>
          </w:tcPr>
          <w:p>
            <w:r/>
            <w:r>
              <w:rPr>
                <w:rFonts w:ascii="Aptos" w:hAnsi="Aptos"/>
                <w:b w:val="0"/>
                <w:sz w:val="16"/>
              </w:rPr>
              <w:t>State design → second LHN</w:t>
            </w:r>
          </w:p>
        </w:tc>
        <w:tc>
          <w:tcPr>
            <w:tcW w:type="dxa" w:w="5083"/>
            <w:vAlign w:val="center"/>
            <w:shd w:fill="F3F6FA"/>
          </w:tcPr>
          <w:p>
            <w:r/>
            <w:r>
              <w:rPr>
                <w:rFonts w:ascii="Aptos" w:hAnsi="Aptos"/>
                <w:b w:val="0"/>
                <w:sz w:val="16"/>
              </w:rPr>
              <w:t>Common ontology/trust framework, privacy sharing and receiving-LHN governance approved</w:t>
            </w:r>
          </w:p>
        </w:tc>
      </w:tr>
      <w:tr>
        <w:tc>
          <w:tcPr>
            <w:tcW w:type="dxa" w:w="5083"/>
            <w:vAlign w:val="center"/>
          </w:tcPr>
          <w:p>
            <w:r/>
            <w:r>
              <w:rPr>
                <w:rFonts w:ascii="Aptos" w:hAnsi="Aptos"/>
                <w:b w:val="0"/>
                <w:sz w:val="16"/>
              </w:rPr>
              <w:t>Second LHN → multi-LHN</w:t>
            </w:r>
          </w:p>
        </w:tc>
        <w:tc>
          <w:tcPr>
            <w:tcW w:type="dxa" w:w="5083"/>
            <w:vAlign w:val="center"/>
          </w:tcPr>
          <w:p>
            <w:r/>
            <w:r>
              <w:rPr>
                <w:rFonts w:ascii="Aptos" w:hAnsi="Aptos"/>
                <w:b w:val="0"/>
                <w:sz w:val="16"/>
              </w:rPr>
              <w:t>Material reduction in duplication without loss of scope governance</w:t>
            </w:r>
          </w:p>
        </w:tc>
      </w:tr>
      <w:tr>
        <w:tc>
          <w:tcPr>
            <w:tcW w:type="dxa" w:w="5083"/>
            <w:vAlign w:val="center"/>
            <w:shd w:fill="F3F6FA"/>
          </w:tcPr>
          <w:p>
            <w:r/>
            <w:r>
              <w:rPr>
                <w:rFonts w:ascii="Aptos" w:hAnsi="Aptos"/>
                <w:b w:val="0"/>
                <w:sz w:val="16"/>
              </w:rPr>
              <w:t>Multi-LHN → statewide Exchange</w:t>
            </w:r>
          </w:p>
        </w:tc>
        <w:tc>
          <w:tcPr>
            <w:tcW w:type="dxa" w:w="5083"/>
            <w:vAlign w:val="center"/>
            <w:shd w:fill="F3F6FA"/>
          </w:tcPr>
          <w:p>
            <w:r/>
            <w:r>
              <w:rPr>
                <w:rFonts w:ascii="Aptos" w:hAnsi="Aptos"/>
                <w:b w:val="0"/>
                <w:sz w:val="16"/>
              </w:rPr>
              <w:t>Procurement, identity, support, analytics and operational model proven</w:t>
            </w:r>
          </w:p>
        </w:tc>
      </w:tr>
      <w:tr>
        <w:tc>
          <w:tcPr>
            <w:tcW w:type="dxa" w:w="5083"/>
            <w:vAlign w:val="center"/>
          </w:tcPr>
          <w:p>
            <w:r/>
            <w:r>
              <w:rPr>
                <w:rFonts w:ascii="Aptos" w:hAnsi="Aptos"/>
                <w:b w:val="0"/>
                <w:sz w:val="16"/>
              </w:rPr>
              <w:t>Statewide → national proposition</w:t>
            </w:r>
          </w:p>
        </w:tc>
        <w:tc>
          <w:tcPr>
            <w:tcW w:type="dxa" w:w="5083"/>
            <w:vAlign w:val="center"/>
          </w:tcPr>
          <w:p>
            <w:r/>
            <w:r>
              <w:rPr>
                <w:rFonts w:ascii="Aptos" w:hAnsi="Aptos"/>
                <w:b w:val="0"/>
                <w:sz w:val="16"/>
              </w:rPr>
              <w:t>Statewide benefits demonstrated; architecture aligned with national services and jurisdictions</w:t>
            </w:r>
          </w:p>
        </w:tc>
      </w:tr>
    </w:tbl>
    <w:p/>
    <w:p>
      <w:pPr>
        <w:pStyle w:val="Heading1"/>
      </w:pPr>
      <w:r>
        <w:t>23. Key risks and controls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Risk</w:t>
            </w:r>
          </w:p>
        </w:tc>
        <w:tc>
          <w:tcPr>
            <w:tcW w:type="dxa" w:w="5083"/>
            <w:vAlign w:val="center"/>
            <w:shd w:fill="17365D"/>
          </w:tcPr>
          <w:p>
            <w:r/>
            <w:r>
              <w:rPr>
                <w:rFonts w:ascii="Aptos" w:hAnsi="Aptos"/>
                <w:b/>
                <w:color w:val="FFFFFF"/>
                <w:sz w:val="16"/>
              </w:rPr>
              <w:t>Control</w:t>
            </w:r>
          </w:p>
        </w:tc>
      </w:tr>
      <w:tr>
        <w:tc>
          <w:tcPr>
            <w:tcW w:type="dxa" w:w="5083"/>
            <w:vAlign w:val="center"/>
          </w:tcPr>
          <w:p>
            <w:r/>
            <w:r>
              <w:rPr>
                <w:rFonts w:ascii="Aptos" w:hAnsi="Aptos"/>
                <w:b w:val="0"/>
                <w:sz w:val="16"/>
              </w:rPr>
              <w:t>State standardisation is perceived as removing LHN authority</w:t>
            </w:r>
          </w:p>
        </w:tc>
        <w:tc>
          <w:tcPr>
            <w:tcW w:type="dxa" w:w="5083"/>
            <w:vAlign w:val="center"/>
          </w:tcPr>
          <w:p>
            <w:r/>
            <w:r>
              <w:rPr>
                <w:rFonts w:ascii="Aptos" w:hAnsi="Aptos"/>
                <w:b w:val="0"/>
                <w:sz w:val="16"/>
              </w:rPr>
              <w:t>Explicitly retain LHN scope decision rights and local overlays</w:t>
            </w:r>
          </w:p>
        </w:tc>
      </w:tr>
      <w:tr>
        <w:tc>
          <w:tcPr>
            <w:tcW w:type="dxa" w:w="5083"/>
            <w:vAlign w:val="center"/>
            <w:shd w:fill="F3F6FA"/>
          </w:tcPr>
          <w:p>
            <w:r/>
            <w:r>
              <w:rPr>
                <w:rFonts w:ascii="Aptos" w:hAnsi="Aptos"/>
                <w:b w:val="0"/>
                <w:sz w:val="16"/>
              </w:rPr>
              <w:t>Different LHN credential rules cannot be reconciled</w:t>
            </w:r>
          </w:p>
        </w:tc>
        <w:tc>
          <w:tcPr>
            <w:tcW w:type="dxa" w:w="5083"/>
            <w:vAlign w:val="center"/>
            <w:shd w:fill="F3F6FA"/>
          </w:tcPr>
          <w:p>
            <w:r/>
            <w:r>
              <w:rPr>
                <w:rFonts w:ascii="Aptos" w:hAnsi="Aptos"/>
                <w:b w:val="0"/>
                <w:sz w:val="16"/>
              </w:rPr>
              <w:t>Common core plus organisation-specific requirements; do not force false uniformity</w:t>
            </w:r>
          </w:p>
        </w:tc>
      </w:tr>
      <w:tr>
        <w:tc>
          <w:tcPr>
            <w:tcW w:type="dxa" w:w="5083"/>
            <w:vAlign w:val="center"/>
          </w:tcPr>
          <w:p>
            <w:r/>
            <w:r>
              <w:rPr>
                <w:rFonts w:ascii="Aptos" w:hAnsi="Aptos"/>
                <w:b w:val="0"/>
                <w:sz w:val="16"/>
              </w:rPr>
              <w:t>Credential verification is trusted inconsistently</w:t>
            </w:r>
          </w:p>
        </w:tc>
        <w:tc>
          <w:tcPr>
            <w:tcW w:type="dxa" w:w="5083"/>
            <w:vAlign w:val="center"/>
          </w:tcPr>
          <w:p>
            <w:r/>
            <w:r>
              <w:rPr>
                <w:rFonts w:ascii="Aptos" w:hAnsi="Aptos"/>
                <w:b w:val="0"/>
                <w:sz w:val="16"/>
              </w:rPr>
              <w:t>Formal assurance/trust framework and provenance</w:t>
            </w:r>
          </w:p>
        </w:tc>
      </w:tr>
      <w:tr>
        <w:tc>
          <w:tcPr>
            <w:tcW w:type="dxa" w:w="5083"/>
            <w:vAlign w:val="center"/>
            <w:shd w:fill="F3F6FA"/>
          </w:tcPr>
          <w:p>
            <w:r/>
            <w:r>
              <w:rPr>
                <w:rFonts w:ascii="Aptos" w:hAnsi="Aptos"/>
                <w:b w:val="0"/>
                <w:sz w:val="16"/>
              </w:rPr>
              <w:t>Panel procurement is bypassed</w:t>
            </w:r>
          </w:p>
        </w:tc>
        <w:tc>
          <w:tcPr>
            <w:tcW w:type="dxa" w:w="5083"/>
            <w:vAlign w:val="center"/>
            <w:shd w:fill="F3F6FA"/>
          </w:tcPr>
          <w:p>
            <w:r/>
            <w:r>
              <w:rPr>
                <w:rFonts w:ascii="Aptos" w:hAnsi="Aptos"/>
                <w:b w:val="0"/>
                <w:sz w:val="16"/>
              </w:rPr>
              <w:t>Policy-driven sourcing engine and audited exemptions</w:t>
            </w:r>
          </w:p>
        </w:tc>
      </w:tr>
      <w:tr>
        <w:tc>
          <w:tcPr>
            <w:tcW w:type="dxa" w:w="5083"/>
            <w:vAlign w:val="center"/>
          </w:tcPr>
          <w:p>
            <w:r/>
            <w:r>
              <w:rPr>
                <w:rFonts w:ascii="Aptos" w:hAnsi="Aptos"/>
                <w:b w:val="0"/>
                <w:sz w:val="16"/>
              </w:rPr>
              <w:t>Vendor lock-in</w:t>
            </w:r>
          </w:p>
        </w:tc>
        <w:tc>
          <w:tcPr>
            <w:tcW w:type="dxa" w:w="5083"/>
            <w:vAlign w:val="center"/>
          </w:tcPr>
          <w:p>
            <w:r/>
            <w:r>
              <w:rPr>
                <w:rFonts w:ascii="Aptos" w:hAnsi="Aptos"/>
                <w:b w:val="0"/>
                <w:sz w:val="16"/>
              </w:rPr>
              <w:t>Open APIs, data portability and SA Health-owned semantics</w:t>
            </w:r>
          </w:p>
        </w:tc>
      </w:tr>
      <w:tr>
        <w:tc>
          <w:tcPr>
            <w:tcW w:type="dxa" w:w="5083"/>
            <w:vAlign w:val="center"/>
            <w:shd w:fill="F3F6FA"/>
          </w:tcPr>
          <w:p>
            <w:r/>
            <w:r>
              <w:rPr>
                <w:rFonts w:ascii="Aptos" w:hAnsi="Aptos"/>
                <w:b w:val="0"/>
                <w:sz w:val="16"/>
              </w:rPr>
              <w:t>Doctors do not maintain passports</w:t>
            </w:r>
          </w:p>
        </w:tc>
        <w:tc>
          <w:tcPr>
            <w:tcW w:type="dxa" w:w="5083"/>
            <w:vAlign w:val="center"/>
            <w:shd w:fill="F3F6FA"/>
          </w:tcPr>
          <w:p>
            <w:r/>
            <w:r>
              <w:rPr>
                <w:rFonts w:ascii="Aptos" w:hAnsi="Aptos"/>
                <w:b w:val="0"/>
                <w:sz w:val="16"/>
              </w:rPr>
              <w:t>Free utility, external sharing and low-friction updates</w:t>
            </w:r>
          </w:p>
        </w:tc>
      </w:tr>
      <w:tr>
        <w:tc>
          <w:tcPr>
            <w:tcW w:type="dxa" w:w="5083"/>
            <w:vAlign w:val="center"/>
          </w:tcPr>
          <w:p>
            <w:r/>
            <w:r>
              <w:rPr>
                <w:rFonts w:ascii="Aptos" w:hAnsi="Aptos"/>
                <w:b w:val="0"/>
                <w:sz w:val="16"/>
              </w:rPr>
              <w:t>Feedback harms small-site trust</w:t>
            </w:r>
          </w:p>
        </w:tc>
        <w:tc>
          <w:tcPr>
            <w:tcW w:type="dxa" w:w="5083"/>
            <w:vAlign w:val="center"/>
          </w:tcPr>
          <w:p>
            <w:r/>
            <w:r>
              <w:rPr>
                <w:rFonts w:ascii="Aptos" w:hAnsi="Aptos"/>
                <w:b w:val="0"/>
                <w:sz w:val="16"/>
              </w:rPr>
              <w:t>Anonymity thresholds and improvement framing</w:t>
            </w:r>
          </w:p>
        </w:tc>
      </w:tr>
      <w:tr>
        <w:tc>
          <w:tcPr>
            <w:tcW w:type="dxa" w:w="5083"/>
            <w:vAlign w:val="center"/>
            <w:shd w:fill="F3F6FA"/>
          </w:tcPr>
          <w:p>
            <w:r/>
            <w:r>
              <w:rPr>
                <w:rFonts w:ascii="Aptos" w:hAnsi="Aptos"/>
                <w:b w:val="0"/>
                <w:sz w:val="16"/>
              </w:rPr>
              <w:t>Statewide analytics expose commercial information</w:t>
            </w:r>
          </w:p>
        </w:tc>
        <w:tc>
          <w:tcPr>
            <w:tcW w:type="dxa" w:w="5083"/>
            <w:vAlign w:val="center"/>
            <w:shd w:fill="F3F6FA"/>
          </w:tcPr>
          <w:p>
            <w:r/>
            <w:r>
              <w:rPr>
                <w:rFonts w:ascii="Aptos" w:hAnsi="Aptos"/>
                <w:b w:val="0"/>
                <w:sz w:val="16"/>
              </w:rPr>
              <w:t>Role-based access and aggregation</w:t>
            </w:r>
          </w:p>
        </w:tc>
      </w:tr>
      <w:tr>
        <w:tc>
          <w:tcPr>
            <w:tcW w:type="dxa" w:w="5083"/>
            <w:vAlign w:val="center"/>
          </w:tcPr>
          <w:p>
            <w:r/>
            <w:r>
              <w:rPr>
                <w:rFonts w:ascii="Aptos" w:hAnsi="Aptos"/>
                <w:b w:val="0"/>
                <w:sz w:val="16"/>
              </w:rPr>
              <w:t>Implementation becomes a major replacement programme</w:t>
            </w:r>
          </w:p>
        </w:tc>
        <w:tc>
          <w:tcPr>
            <w:tcW w:type="dxa" w:w="5083"/>
            <w:vAlign w:val="center"/>
          </w:tcPr>
          <w:p>
            <w:r/>
            <w:r>
              <w:rPr>
                <w:rFonts w:ascii="Aptos" w:hAnsi="Aptos"/>
                <w:b w:val="0"/>
                <w:sz w:val="16"/>
              </w:rPr>
              <w:t>Progressive integration and stage gates</w:t>
            </w:r>
          </w:p>
        </w:tc>
      </w:tr>
      <w:tr>
        <w:tc>
          <w:tcPr>
            <w:tcW w:type="dxa" w:w="5083"/>
            <w:vAlign w:val="center"/>
            <w:shd w:fill="F3F6FA"/>
          </w:tcPr>
          <w:p>
            <w:r/>
            <w:r>
              <w:rPr>
                <w:rFonts w:ascii="Aptos" w:hAnsi="Aptos"/>
                <w:b w:val="0"/>
                <w:sz w:val="16"/>
              </w:rPr>
              <w:t>National services evolve during build</w:t>
            </w:r>
          </w:p>
        </w:tc>
        <w:tc>
          <w:tcPr>
            <w:tcW w:type="dxa" w:w="5083"/>
            <w:vAlign w:val="center"/>
            <w:shd w:fill="F3F6FA"/>
          </w:tcPr>
          <w:p>
            <w:r/>
            <w:r>
              <w:rPr>
                <w:rFonts w:ascii="Aptos" w:hAnsi="Aptos"/>
                <w:b w:val="0"/>
                <w:sz w:val="16"/>
              </w:rPr>
              <w:t>Standards-based architecture and formal ADHA engagement</w:t>
            </w:r>
          </w:p>
        </w:tc>
      </w:tr>
    </w:tbl>
    <w:p/>
    <w:p>
      <w:pPr>
        <w:pStyle w:val="Heading1"/>
      </w:pPr>
      <w:r>
        <w:t>24. Equity and rural workforce considerations</w:t>
      </w:r>
    </w:p>
    <w:p>
      <w:r>
        <w:t>A statewide platform should be explicitly evaluated for whether it improves access to workforce for rural and remote services rather than simply making metropolitan opportunities easier to find. Matching and reporting should therefore monitor geographic distribution of vacancies, response, fill, rates, travel burden and return.</w:t>
      </w:r>
    </w:p>
    <w:p>
      <w:pPr>
        <w:pStyle w:val="ListBullet"/>
      </w:pPr>
      <w:r>
        <w:t>Allow doctors to nominate rural regions, maximum travel and block preferences.</w:t>
      </w:r>
    </w:p>
    <w:p>
      <w:pPr>
        <w:pStyle w:val="ListBullet"/>
      </w:pPr>
      <w:r>
        <w:t>Make accommodation, travel and local orientation transparent before acceptance.</w:t>
      </w:r>
    </w:p>
    <w:p>
      <w:pPr>
        <w:pStyle w:val="ListBullet"/>
      </w:pPr>
      <w:r>
        <w:t>Measure whether rural vacancies receive earlier/more responses after implementation.</w:t>
      </w:r>
    </w:p>
    <w:p>
      <w:pPr>
        <w:pStyle w:val="ListBullet"/>
      </w:pPr>
      <w:r>
        <w:t>Use experience feedback to identify modifiable barriers to rural return.</w:t>
      </w:r>
    </w:p>
    <w:p>
      <w:pPr>
        <w:pStyle w:val="ListBullet"/>
      </w:pPr>
      <w:r>
        <w:t>Avoid opaque ranking algorithms that systematically favour high-volume metropolitan sites.</w:t>
      </w:r>
    </w:p>
    <w:p>
      <w:pPr>
        <w:pStyle w:val="ListBullet"/>
      </w:pPr>
      <w:r>
        <w:t>Support targeted workforce initiatives without exposing private doctor reservation prices.</w:t>
      </w:r>
    </w:p>
    <w:p>
      <w:pPr>
        <w:pStyle w:val="Heading1"/>
      </w:pPr>
      <w:r>
        <w:t>25. Benefits realisation roadmap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Horizon</w:t>
            </w:r>
          </w:p>
        </w:tc>
        <w:tc>
          <w:tcPr>
            <w:tcW w:type="dxa" w:w="5083"/>
            <w:vAlign w:val="center"/>
            <w:shd w:fill="17365D"/>
          </w:tcPr>
          <w:p>
            <w:r/>
            <w:r>
              <w:rPr>
                <w:rFonts w:ascii="Aptos" w:hAnsi="Aptos"/>
                <w:b/>
                <w:color w:val="FFFFFF"/>
                <w:sz w:val="16"/>
              </w:rPr>
              <w:t>Primary benefit</w:t>
            </w:r>
          </w:p>
        </w:tc>
      </w:tr>
      <w:tr>
        <w:tc>
          <w:tcPr>
            <w:tcW w:type="dxa" w:w="5083"/>
            <w:vAlign w:val="center"/>
          </w:tcPr>
          <w:p>
            <w:r/>
            <w:r>
              <w:rPr>
                <w:rFonts w:ascii="Aptos" w:hAnsi="Aptos"/>
                <w:b w:val="0"/>
                <w:sz w:val="16"/>
              </w:rPr>
              <w:t>Year 1</w:t>
            </w:r>
          </w:p>
        </w:tc>
        <w:tc>
          <w:tcPr>
            <w:tcW w:type="dxa" w:w="5083"/>
            <w:vAlign w:val="center"/>
          </w:tcPr>
          <w:p>
            <w:r/>
            <w:r>
              <w:rPr>
                <w:rFonts w:ascii="Aptos" w:hAnsi="Aptos"/>
                <w:b w:val="0"/>
                <w:sz w:val="16"/>
              </w:rPr>
              <w:t>Doctor credential utility, YNLHN workflow data, experience baseline and procurement visibility</w:t>
            </w:r>
          </w:p>
        </w:tc>
      </w:tr>
      <w:tr>
        <w:tc>
          <w:tcPr>
            <w:tcW w:type="dxa" w:w="5083"/>
            <w:vAlign w:val="center"/>
            <w:shd w:fill="F3F6FA"/>
          </w:tcPr>
          <w:p>
            <w:r/>
            <w:r>
              <w:rPr>
                <w:rFonts w:ascii="Aptos" w:hAnsi="Aptos"/>
                <w:b w:val="0"/>
                <w:sz w:val="16"/>
              </w:rPr>
              <w:t>Year 2</w:t>
            </w:r>
          </w:p>
        </w:tc>
        <w:tc>
          <w:tcPr>
            <w:tcW w:type="dxa" w:w="5083"/>
            <w:vAlign w:val="center"/>
            <w:shd w:fill="F3F6FA"/>
          </w:tcPr>
          <w:p>
            <w:r/>
            <w:r>
              <w:rPr>
                <w:rFonts w:ascii="Aptos" w:hAnsi="Aptos"/>
                <w:b w:val="0"/>
                <w:sz w:val="16"/>
              </w:rPr>
              <w:t>Cross-LHN credential reuse and reduced duplicate administration</w:t>
            </w:r>
          </w:p>
        </w:tc>
      </w:tr>
      <w:tr>
        <w:tc>
          <w:tcPr>
            <w:tcW w:type="dxa" w:w="5083"/>
            <w:vAlign w:val="center"/>
          </w:tcPr>
          <w:p>
            <w:r/>
            <w:r>
              <w:rPr>
                <w:rFonts w:ascii="Aptos" w:hAnsi="Aptos"/>
                <w:b w:val="0"/>
                <w:sz w:val="16"/>
              </w:rPr>
              <w:t>Year 3</w:t>
            </w:r>
          </w:p>
        </w:tc>
        <w:tc>
          <w:tcPr>
            <w:tcW w:type="dxa" w:w="5083"/>
            <w:vAlign w:val="center"/>
          </w:tcPr>
          <w:p>
            <w:r/>
            <w:r>
              <w:rPr>
                <w:rFonts w:ascii="Aptos" w:hAnsi="Aptos"/>
                <w:b w:val="0"/>
                <w:sz w:val="16"/>
              </w:rPr>
              <w:t>Statewide vacancy reach, agency performance intelligence and improved mobility</w:t>
            </w:r>
          </w:p>
        </w:tc>
      </w:tr>
      <w:tr>
        <w:tc>
          <w:tcPr>
            <w:tcW w:type="dxa" w:w="5083"/>
            <w:vAlign w:val="center"/>
            <w:shd w:fill="F3F6FA"/>
          </w:tcPr>
          <w:p>
            <w:r/>
            <w:r>
              <w:rPr>
                <w:rFonts w:ascii="Aptos" w:hAnsi="Aptos"/>
                <w:b w:val="0"/>
                <w:sz w:val="16"/>
              </w:rPr>
              <w:t>Year 4+</w:t>
            </w:r>
          </w:p>
        </w:tc>
        <w:tc>
          <w:tcPr>
            <w:tcW w:type="dxa" w:w="5083"/>
            <w:vAlign w:val="center"/>
            <w:shd w:fill="F3F6FA"/>
          </w:tcPr>
          <w:p>
            <w:r/>
            <w:r>
              <w:rPr>
                <w:rFonts w:ascii="Aptos" w:hAnsi="Aptos"/>
                <w:b w:val="0"/>
                <w:sz w:val="16"/>
              </w:rPr>
              <w:t>Mature workforce planning, digital credential interoperability and national partnership</w:t>
            </w:r>
          </w:p>
        </w:tc>
      </w:tr>
    </w:tbl>
    <w:p/>
    <w:p>
      <w:pPr>
        <w:pStyle w:val="Heading1"/>
      </w:pPr>
      <w:r>
        <w:t>26. Indicative investment categories</w:t>
      </w:r>
    </w:p>
    <w:p>
      <w:r>
        <w:t>A costed statewide investment should be prepared after pilot evidence. Categories will include:</w:t>
      </w:r>
    </w:p>
    <w:p>
      <w:pPr>
        <w:pStyle w:val="ListBullet"/>
      </w:pPr>
      <w:r>
        <w:t>Product/platform licence or engineering</w:t>
      </w:r>
    </w:p>
    <w:p>
      <w:pPr>
        <w:pStyle w:val="ListBullet"/>
      </w:pPr>
      <w:r>
        <w:t>Identity and integration</w:t>
      </w:r>
    </w:p>
    <w:p>
      <w:pPr>
        <w:pStyle w:val="ListBullet"/>
      </w:pPr>
      <w:r>
        <w:t>Credential data migration and cleansing</w:t>
      </w:r>
    </w:p>
    <w:p>
      <w:pPr>
        <w:pStyle w:val="ListBullet"/>
      </w:pPr>
      <w:r>
        <w:t>Cyber, privacy and assurance</w:t>
      </w:r>
    </w:p>
    <w:p>
      <w:pPr>
        <w:pStyle w:val="ListBullet"/>
      </w:pPr>
      <w:r>
        <w:t>Statewide programme/product team</w:t>
      </w:r>
    </w:p>
    <w:p>
      <w:pPr>
        <w:pStyle w:val="ListBullet"/>
      </w:pPr>
      <w:r>
        <w:t>LHN implementation and change support</w:t>
      </w:r>
    </w:p>
    <w:p>
      <w:pPr>
        <w:pStyle w:val="ListBullet"/>
      </w:pPr>
      <w:r>
        <w:t>Agency integration/onboarding</w:t>
      </w:r>
    </w:p>
    <w:p>
      <w:pPr>
        <w:pStyle w:val="ListBullet"/>
      </w:pPr>
      <w:r>
        <w:t>Analytics/data platform</w:t>
      </w:r>
    </w:p>
    <w:p>
      <w:pPr>
        <w:pStyle w:val="ListBullet"/>
      </w:pPr>
      <w:r>
        <w:t>Training and communications</w:t>
      </w:r>
    </w:p>
    <w:p>
      <w:pPr>
        <w:pStyle w:val="ListBullet"/>
      </w:pPr>
      <w:r>
        <w:t>Operational support and service management</w:t>
      </w:r>
    </w:p>
    <w:p>
      <w:pPr>
        <w:pStyle w:val="ListBullet"/>
      </w:pPr>
      <w:r>
        <w:t>Independent evaluation</w:t>
      </w:r>
    </w:p>
    <w:p>
      <w:pPr>
        <w:pStyle w:val="Heading1"/>
      </w:pPr>
      <w:r>
        <w:t>27. What SA Health should own</w:t>
      </w:r>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0"/>
              </w:rPr>
              <w:t>The durable asset is not the app interface. It is the statewide trust, data and rules model.</w:t>
            </w:r>
          </w:p>
        </w:tc>
      </w:tr>
    </w:tbl>
    <w:p/>
    <w:p>
      <w:pPr>
        <w:pStyle w:val="ListBullet"/>
      </w:pPr>
      <w:r>
        <w:t>Credential taxonomy and assurance definitions</w:t>
      </w:r>
    </w:p>
    <w:p>
      <w:pPr>
        <w:pStyle w:val="ListBullet"/>
      </w:pPr>
      <w:r>
        <w:t>Organisation/role/scope data semantics</w:t>
      </w:r>
    </w:p>
    <w:p>
      <w:pPr>
        <w:pStyle w:val="ListBullet"/>
      </w:pPr>
      <w:r>
        <w:t>Statewide verification trust framework</w:t>
      </w:r>
    </w:p>
    <w:p>
      <w:pPr>
        <w:pStyle w:val="ListBullet"/>
      </w:pPr>
      <w:r>
        <w:t>Procurement/sourcing policy configuration</w:t>
      </w:r>
    </w:p>
    <w:p>
      <w:pPr>
        <w:pStyle w:val="ListBullet"/>
      </w:pPr>
      <w:r>
        <w:t>Data access and governance rules</w:t>
      </w:r>
    </w:p>
    <w:p>
      <w:pPr>
        <w:pStyle w:val="ListBullet"/>
      </w:pPr>
      <w:r>
        <w:t>Core statewide workforce dataset and data portability rights</w:t>
      </w:r>
    </w:p>
    <w:p>
      <w:pPr>
        <w:pStyle w:val="ListBullet"/>
      </w:pPr>
      <w:r>
        <w:t>Evaluation framework and benefits definitions</w:t>
      </w:r>
    </w:p>
    <w:p>
      <w:pPr>
        <w:pStyle w:val="ListBullet"/>
      </w:pPr>
      <w:r>
        <w:t>Interoperability requirements and national alignment</w:t>
      </w:r>
    </w:p>
    <w:p>
      <w:pPr>
        <w:pStyle w:val="Heading1"/>
      </w:pPr>
      <w:r>
        <w:t>28. Relationship with national infrastructure</w:t>
      </w:r>
    </w:p>
    <w:p>
      <w:r>
        <w:t>The proposed SA platform should be positioned as a workforce and credential interoperability use case that can consume and contribute to national provider infrastructure. The Australian Digital Health Agency's current direction includes national provider identifiers, Provider Connect Australia and Health Connect Australia provider-directory capabilities. South Australia should seek to avoid duplicating authoritative provider identity and service-directory functions while demonstrating the additional data required for credential assurance, organisational scope and workforce mobilisation.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National capability</w:t>
            </w:r>
          </w:p>
        </w:tc>
        <w:tc>
          <w:tcPr>
            <w:tcW w:type="dxa" w:w="5083"/>
            <w:vAlign w:val="center"/>
            <w:shd w:fill="17365D"/>
          </w:tcPr>
          <w:p>
            <w:r/>
            <w:r>
              <w:rPr>
                <w:rFonts w:ascii="Aptos" w:hAnsi="Aptos"/>
                <w:b/>
                <w:color w:val="FFFFFF"/>
                <w:sz w:val="16"/>
              </w:rPr>
              <w:t>Potential SA relationship</w:t>
            </w:r>
          </w:p>
        </w:tc>
      </w:tr>
      <w:tr>
        <w:tc>
          <w:tcPr>
            <w:tcW w:type="dxa" w:w="5083"/>
            <w:vAlign w:val="center"/>
          </w:tcPr>
          <w:p>
            <w:r/>
            <w:r>
              <w:rPr>
                <w:rFonts w:ascii="Aptos" w:hAnsi="Aptos"/>
                <w:b w:val="0"/>
                <w:sz w:val="16"/>
              </w:rPr>
              <w:t>HPI-I/HPI-O</w:t>
            </w:r>
          </w:p>
        </w:tc>
        <w:tc>
          <w:tcPr>
            <w:tcW w:type="dxa" w:w="5083"/>
            <w:vAlign w:val="center"/>
          </w:tcPr>
          <w:p>
            <w:r/>
            <w:r>
              <w:rPr>
                <w:rFonts w:ascii="Aptos" w:hAnsi="Aptos"/>
                <w:b w:val="0"/>
                <w:sz w:val="16"/>
              </w:rPr>
              <w:t>Authoritative practitioner/organisation identifiers where permitted</w:t>
            </w:r>
          </w:p>
        </w:tc>
      </w:tr>
      <w:tr>
        <w:tc>
          <w:tcPr>
            <w:tcW w:type="dxa" w:w="5083"/>
            <w:vAlign w:val="center"/>
            <w:shd w:fill="F3F6FA"/>
          </w:tcPr>
          <w:p>
            <w:r/>
            <w:r>
              <w:rPr>
                <w:rFonts w:ascii="Aptos" w:hAnsi="Aptos"/>
                <w:b w:val="0"/>
                <w:sz w:val="16"/>
              </w:rPr>
              <w:t>Ahpra</w:t>
            </w:r>
          </w:p>
        </w:tc>
        <w:tc>
          <w:tcPr>
            <w:tcW w:type="dxa" w:w="5083"/>
            <w:vAlign w:val="center"/>
            <w:shd w:fill="F3F6FA"/>
          </w:tcPr>
          <w:p>
            <w:r/>
            <w:r>
              <w:rPr>
                <w:rFonts w:ascii="Aptos" w:hAnsi="Aptos"/>
                <w:b w:val="0"/>
                <w:sz w:val="16"/>
              </w:rPr>
              <w:t>Registration status and professional identity validation</w:t>
            </w:r>
          </w:p>
        </w:tc>
      </w:tr>
      <w:tr>
        <w:tc>
          <w:tcPr>
            <w:tcW w:type="dxa" w:w="5083"/>
            <w:vAlign w:val="center"/>
          </w:tcPr>
          <w:p>
            <w:r/>
            <w:r>
              <w:rPr>
                <w:rFonts w:ascii="Aptos" w:hAnsi="Aptos"/>
                <w:b w:val="0"/>
                <w:sz w:val="16"/>
              </w:rPr>
              <w:t>Provider Connect Australia</w:t>
            </w:r>
          </w:p>
        </w:tc>
        <w:tc>
          <w:tcPr>
            <w:tcW w:type="dxa" w:w="5083"/>
            <w:vAlign w:val="center"/>
          </w:tcPr>
          <w:p>
            <w:r/>
            <w:r>
              <w:rPr>
                <w:rFonts w:ascii="Aptos" w:hAnsi="Aptos"/>
                <w:b w:val="0"/>
                <w:sz w:val="16"/>
              </w:rPr>
              <w:t>Provider/organisation/service information sharing and interoperability</w:t>
            </w:r>
          </w:p>
        </w:tc>
      </w:tr>
      <w:tr>
        <w:tc>
          <w:tcPr>
            <w:tcW w:type="dxa" w:w="5083"/>
            <w:vAlign w:val="center"/>
            <w:shd w:fill="F3F6FA"/>
          </w:tcPr>
          <w:p>
            <w:r/>
            <w:r>
              <w:rPr>
                <w:rFonts w:ascii="Aptos" w:hAnsi="Aptos"/>
                <w:b w:val="0"/>
                <w:sz w:val="16"/>
              </w:rPr>
              <w:t>Health Connect Australia Provider Directory</w:t>
            </w:r>
          </w:p>
        </w:tc>
        <w:tc>
          <w:tcPr>
            <w:tcW w:type="dxa" w:w="5083"/>
            <w:vAlign w:val="center"/>
            <w:shd w:fill="F3F6FA"/>
          </w:tcPr>
          <w:p>
            <w:r/>
            <w:r>
              <w:rPr>
                <w:rFonts w:ascii="Aptos" w:hAnsi="Aptos"/>
                <w:b w:val="0"/>
                <w:sz w:val="16"/>
              </w:rPr>
              <w:t>National provider discovery and trusted directory layer</w:t>
            </w:r>
          </w:p>
        </w:tc>
      </w:tr>
      <w:tr>
        <w:tc>
          <w:tcPr>
            <w:tcW w:type="dxa" w:w="5083"/>
            <w:vAlign w:val="center"/>
          </w:tcPr>
          <w:p>
            <w:r/>
            <w:r>
              <w:rPr>
                <w:rFonts w:ascii="Aptos" w:hAnsi="Aptos"/>
                <w:b w:val="0"/>
                <w:sz w:val="16"/>
              </w:rPr>
              <w:t>FHIR implementation standards</w:t>
            </w:r>
          </w:p>
        </w:tc>
        <w:tc>
          <w:tcPr>
            <w:tcW w:type="dxa" w:w="5083"/>
            <w:vAlign w:val="center"/>
          </w:tcPr>
          <w:p>
            <w:r/>
            <w:r>
              <w:rPr>
                <w:rFonts w:ascii="Aptos" w:hAnsi="Aptos"/>
                <w:b w:val="0"/>
                <w:sz w:val="16"/>
              </w:rPr>
              <w:t>Interoperable practitioner, organisation, role and provenance representations</w:t>
            </w:r>
          </w:p>
        </w:tc>
      </w:tr>
      <w:tr>
        <w:tc>
          <w:tcPr>
            <w:tcW w:type="dxa" w:w="5083"/>
            <w:vAlign w:val="center"/>
            <w:shd w:fill="F3F6FA"/>
          </w:tcPr>
          <w:p>
            <w:r/>
            <w:r>
              <w:rPr>
                <w:rFonts w:ascii="Aptos" w:hAnsi="Aptos"/>
                <w:b w:val="0"/>
                <w:sz w:val="16"/>
              </w:rPr>
              <w:t>National interoperability programme</w:t>
            </w:r>
          </w:p>
        </w:tc>
        <w:tc>
          <w:tcPr>
            <w:tcW w:type="dxa" w:w="5083"/>
            <w:vAlign w:val="center"/>
            <w:shd w:fill="F3F6FA"/>
          </w:tcPr>
          <w:p>
            <w:r/>
            <w:r>
              <w:rPr>
                <w:rFonts w:ascii="Aptos" w:hAnsi="Aptos"/>
                <w:b w:val="0"/>
                <w:sz w:val="16"/>
              </w:rPr>
              <w:t>Standards/governance alignment and future national scaling</w:t>
            </w:r>
          </w:p>
        </w:tc>
      </w:tr>
    </w:tbl>
    <w:p/>
    <w:p>
      <w:pPr>
        <w:pStyle w:val="Heading1"/>
      </w:pPr>
      <w:r>
        <w:t>29. Recommended statewide decisions now</w:t>
      </w:r>
    </w:p>
    <w:p>
      <w:pPr>
        <w:pStyle w:val="ListBullet"/>
      </w:pPr>
      <w:r>
        <w:t>Recognise the YNLHN pilot as a potential statewide demonstrator rather than an isolated local rostering project.</w:t>
      </w:r>
    </w:p>
    <w:p>
      <w:pPr>
        <w:pStyle w:val="ListBullet"/>
      </w:pPr>
      <w:r>
        <w:t>Nominate a DHW/SA Health executive sponsor or observer for the pilot.</w:t>
      </w:r>
    </w:p>
    <w:p>
      <w:pPr>
        <w:pStyle w:val="ListBullet"/>
      </w:pPr>
      <w:r>
        <w:t>Establish a small statewide design reference group before YNLHN reaches the portability stage.</w:t>
      </w:r>
    </w:p>
    <w:p>
      <w:pPr>
        <w:pStyle w:val="ListBullet"/>
      </w:pPr>
      <w:r>
        <w:t>Begin defining a common credential taxonomy and verification assurance model using the 2026 national credentialling guidance.</w:t>
      </w:r>
    </w:p>
    <w:p>
      <w:pPr>
        <w:pStyle w:val="ListBullet"/>
      </w:pPr>
      <w:r>
        <w:t>Identify a candidate second LHN with sufficient medical locum movement and executive interest.</w:t>
      </w:r>
    </w:p>
    <w:p>
      <w:pPr>
        <w:pStyle w:val="ListBullet"/>
      </w:pPr>
      <w:r>
        <w:t>Engage Procurement early on a future statewide agency gateway.</w:t>
      </w:r>
    </w:p>
    <w:p>
      <w:pPr>
        <w:pStyle w:val="ListBullet"/>
      </w:pPr>
      <w:r>
        <w:t>Engage SA Health digital architecture and national digital health stakeholders before finalising identity/interoperability design.</w:t>
      </w:r>
    </w:p>
    <w:p>
      <w:pPr>
        <w:pStyle w:val="ListBullet"/>
      </w:pPr>
      <w:r>
        <w:t>Defer major statewide technology investment until YNLHN and second-LHN evidence demonstrate value.</w:t>
      </w:r>
    </w:p>
    <w:p>
      <w:pPr>
        <w:pStyle w:val="Heading1"/>
      </w:pPr>
      <w:r>
        <w:t>30. Proposed approval pathway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Decision point</w:t>
            </w:r>
          </w:p>
        </w:tc>
        <w:tc>
          <w:tcPr>
            <w:tcW w:type="dxa" w:w="5083"/>
            <w:vAlign w:val="center"/>
            <w:shd w:fill="17365D"/>
          </w:tcPr>
          <w:p>
            <w:r/>
            <w:r>
              <w:rPr>
                <w:rFonts w:ascii="Aptos" w:hAnsi="Aptos"/>
                <w:b/>
                <w:color w:val="FFFFFF"/>
                <w:sz w:val="16"/>
              </w:rPr>
              <w:t>Proposed approval</w:t>
            </w:r>
          </w:p>
        </w:tc>
      </w:tr>
      <w:tr>
        <w:tc>
          <w:tcPr>
            <w:tcW w:type="dxa" w:w="5083"/>
            <w:vAlign w:val="center"/>
          </w:tcPr>
          <w:p>
            <w:r/>
            <w:r>
              <w:rPr>
                <w:rFonts w:ascii="Aptos" w:hAnsi="Aptos"/>
                <w:b w:val="0"/>
                <w:sz w:val="16"/>
              </w:rPr>
              <w:t>Concept</w:t>
            </w:r>
          </w:p>
        </w:tc>
        <w:tc>
          <w:tcPr>
            <w:tcW w:type="dxa" w:w="5083"/>
            <w:vAlign w:val="center"/>
          </w:tcPr>
          <w:p>
            <w:r/>
            <w:r>
              <w:rPr>
                <w:rFonts w:ascii="Aptos" w:hAnsi="Aptos"/>
                <w:b w:val="0"/>
                <w:sz w:val="16"/>
              </w:rPr>
              <w:t>Endorse staged statewide direction and YNLHN demonstrator status</w:t>
            </w:r>
          </w:p>
        </w:tc>
      </w:tr>
      <w:tr>
        <w:tc>
          <w:tcPr>
            <w:tcW w:type="dxa" w:w="5083"/>
            <w:vAlign w:val="center"/>
            <w:shd w:fill="F3F6FA"/>
          </w:tcPr>
          <w:p>
            <w:r/>
            <w:r>
              <w:rPr>
                <w:rFonts w:ascii="Aptos" w:hAnsi="Aptos"/>
                <w:b w:val="0"/>
                <w:sz w:val="16"/>
              </w:rPr>
              <w:t>State design</w:t>
            </w:r>
          </w:p>
        </w:tc>
        <w:tc>
          <w:tcPr>
            <w:tcW w:type="dxa" w:w="5083"/>
            <w:vAlign w:val="center"/>
            <w:shd w:fill="F3F6FA"/>
          </w:tcPr>
          <w:p>
            <w:r/>
            <w:r>
              <w:rPr>
                <w:rFonts w:ascii="Aptos" w:hAnsi="Aptos"/>
                <w:b w:val="0"/>
                <w:sz w:val="16"/>
              </w:rPr>
              <w:t>Approve common standards/trust/governance design work</w:t>
            </w:r>
          </w:p>
        </w:tc>
      </w:tr>
      <w:tr>
        <w:tc>
          <w:tcPr>
            <w:tcW w:type="dxa" w:w="5083"/>
            <w:vAlign w:val="center"/>
          </w:tcPr>
          <w:p>
            <w:r/>
            <w:r>
              <w:rPr>
                <w:rFonts w:ascii="Aptos" w:hAnsi="Aptos"/>
                <w:b w:val="0"/>
                <w:sz w:val="16"/>
              </w:rPr>
              <w:t>Second LHN</w:t>
            </w:r>
          </w:p>
        </w:tc>
        <w:tc>
          <w:tcPr>
            <w:tcW w:type="dxa" w:w="5083"/>
            <w:vAlign w:val="center"/>
          </w:tcPr>
          <w:p>
            <w:r/>
            <w:r>
              <w:rPr>
                <w:rFonts w:ascii="Aptos" w:hAnsi="Aptos"/>
                <w:b w:val="0"/>
                <w:sz w:val="16"/>
              </w:rPr>
              <w:t>Approve controlled cross-LHN portability pilot</w:t>
            </w:r>
          </w:p>
        </w:tc>
      </w:tr>
      <w:tr>
        <w:tc>
          <w:tcPr>
            <w:tcW w:type="dxa" w:w="5083"/>
            <w:vAlign w:val="center"/>
            <w:shd w:fill="F3F6FA"/>
          </w:tcPr>
          <w:p>
            <w:r/>
            <w:r>
              <w:rPr>
                <w:rFonts w:ascii="Aptos" w:hAnsi="Aptos"/>
                <w:b w:val="0"/>
                <w:sz w:val="16"/>
              </w:rPr>
              <w:t>Statewide investment</w:t>
            </w:r>
          </w:p>
        </w:tc>
        <w:tc>
          <w:tcPr>
            <w:tcW w:type="dxa" w:w="5083"/>
            <w:vAlign w:val="center"/>
            <w:shd w:fill="F3F6FA"/>
          </w:tcPr>
          <w:p>
            <w:r/>
            <w:r>
              <w:rPr>
                <w:rFonts w:ascii="Aptos" w:hAnsi="Aptos"/>
                <w:b w:val="0"/>
                <w:sz w:val="16"/>
              </w:rPr>
              <w:t>Approve costed implementation following demonstrated portability</w:t>
            </w:r>
          </w:p>
        </w:tc>
      </w:tr>
      <w:tr>
        <w:tc>
          <w:tcPr>
            <w:tcW w:type="dxa" w:w="5083"/>
            <w:vAlign w:val="center"/>
          </w:tcPr>
          <w:p>
            <w:r/>
            <w:r>
              <w:rPr>
                <w:rFonts w:ascii="Aptos" w:hAnsi="Aptos"/>
                <w:b w:val="0"/>
                <w:sz w:val="16"/>
              </w:rPr>
              <w:t>Statewide Exchange</w:t>
            </w:r>
          </w:p>
        </w:tc>
        <w:tc>
          <w:tcPr>
            <w:tcW w:type="dxa" w:w="5083"/>
            <w:vAlign w:val="center"/>
          </w:tcPr>
          <w:p>
            <w:r/>
            <w:r>
              <w:rPr>
                <w:rFonts w:ascii="Aptos" w:hAnsi="Aptos"/>
                <w:b w:val="0"/>
                <w:sz w:val="16"/>
              </w:rPr>
              <w:t>Approve progressive LHN onboarding and operating model</w:t>
            </w:r>
          </w:p>
        </w:tc>
      </w:tr>
      <w:tr>
        <w:tc>
          <w:tcPr>
            <w:tcW w:type="dxa" w:w="5083"/>
            <w:vAlign w:val="center"/>
            <w:shd w:fill="F3F6FA"/>
          </w:tcPr>
          <w:p>
            <w:r/>
            <w:r>
              <w:rPr>
                <w:rFonts w:ascii="Aptos" w:hAnsi="Aptos"/>
                <w:b w:val="0"/>
                <w:sz w:val="16"/>
              </w:rPr>
              <w:t>National engagement</w:t>
            </w:r>
          </w:p>
        </w:tc>
        <w:tc>
          <w:tcPr>
            <w:tcW w:type="dxa" w:w="5083"/>
            <w:vAlign w:val="center"/>
            <w:shd w:fill="F3F6FA"/>
          </w:tcPr>
          <w:p>
            <w:r/>
            <w:r>
              <w:rPr>
                <w:rFonts w:ascii="Aptos" w:hAnsi="Aptos"/>
                <w:b w:val="0"/>
                <w:sz w:val="16"/>
              </w:rPr>
              <w:t>Authorise formal Commonwealth/ADHA partnership proposition</w:t>
            </w:r>
          </w:p>
        </w:tc>
      </w:tr>
    </w:tbl>
    <w:p/>
    <w:p>
      <w:pPr>
        <w:pStyle w:val="Heading1"/>
      </w:pPr>
      <w:r>
        <w:t>31. Conclusion</w:t>
      </w:r>
    </w:p>
    <w:p>
      <w:r>
        <w:t>South Australia has an opportunity to treat medical workforce mobility as shared infrastructure rather than a series of local transactions. A statewide Medical Workforce Passport &amp; Exchange can make professional evidence reusable while retaining the receiving LHN's responsibility for credentialling and scope, make locum sourcing more transparent and procurement-compliant, and generate a workforce dataset capable of informing rural retention and system planning.</w:t>
      </w:r>
    </w:p>
    <w:p>
      <w:r>
        <w:t>The recommended approach is deliberately incremental. YNLHN proves doctor utility and operational workflow. A second LHN proves credential portability. Only then does SA Health scale the exchange. This sequence limits risk while preserving a credible pathway from a local workforce problem to statewide and potentially national infrastructure.</w:t>
      </w:r>
    </w:p>
    <w:p>
      <w:pPr>
        <w:pStyle w:val="Heading1"/>
      </w:pPr>
      <w:r>
        <w:t>Appendix A. Proposed statewide operating model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r/>
            <w:r>
              <w:rPr>
                <w:rFonts w:ascii="Aptos" w:hAnsi="Aptos"/>
                <w:b/>
                <w:color w:val="FFFFFF"/>
                <w:sz w:val="16"/>
              </w:rPr>
              <w:t>Layer</w:t>
            </w:r>
          </w:p>
        </w:tc>
        <w:tc>
          <w:tcPr>
            <w:tcW w:type="dxa" w:w="2541"/>
            <w:vAlign w:val="center"/>
            <w:shd w:fill="17365D"/>
          </w:tcPr>
          <w:p>
            <w:r/>
            <w:r>
              <w:rPr>
                <w:rFonts w:ascii="Aptos" w:hAnsi="Aptos"/>
                <w:b/>
                <w:color w:val="FFFFFF"/>
                <w:sz w:val="16"/>
              </w:rPr>
              <w:t>State function</w:t>
            </w:r>
          </w:p>
        </w:tc>
        <w:tc>
          <w:tcPr>
            <w:tcW w:type="dxa" w:w="2541"/>
            <w:vAlign w:val="center"/>
            <w:shd w:fill="17365D"/>
          </w:tcPr>
          <w:p>
            <w:r/>
            <w:r>
              <w:rPr>
                <w:rFonts w:ascii="Aptos" w:hAnsi="Aptos"/>
                <w:b/>
                <w:color w:val="FFFFFF"/>
                <w:sz w:val="16"/>
              </w:rPr>
              <w:t>LHN function</w:t>
            </w:r>
          </w:p>
        </w:tc>
        <w:tc>
          <w:tcPr>
            <w:tcW w:type="dxa" w:w="2541"/>
            <w:vAlign w:val="center"/>
            <w:shd w:fill="17365D"/>
          </w:tcPr>
          <w:p>
            <w:r/>
            <w:r>
              <w:rPr>
                <w:rFonts w:ascii="Aptos" w:hAnsi="Aptos"/>
                <w:b/>
                <w:color w:val="FFFFFF"/>
                <w:sz w:val="16"/>
              </w:rPr>
              <w:t>Practitioner function</w:t>
            </w:r>
          </w:p>
        </w:tc>
      </w:tr>
      <w:tr>
        <w:tc>
          <w:tcPr>
            <w:tcW w:type="dxa" w:w="2541"/>
            <w:vAlign w:val="center"/>
          </w:tcPr>
          <w:p>
            <w:r/>
            <w:r>
              <w:rPr>
                <w:rFonts w:ascii="Aptos" w:hAnsi="Aptos"/>
                <w:b w:val="0"/>
                <w:sz w:val="16"/>
              </w:rPr>
              <w:t>Identity</w:t>
            </w:r>
          </w:p>
        </w:tc>
        <w:tc>
          <w:tcPr>
            <w:tcW w:type="dxa" w:w="2541"/>
            <w:vAlign w:val="center"/>
          </w:tcPr>
          <w:p>
            <w:r/>
            <w:r>
              <w:rPr>
                <w:rFonts w:ascii="Aptos" w:hAnsi="Aptos"/>
                <w:b w:val="0"/>
                <w:sz w:val="16"/>
              </w:rPr>
              <w:t>Integrate national identifiers</w:t>
            </w:r>
          </w:p>
        </w:tc>
        <w:tc>
          <w:tcPr>
            <w:tcW w:type="dxa" w:w="2541"/>
            <w:vAlign w:val="center"/>
          </w:tcPr>
          <w:p>
            <w:r/>
            <w:r>
              <w:rPr>
                <w:rFonts w:ascii="Aptos" w:hAnsi="Aptos"/>
                <w:b w:val="0"/>
                <w:sz w:val="16"/>
              </w:rPr>
              <w:t>Validate local linkage</w:t>
            </w:r>
          </w:p>
        </w:tc>
        <w:tc>
          <w:tcPr>
            <w:tcW w:type="dxa" w:w="2541"/>
            <w:vAlign w:val="center"/>
          </w:tcPr>
          <w:p>
            <w:r/>
            <w:r>
              <w:rPr>
                <w:rFonts w:ascii="Aptos" w:hAnsi="Aptos"/>
                <w:b w:val="0"/>
                <w:sz w:val="16"/>
              </w:rPr>
              <w:t>Maintain identity/contact details</w:t>
            </w:r>
          </w:p>
        </w:tc>
      </w:tr>
      <w:tr>
        <w:tc>
          <w:tcPr>
            <w:tcW w:type="dxa" w:w="2541"/>
            <w:vAlign w:val="center"/>
            <w:shd w:fill="F3F6FA"/>
          </w:tcPr>
          <w:p>
            <w:r/>
            <w:r>
              <w:rPr>
                <w:rFonts w:ascii="Aptos" w:hAnsi="Aptos"/>
                <w:b w:val="0"/>
                <w:sz w:val="16"/>
              </w:rPr>
              <w:t>Credentials</w:t>
            </w:r>
          </w:p>
        </w:tc>
        <w:tc>
          <w:tcPr>
            <w:tcW w:type="dxa" w:w="2541"/>
            <w:vAlign w:val="center"/>
            <w:shd w:fill="F3F6FA"/>
          </w:tcPr>
          <w:p>
            <w:r/>
            <w:r>
              <w:rPr>
                <w:rFonts w:ascii="Aptos" w:hAnsi="Aptos"/>
                <w:b w:val="0"/>
                <w:sz w:val="16"/>
              </w:rPr>
              <w:t>Define common semantics/trust</w:t>
            </w:r>
          </w:p>
        </w:tc>
        <w:tc>
          <w:tcPr>
            <w:tcW w:type="dxa" w:w="2541"/>
            <w:vAlign w:val="center"/>
            <w:shd w:fill="F3F6FA"/>
          </w:tcPr>
          <w:p>
            <w:r/>
            <w:r>
              <w:rPr>
                <w:rFonts w:ascii="Aptos" w:hAnsi="Aptos"/>
                <w:b w:val="0"/>
                <w:sz w:val="16"/>
              </w:rPr>
              <w:t>Accept/reject assurance and add requirements</w:t>
            </w:r>
          </w:p>
        </w:tc>
        <w:tc>
          <w:tcPr>
            <w:tcW w:type="dxa" w:w="2541"/>
            <w:vAlign w:val="center"/>
            <w:shd w:fill="F3F6FA"/>
          </w:tcPr>
          <w:p>
            <w:r/>
            <w:r>
              <w:rPr>
                <w:rFonts w:ascii="Aptos" w:hAnsi="Aptos"/>
                <w:b w:val="0"/>
                <w:sz w:val="16"/>
              </w:rPr>
              <w:t>Maintain evidence</w:t>
            </w:r>
          </w:p>
        </w:tc>
      </w:tr>
      <w:tr>
        <w:tc>
          <w:tcPr>
            <w:tcW w:type="dxa" w:w="2541"/>
            <w:vAlign w:val="center"/>
          </w:tcPr>
          <w:p>
            <w:r/>
            <w:r>
              <w:rPr>
                <w:rFonts w:ascii="Aptos" w:hAnsi="Aptos"/>
                <w:b w:val="0"/>
                <w:sz w:val="16"/>
              </w:rPr>
              <w:t>Scope</w:t>
            </w:r>
          </w:p>
        </w:tc>
        <w:tc>
          <w:tcPr>
            <w:tcW w:type="dxa" w:w="2541"/>
            <w:vAlign w:val="center"/>
          </w:tcPr>
          <w:p>
            <w:r/>
            <w:r>
              <w:rPr>
                <w:rFonts w:ascii="Aptos" w:hAnsi="Aptos"/>
                <w:b w:val="0"/>
                <w:sz w:val="16"/>
              </w:rPr>
              <w:t>Define common structure</w:t>
            </w:r>
          </w:p>
        </w:tc>
        <w:tc>
          <w:tcPr>
            <w:tcW w:type="dxa" w:w="2541"/>
            <w:vAlign w:val="center"/>
          </w:tcPr>
          <w:p>
            <w:r/>
            <w:r>
              <w:rPr>
                <w:rFonts w:ascii="Aptos" w:hAnsi="Aptos"/>
                <w:b w:val="0"/>
                <w:sz w:val="16"/>
              </w:rPr>
              <w:t>Grant/renew/restrict/withdraw</w:t>
            </w:r>
          </w:p>
        </w:tc>
        <w:tc>
          <w:tcPr>
            <w:tcW w:type="dxa" w:w="2541"/>
            <w:vAlign w:val="center"/>
          </w:tcPr>
          <w:p>
            <w:r/>
            <w:r>
              <w:rPr>
                <w:rFonts w:ascii="Aptos" w:hAnsi="Aptos"/>
                <w:b w:val="0"/>
                <w:sz w:val="16"/>
              </w:rPr>
              <w:t>Apply and maintain evidence</w:t>
            </w:r>
          </w:p>
        </w:tc>
      </w:tr>
      <w:tr>
        <w:tc>
          <w:tcPr>
            <w:tcW w:type="dxa" w:w="2541"/>
            <w:vAlign w:val="center"/>
            <w:shd w:fill="F3F6FA"/>
          </w:tcPr>
          <w:p>
            <w:r/>
            <w:r>
              <w:rPr>
                <w:rFonts w:ascii="Aptos" w:hAnsi="Aptos"/>
                <w:b w:val="0"/>
                <w:sz w:val="16"/>
              </w:rPr>
              <w:t>Workforce</w:t>
            </w:r>
          </w:p>
        </w:tc>
        <w:tc>
          <w:tcPr>
            <w:tcW w:type="dxa" w:w="2541"/>
            <w:vAlign w:val="center"/>
            <w:shd w:fill="F3F6FA"/>
          </w:tcPr>
          <w:p>
            <w:r/>
            <w:r>
              <w:rPr>
                <w:rFonts w:ascii="Aptos" w:hAnsi="Aptos"/>
                <w:b w:val="0"/>
                <w:sz w:val="16"/>
              </w:rPr>
              <w:t>Operate exchange standards</w:t>
            </w:r>
          </w:p>
        </w:tc>
        <w:tc>
          <w:tcPr>
            <w:tcW w:type="dxa" w:w="2541"/>
            <w:vAlign w:val="center"/>
            <w:shd w:fill="F3F6FA"/>
          </w:tcPr>
          <w:p>
            <w:r/>
            <w:r>
              <w:rPr>
                <w:rFonts w:ascii="Aptos" w:hAnsi="Aptos"/>
                <w:b w:val="0"/>
                <w:sz w:val="16"/>
              </w:rPr>
              <w:t>Create/select/book</w:t>
            </w:r>
          </w:p>
        </w:tc>
        <w:tc>
          <w:tcPr>
            <w:tcW w:type="dxa" w:w="2541"/>
            <w:vAlign w:val="center"/>
            <w:shd w:fill="F3F6FA"/>
          </w:tcPr>
          <w:p>
            <w:r/>
            <w:r>
              <w:rPr>
                <w:rFonts w:ascii="Aptos" w:hAnsi="Aptos"/>
                <w:b w:val="0"/>
                <w:sz w:val="16"/>
              </w:rPr>
              <w:t>Set preferences and accept work</w:t>
            </w:r>
          </w:p>
        </w:tc>
      </w:tr>
      <w:tr>
        <w:tc>
          <w:tcPr>
            <w:tcW w:type="dxa" w:w="2541"/>
            <w:vAlign w:val="center"/>
          </w:tcPr>
          <w:p>
            <w:r/>
            <w:r>
              <w:rPr>
                <w:rFonts w:ascii="Aptos" w:hAnsi="Aptos"/>
                <w:b w:val="0"/>
                <w:sz w:val="16"/>
              </w:rPr>
              <w:t>Agency</w:t>
            </w:r>
          </w:p>
        </w:tc>
        <w:tc>
          <w:tcPr>
            <w:tcW w:type="dxa" w:w="2541"/>
            <w:vAlign w:val="center"/>
          </w:tcPr>
          <w:p>
            <w:r/>
            <w:r>
              <w:rPr>
                <w:rFonts w:ascii="Aptos" w:hAnsi="Aptos"/>
                <w:b w:val="0"/>
                <w:sz w:val="16"/>
              </w:rPr>
              <w:t>Panel gateway/rules</w:t>
            </w:r>
          </w:p>
        </w:tc>
        <w:tc>
          <w:tcPr>
            <w:tcW w:type="dxa" w:w="2541"/>
            <w:vAlign w:val="center"/>
          </w:tcPr>
          <w:p>
            <w:r/>
            <w:r>
              <w:rPr>
                <w:rFonts w:ascii="Aptos" w:hAnsi="Aptos"/>
                <w:b w:val="0"/>
                <w:sz w:val="16"/>
              </w:rPr>
              <w:t>Operational engagement</w:t>
            </w:r>
          </w:p>
        </w:tc>
        <w:tc>
          <w:tcPr>
            <w:tcW w:type="dxa" w:w="2541"/>
            <w:vAlign w:val="center"/>
          </w:tcPr>
          <w:p>
            <w:r/>
            <w:r>
              <w:rPr>
                <w:rFonts w:ascii="Aptos" w:hAnsi="Aptos"/>
                <w:b w:val="0"/>
                <w:sz w:val="16"/>
              </w:rPr>
              <w:t>Declare agency relationships where relevant</w:t>
            </w:r>
          </w:p>
        </w:tc>
      </w:tr>
      <w:tr>
        <w:tc>
          <w:tcPr>
            <w:tcW w:type="dxa" w:w="2541"/>
            <w:vAlign w:val="center"/>
            <w:shd w:fill="F3F6FA"/>
          </w:tcPr>
          <w:p>
            <w:r/>
            <w:r>
              <w:rPr>
                <w:rFonts w:ascii="Aptos" w:hAnsi="Aptos"/>
                <w:b w:val="0"/>
                <w:sz w:val="16"/>
              </w:rPr>
              <w:t>Experience</w:t>
            </w:r>
          </w:p>
        </w:tc>
        <w:tc>
          <w:tcPr>
            <w:tcW w:type="dxa" w:w="2541"/>
            <w:vAlign w:val="center"/>
            <w:shd w:fill="F3F6FA"/>
          </w:tcPr>
          <w:p>
            <w:r/>
            <w:r>
              <w:rPr>
                <w:rFonts w:ascii="Aptos" w:hAnsi="Aptos"/>
                <w:b w:val="0"/>
                <w:sz w:val="16"/>
              </w:rPr>
              <w:t>Common instrument/analytics</w:t>
            </w:r>
          </w:p>
        </w:tc>
        <w:tc>
          <w:tcPr>
            <w:tcW w:type="dxa" w:w="2541"/>
            <w:vAlign w:val="center"/>
            <w:shd w:fill="F3F6FA"/>
          </w:tcPr>
          <w:p>
            <w:r/>
            <w:r>
              <w:rPr>
                <w:rFonts w:ascii="Aptos" w:hAnsi="Aptos"/>
                <w:b w:val="0"/>
                <w:sz w:val="16"/>
              </w:rPr>
              <w:t>Act on local themes</w:t>
            </w:r>
          </w:p>
        </w:tc>
        <w:tc>
          <w:tcPr>
            <w:tcW w:type="dxa" w:w="2541"/>
            <w:vAlign w:val="center"/>
            <w:shd w:fill="F3F6FA"/>
          </w:tcPr>
          <w:p>
            <w:r/>
            <w:r>
              <w:rPr>
                <w:rFonts w:ascii="Aptos" w:hAnsi="Aptos"/>
                <w:b w:val="0"/>
                <w:sz w:val="16"/>
              </w:rPr>
              <w:t>Provide confidential feedback</w:t>
            </w:r>
          </w:p>
        </w:tc>
      </w:tr>
    </w:tbl>
    <w:p/>
    <w:p>
      <w:pPr>
        <w:pStyle w:val="Heading1"/>
      </w:pPr>
      <w:r>
        <w:t>Appendix B. Example portability scenario</w:t>
      </w:r>
    </w:p>
    <w:p>
      <w:r>
        <w:t>A doctor credentialled for an ED Senior role at YNLHN elects to work in another participating LHN. The receiving LHN retrieves, with appropriate permission, the doctor's structured credential evidence and verification provenance. Its role template identifies which requirements are already satisfied, which require re-verification and which are unique to that organisation. The receiving LHN completes its own assessment and records a separate ScopeGrant. The practitioner does not need to reconstruct the entire credential pack and neither organisation is required to accept the other's scope decision.</w:t>
      </w:r>
    </w:p>
    <w:p>
      <w:pPr>
        <w:pStyle w:val="Heading1"/>
      </w:pPr>
      <w:r>
        <w:t>Appendix C. Policy and strategic references</w:t>
      </w:r>
    </w:p>
    <w:p>
      <w:r>
        <w:t>1. SA Health. Use of Locums Policy, Version 1.0, approved 16 September 2025.</w:t>
      </w:r>
    </w:p>
    <w:p>
      <w:r>
        <w:t>2. Australian Commission on Safety and Quality in Health Care. Credentialing and defining scope of practice: guidance for health services and clinicians. 2026.</w:t>
      </w:r>
    </w:p>
    <w:p>
      <w:r>
        <w:t>3. Australian Digital Health Agency. Healthcare identifiers. Updated 5 August 2026.</w:t>
      </w:r>
    </w:p>
    <w:p>
      <w:r>
        <w:t>4. Australian Digital Health Agency. Connecting Australian Healthcare - National Healthcare Interoperability Plan 2023-2028.</w:t>
      </w:r>
    </w:p>
    <w:p>
      <w:r>
        <w:t>5. Australian Digital Health Agency. National Healthcare Identifiers Roadmap 2023-2028.</w:t>
      </w:r>
    </w:p>
    <w:p>
      <w:r>
        <w:t>6. Australian Digital Health Agency. Provider Connect Australia, including FHIR implementation guidance v26.1.0.</w:t>
      </w:r>
    </w:p>
    <w:p>
      <w:r>
        <w:t>7. Australian Digital Health Agency. Health Connect Australia Provider Directory. Current guidance, September 2026.</w:t>
      </w:r>
    </w:p>
    <w:p>
      <w:pPr>
        <w:pStyle w:val="Heading1"/>
      </w:pPr>
      <w:r>
        <w:t>Appendix D. Source documents</w:t>
      </w:r>
    </w:p>
    <w:p>
      <w:pPr>
        <w:pStyle w:val="ListBullet"/>
      </w:pPr>
      <w:r>
        <w:t>Australian Medical Workforce Passport &amp; Exchange - Master Product &amp; Programme Specification v0.2</w:t>
      </w:r>
    </w:p>
    <w:p>
      <w:pPr>
        <w:pStyle w:val="ListBullet"/>
      </w:pPr>
      <w:r>
        <w:t>YNLHN Medical Locum Experience &amp; Workforce Platform - Pilot Business Case v0.2</w:t>
      </w:r>
    </w:p>
    <w:p>
      <w:pPr>
        <w:pStyle w:val="ListBullet"/>
      </w:pPr>
      <w:r>
        <w:t>YNLHN Medical Locum Experience &amp; Workforce Platform - Pilot Implementation &amp; Evaluation Plan v0.2</w:t>
      </w:r>
    </w:p>
    <w:p>
      <w:pPr>
        <w:pStyle w:val="Heading1"/>
      </w:pPr>
      <w:r>
        <w:t>Appendix E. Version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r/>
            <w:r>
              <w:rPr>
                <w:rFonts w:ascii="Aptos" w:hAnsi="Aptos"/>
                <w:b/>
                <w:color w:val="FFFFFF"/>
                <w:sz w:val="16"/>
              </w:rPr>
              <w:t>Version</w:t>
            </w:r>
          </w:p>
        </w:tc>
        <w:tc>
          <w:tcPr>
            <w:tcW w:type="dxa" w:w="2541"/>
            <w:vAlign w:val="center"/>
            <w:shd w:fill="17365D"/>
          </w:tcPr>
          <w:p>
            <w:r/>
            <w:r>
              <w:rPr>
                <w:rFonts w:ascii="Aptos" w:hAnsi="Aptos"/>
                <w:b/>
                <w:color w:val="FFFFFF"/>
                <w:sz w:val="16"/>
              </w:rPr>
              <w:t>Date</w:t>
            </w:r>
          </w:p>
        </w:tc>
        <w:tc>
          <w:tcPr>
            <w:tcW w:type="dxa" w:w="2541"/>
            <w:vAlign w:val="center"/>
            <w:shd w:fill="17365D"/>
          </w:tcPr>
          <w:p>
            <w:r/>
            <w:r>
              <w:rPr>
                <w:rFonts w:ascii="Aptos" w:hAnsi="Aptos"/>
                <w:b/>
                <w:color w:val="FFFFFF"/>
                <w:sz w:val="16"/>
              </w:rPr>
              <w:t>Status</w:t>
            </w:r>
          </w:p>
        </w:tc>
        <w:tc>
          <w:tcPr>
            <w:tcW w:type="dxa" w:w="2541"/>
            <w:vAlign w:val="center"/>
            <w:shd w:fill="17365D"/>
          </w:tcPr>
          <w:p>
            <w:r/>
            <w:r>
              <w:rPr>
                <w:rFonts w:ascii="Aptos" w:hAnsi="Aptos"/>
                <w:b/>
                <w:color w:val="FFFFFF"/>
                <w:sz w:val="16"/>
              </w:rPr>
              <w:t>Change</w:t>
            </w:r>
          </w:p>
        </w:tc>
      </w:tr>
      <w:tr>
        <w:tc>
          <w:tcPr>
            <w:tcW w:type="dxa" w:w="2541"/>
            <w:vAlign w:val="center"/>
          </w:tcPr>
          <w:p>
            <w:r/>
            <w:r>
              <w:rPr>
                <w:rFonts w:ascii="Aptos" w:hAnsi="Aptos"/>
                <w:b w:val="0"/>
                <w:sz w:val="16"/>
              </w:rPr>
              <w:t>0.1</w:t>
            </w:r>
          </w:p>
        </w:tc>
        <w:tc>
          <w:tcPr>
            <w:tcW w:type="dxa" w:w="2541"/>
            <w:vAlign w:val="center"/>
          </w:tcPr>
          <w:p>
            <w:r/>
            <w:r>
              <w:rPr>
                <w:rFonts w:ascii="Aptos" w:hAnsi="Aptos"/>
                <w:b w:val="0"/>
                <w:sz w:val="16"/>
              </w:rPr>
              <w:t>26 September 2026</w:t>
            </w:r>
          </w:p>
        </w:tc>
        <w:tc>
          <w:tcPr>
            <w:tcW w:type="dxa" w:w="2541"/>
            <w:vAlign w:val="center"/>
          </w:tcPr>
          <w:p>
            <w:r/>
            <w:r>
              <w:rPr>
                <w:rFonts w:ascii="Aptos" w:hAnsi="Aptos"/>
                <w:b w:val="0"/>
                <w:sz w:val="16"/>
              </w:rPr>
              <w:t>Draft</w:t>
            </w:r>
          </w:p>
        </w:tc>
        <w:tc>
          <w:tcPr>
            <w:tcW w:type="dxa" w:w="2541"/>
            <w:vAlign w:val="center"/>
          </w:tcPr>
          <w:p>
            <w:r/>
            <w:r>
              <w:rPr>
                <w:rFonts w:ascii="Aptos" w:hAnsi="Aptos"/>
                <w:b w:val="0"/>
                <w:sz w:val="16"/>
              </w:rPr>
              <w:t>Initial statewide business case derived from Master Specification and YNLHN pilot documents; incorporates 2026 national credentialling and digital health infrastructure context.</w:t>
            </w:r>
          </w:p>
        </w:tc>
      </w:tr>
    </w:tbl>
    <w:p/>
    <w:p>
      <w:r>
        <w:br w:type="page"/>
      </w:r>
    </w:p>
    <w:p>
      <w:pPr>
        <w:pStyle w:val="Heading1"/>
      </w:pPr>
      <w:r>
        <w:t>Statewide strategic opportunity map</w:t>
      </w:r>
    </w:p>
    <w:p>
      <w:r>
        <w:t>At statewide scale, the proposition expands from locum workflow to shared workforce infrastructure. SA Health can use the same trusted data foundation for credential reuse, federated scope, workforce intelligence, rural retention and emergency mobilisation.</w:t>
      </w:r>
    </w:p>
    <w:tbl>
      <w:tblPr>
        <w:tblStyle w:val="TableGrid"/>
        <w:tblW w:type="auto" w:w="0"/>
        <w:tblLook w:firstColumn="1" w:firstRow="1" w:lastColumn="0" w:lastRow="0" w:noHBand="0" w:noVBand="1" w:val="04A0"/>
      </w:tblPr>
      <w:tblGrid>
        <w:gridCol w:w="5083"/>
        <w:gridCol w:w="5083"/>
      </w:tblGrid>
      <w:tr>
        <w:tc>
          <w:tcPr>
            <w:tcW w:type="dxa" w:w="5083"/>
            <w:shd w:fill="17365D"/>
          </w:tcPr>
          <w:p>
            <w:r/>
            <w:r>
              <w:rPr>
                <w:b/>
                <w:color w:val="FFFFFF"/>
                <w:sz w:val="16"/>
              </w:rPr>
              <w:t>Opportunity</w:t>
            </w:r>
          </w:p>
        </w:tc>
        <w:tc>
          <w:tcPr>
            <w:tcW w:type="dxa" w:w="5083"/>
            <w:shd w:fill="17365D"/>
          </w:tcPr>
          <w:p>
            <w:r/>
            <w:r>
              <w:rPr>
                <w:b/>
                <w:color w:val="FFFFFF"/>
                <w:sz w:val="16"/>
              </w:rPr>
              <w:t>Strategic implication</w:t>
            </w:r>
          </w:p>
        </w:tc>
      </w:tr>
      <w:tr>
        <w:tc>
          <w:tcPr>
            <w:tcW w:type="dxa" w:w="5083"/>
          </w:tcPr>
          <w:p>
            <w:r>
              <w:rPr>
                <w:sz w:val="15"/>
              </w:rPr>
              <w:t>Workforce Trust Network</w:t>
            </w:r>
          </w:p>
        </w:tc>
        <w:tc>
          <w:tcPr>
            <w:tcW w:type="dxa" w:w="5083"/>
          </w:tcPr>
          <w:p>
            <w:r>
              <w:rPr>
                <w:sz w:val="15"/>
              </w:rPr>
              <w:t>Turn each verified credential into a reusable, provenance-rich trust assertion. A receiving organisation can see who verified what, how, when, against which source and policy, then make its own trust decision rather than repeating work blindly.</w:t>
            </w:r>
          </w:p>
        </w:tc>
      </w:tr>
      <w:tr>
        <w:tc>
          <w:tcPr>
            <w:tcW w:type="dxa" w:w="5083"/>
            <w:shd w:fill="F4F7FA"/>
          </w:tcPr>
          <w:p>
            <w:r>
              <w:rPr>
                <w:sz w:val="15"/>
              </w:rPr>
              <w:t>Federated Scope of Practice Registry</w:t>
            </w:r>
          </w:p>
        </w:tc>
        <w:tc>
          <w:tcPr>
            <w:tcW w:type="dxa" w:w="5083"/>
            <w:shd w:fill="F4F7FA"/>
          </w:tcPr>
          <w:p>
            <w:r>
              <w:rPr>
                <w:sz w:val="15"/>
              </w:rPr>
              <w:t>Represent organisation-issued ScopeGrants in a consistent interoperable form across facilities and health services. The registry federates local authority rather than creating national automatic scope portability.</w:t>
            </w:r>
          </w:p>
        </w:tc>
      </w:tr>
      <w:tr>
        <w:tc>
          <w:tcPr>
            <w:tcW w:type="dxa" w:w="5083"/>
          </w:tcPr>
          <w:p>
            <w:r>
              <w:rPr>
                <w:sz w:val="15"/>
              </w:rPr>
              <w:t>Machine-enforceable scope</w:t>
            </w:r>
          </w:p>
        </w:tc>
        <w:tc>
          <w:tcPr>
            <w:tcW w:type="dxa" w:w="5083"/>
          </w:tcPr>
          <w:p>
            <w:r>
              <w:rPr>
                <w:sz w:val="15"/>
              </w:rPr>
              <w:t>Make current ScopeGrant status available to downstream systems so future integrations can support access reviews, procedural privileges, prescribing controls, theatre workflows and other clinical-governance safeguards.</w:t>
            </w:r>
          </w:p>
        </w:tc>
      </w:tr>
      <w:tr>
        <w:tc>
          <w:tcPr>
            <w:tcW w:type="dxa" w:w="5083"/>
            <w:shd w:fill="F4F7FA"/>
          </w:tcPr>
          <w:p>
            <w:r>
              <w:rPr>
                <w:sz w:val="15"/>
              </w:rPr>
              <w:t>Reusable onboarding passport</w:t>
            </w:r>
          </w:p>
        </w:tc>
        <w:tc>
          <w:tcPr>
            <w:tcW w:type="dxa" w:w="5083"/>
            <w:shd w:fill="F4F7FA"/>
          </w:tcPr>
          <w:p>
            <w:r>
              <w:rPr>
                <w:sz w:val="15"/>
              </w:rPr>
              <w:t>Extend the doctor-owned passport beyond clinical credentials to reusable employment and onboarding information such as mandatory training, occupational requirements and other repeatable administrative evidence, while preserving organisation-specific decisions.</w:t>
            </w:r>
          </w:p>
        </w:tc>
      </w:tr>
      <w:tr>
        <w:tc>
          <w:tcPr>
            <w:tcW w:type="dxa" w:w="5083"/>
          </w:tcPr>
          <w:p>
            <w:r>
              <w:rPr>
                <w:sz w:val="15"/>
              </w:rPr>
              <w:t>Workforce digital twin</w:t>
            </w:r>
          </w:p>
        </w:tc>
        <w:tc>
          <w:tcPr>
            <w:tcW w:type="dxa" w:w="5083"/>
          </w:tcPr>
          <w:p>
            <w:r>
              <w:rPr>
                <w:sz w:val="15"/>
              </w:rPr>
              <w:t>Combine structured vacancies, eligibility, scope, availability, preferences and sourcing data to show the real deployable workforce for a site, service, role and time period.</w:t>
            </w:r>
          </w:p>
        </w:tc>
      </w:tr>
      <w:tr>
        <w:tc>
          <w:tcPr>
            <w:tcW w:type="dxa" w:w="5083"/>
            <w:shd w:fill="F4F7FA"/>
          </w:tcPr>
          <w:p>
            <w:r>
              <w:rPr>
                <w:sz w:val="15"/>
              </w:rPr>
              <w:t>Predictive shortage management</w:t>
            </w:r>
          </w:p>
        </w:tc>
        <w:tc>
          <w:tcPr>
            <w:tcW w:type="dxa" w:w="5083"/>
            <w:shd w:fill="F4F7FA"/>
          </w:tcPr>
          <w:p>
            <w:r>
              <w:rPr>
                <w:sz w:val="15"/>
              </w:rPr>
              <w:t>Use longitudinal vacancy, fill, cancellation, availability and eligibility data to forecast workforce gaps early. Predictive analytics may support planning, but must not replace deterministic clinical eligibility or scope decisions.</w:t>
            </w:r>
          </w:p>
        </w:tc>
      </w:tr>
      <w:tr>
        <w:tc>
          <w:tcPr>
            <w:tcW w:type="dxa" w:w="5083"/>
          </w:tcPr>
          <w:p>
            <w:r>
              <w:rPr>
                <w:sz w:val="15"/>
              </w:rPr>
              <w:t>Rural workforce laboratory</w:t>
            </w:r>
          </w:p>
        </w:tc>
        <w:tc>
          <w:tcPr>
            <w:tcW w:type="dxa" w:w="5083"/>
          </w:tcPr>
          <w:p>
            <w:r>
              <w:rPr>
                <w:sz w:val="15"/>
              </w:rPr>
              <w:t>Link clinician experience, culture, support, accommodation, workload, rates and actual return behaviour to identify modifiable drivers of rural attraction and retention and evaluate interventions.</w:t>
            </w:r>
          </w:p>
        </w:tc>
      </w:tr>
      <w:tr>
        <w:tc>
          <w:tcPr>
            <w:tcW w:type="dxa" w:w="5083"/>
            <w:shd w:fill="F4F7FA"/>
          </w:tcPr>
          <w:p>
            <w:r>
              <w:rPr>
                <w:sz w:val="15"/>
              </w:rPr>
              <w:t>Emergency workforce mobilisation</w:t>
            </w:r>
          </w:p>
        </w:tc>
        <w:tc>
          <w:tcPr>
            <w:tcW w:type="dxa" w:w="5083"/>
            <w:shd w:fill="F4F7FA"/>
          </w:tcPr>
          <w:p>
            <w:r>
              <w:rPr>
                <w:sz w:val="15"/>
              </w:rPr>
              <w:t>Provide a controlled mechanism to identify clinicians who are currently eligible, available and willing to deploy during surge, disaster, pandemic or sudden service failure.</w:t>
            </w:r>
          </w:p>
        </w:tc>
      </w:tr>
      <w:tr>
        <w:tc>
          <w:tcPr>
            <w:tcW w:type="dxa" w:w="5083"/>
          </w:tcPr>
          <w:p>
            <w:r>
              <w:rPr>
                <w:sz w:val="15"/>
              </w:rPr>
              <w:t>Multi-professional extensibility</w:t>
            </w:r>
          </w:p>
        </w:tc>
        <w:tc>
          <w:tcPr>
            <w:tcW w:type="dxa" w:w="5083"/>
          </w:tcPr>
          <w:p>
            <w:r>
              <w:rPr>
                <w:sz w:val="15"/>
              </w:rPr>
              <w:t>Keep the canonical architecture profession-agnostic so the same trust and mobilisation pattern can later support nursing, midwifery, pharmacy, allied health and other regulated workforces, while the initial product remains deliberately medical.</w:t>
            </w:r>
          </w:p>
        </w:tc>
      </w:tr>
      <w:tr>
        <w:tc>
          <w:tcPr>
            <w:tcW w:type="dxa" w:w="5083"/>
            <w:shd w:fill="F4F7FA"/>
          </w:tcPr>
          <w:p>
            <w:r>
              <w:rPr>
                <w:sz w:val="15"/>
              </w:rPr>
              <w:t>Longitudinal Clinical Professional Passport</w:t>
            </w:r>
          </w:p>
        </w:tc>
        <w:tc>
          <w:tcPr>
            <w:tcW w:type="dxa" w:w="5083"/>
            <w:shd w:fill="F4F7FA"/>
          </w:tcPr>
          <w:p>
            <w:r>
              <w:rPr>
                <w:sz w:val="15"/>
              </w:rPr>
              <w:t>Architect for a future doctor-owned professional record incorporating verified work history, procedural activity, CPD, supervision, training, references and competency evidence, without expanding the YNLHN MVP into those domains now.</w:t>
            </w:r>
          </w:p>
        </w:tc>
      </w:tr>
    </w:tbl>
    <w:p/>
    <w:p>
      <w:pPr>
        <w:pStyle w:val="Heading2"/>
      </w:pPr>
      <w:r>
        <w:t>Platform boundary and sequencing</w:t>
      </w:r>
    </w:p>
    <w:tbl>
      <w:tblPr>
        <w:tblStyle w:val="TableGrid"/>
        <w:tblW w:type="auto" w:w="0"/>
        <w:tblLook w:firstColumn="1" w:firstRow="1" w:lastColumn="0" w:lastRow="0" w:noHBand="0" w:noVBand="1" w:val="04A0"/>
      </w:tblPr>
      <w:tblGrid>
        <w:gridCol w:w="5083"/>
        <w:gridCol w:w="5083"/>
      </w:tblGrid>
      <w:tr>
        <w:tc>
          <w:tcPr>
            <w:tcW w:type="dxa" w:w="5083"/>
            <w:shd w:fill="17365D"/>
          </w:tcPr>
          <w:p>
            <w:r/>
            <w:r>
              <w:rPr>
                <w:b/>
                <w:color w:val="FFFFFF"/>
                <w:sz w:val="16"/>
              </w:rPr>
              <w:t>Horizon</w:t>
            </w:r>
          </w:p>
        </w:tc>
        <w:tc>
          <w:tcPr>
            <w:tcW w:type="dxa" w:w="5083"/>
            <w:shd w:fill="17365D"/>
          </w:tcPr>
          <w:p>
            <w:r/>
            <w:r>
              <w:rPr>
                <w:b/>
                <w:color w:val="FFFFFF"/>
                <w:sz w:val="16"/>
              </w:rPr>
              <w:t>Position</w:t>
            </w:r>
          </w:p>
        </w:tc>
      </w:tr>
      <w:tr>
        <w:tc>
          <w:tcPr>
            <w:tcW w:type="dxa" w:w="5083"/>
          </w:tcPr>
          <w:p>
            <w:r>
              <w:rPr>
                <w:sz w:val="15"/>
              </w:rPr>
              <w:t>BUILD NOW</w:t>
            </w:r>
          </w:p>
        </w:tc>
        <w:tc>
          <w:tcPr>
            <w:tcW w:type="dxa" w:w="5083"/>
          </w:tcPr>
          <w:p>
            <w:r>
              <w:rPr>
                <w:sz w:val="15"/>
              </w:rPr>
              <w:t>Doctor credential wallet and expiry tracking; reusable credential sharing; YNLHN scope visibility; deterministic eligibility; vacancy workflow; approved-agency sourcing; booking/timesheets; clinician experience and culture feedback; auditable data foundation.</w:t>
            </w:r>
          </w:p>
        </w:tc>
      </w:tr>
      <w:tr>
        <w:tc>
          <w:tcPr>
            <w:tcW w:type="dxa" w:w="5083"/>
            <w:shd w:fill="F4F7FA"/>
          </w:tcPr>
          <w:p>
            <w:r>
              <w:rPr>
                <w:sz w:val="15"/>
              </w:rPr>
              <w:t>ARCHITECT FOR</w:t>
            </w:r>
          </w:p>
        </w:tc>
        <w:tc>
          <w:tcPr>
            <w:tcW w:type="dxa" w:w="5083"/>
            <w:shd w:fill="F4F7FA"/>
          </w:tcPr>
          <w:p>
            <w:r>
              <w:rPr>
                <w:sz w:val="15"/>
              </w:rPr>
              <w:t>Trust assertions and provenance; federated ScopeGrant exchange; reusable onboarding data; digital-twin analytics; emergency mobilisation; profession-agnostic identifiers and credential definitions; longitudinal professional record; downstream scope events.</w:t>
            </w:r>
          </w:p>
        </w:tc>
      </w:tr>
      <w:tr>
        <w:tc>
          <w:tcPr>
            <w:tcW w:type="dxa" w:w="5083"/>
          </w:tcPr>
          <w:p>
            <w:r>
              <w:rPr>
                <w:sz w:val="15"/>
              </w:rPr>
              <w:t>INVESTIGATE / PILOT LATER</w:t>
            </w:r>
          </w:p>
        </w:tc>
        <w:tc>
          <w:tcPr>
            <w:tcW w:type="dxa" w:w="5083"/>
          </w:tcPr>
          <w:p>
            <w:r>
              <w:rPr>
                <w:sz w:val="15"/>
              </w:rPr>
              <w:t>Cross-LHN verification reuse; national FHIR patterns; predictive shortage models; direct authoritative-source credential feeds; clinical-system enforcement of scope; multi-professional pilots; cross-jurisdiction trust.</w:t>
            </w:r>
          </w:p>
        </w:tc>
      </w:tr>
      <w:tr>
        <w:tc>
          <w:tcPr>
            <w:tcW w:type="dxa" w:w="5083"/>
            <w:shd w:fill="F4F7FA"/>
          </w:tcPr>
          <w:p>
            <w:r>
              <w:rPr>
                <w:sz w:val="15"/>
              </w:rPr>
              <w:t>DELIBERATELY EXCLUDE FROM EARLY MVP</w:t>
            </w:r>
          </w:p>
        </w:tc>
        <w:tc>
          <w:tcPr>
            <w:tcW w:type="dxa" w:w="5083"/>
            <w:shd w:fill="F4F7FA"/>
          </w:tcPr>
          <w:p>
            <w:r>
              <w:rPr>
                <w:sz w:val="15"/>
              </w:rPr>
              <w:t>Automatic portability of clinical scope; AI-based credential or scope approval; open marketplace displacing approved agency arrangements; national storage of every credential document; payroll replacement; multi-professional rollout before the medical model is proven.</w:t>
            </w:r>
          </w:p>
        </w:tc>
      </w:tr>
    </w:tbl>
    <w:p/>
    <w:p>
      <w:r>
        <w:rPr>
          <w:b/>
        </w:rPr>
        <w:t xml:space="preserve">Updated programme vision: </w:t>
      </w:r>
      <w:r>
        <w:t>A trusted digital infrastructure that enables clinicians to prove credentials once, allows health services to define and exchange clinical authority safely and enables appropriately authorised clinicians to be mobilised wherever they are needed.</w:t>
      </w:r>
    </w:p>
    <w:tbl>
      <w:tblPr>
        <w:tblStyle w:val="TableGrid"/>
        <w:tblW w:type="auto" w:w="0"/>
        <w:tblLook w:firstColumn="1" w:firstRow="1" w:lastColumn="0" w:lastRow="0" w:noHBand="0" w:noVBand="1" w:val="04A0"/>
      </w:tblPr>
      <w:tblGrid>
        <w:gridCol w:w="5083"/>
        <w:gridCol w:w="5083"/>
      </w:tblGrid>
      <w:tr>
        <w:tc>
          <w:tcPr>
            <w:tcW w:type="dxa" w:w="5083"/>
            <w:shd w:fill="17365D"/>
          </w:tcPr>
          <w:p>
            <w:r/>
            <w:r>
              <w:rPr>
                <w:b/>
                <w:color w:val="FFFFFF"/>
                <w:sz w:val="16"/>
              </w:rPr>
              <w:t>Product layer</w:t>
            </w:r>
          </w:p>
        </w:tc>
        <w:tc>
          <w:tcPr>
            <w:tcW w:type="dxa" w:w="5083"/>
            <w:shd w:fill="17365D"/>
          </w:tcPr>
          <w:p>
            <w:r/>
            <w:r>
              <w:rPr>
                <w:b/>
                <w:color w:val="FFFFFF"/>
                <w:sz w:val="16"/>
              </w:rPr>
              <w:t>Core question</w:t>
            </w:r>
          </w:p>
        </w:tc>
      </w:tr>
      <w:tr>
        <w:tc>
          <w:tcPr>
            <w:tcW w:type="dxa" w:w="5083"/>
          </w:tcPr>
          <w:p>
            <w:r>
              <w:rPr>
                <w:sz w:val="15"/>
              </w:rPr>
              <w:t>Passport</w:t>
            </w:r>
          </w:p>
        </w:tc>
        <w:tc>
          <w:tcPr>
            <w:tcW w:type="dxa" w:w="5083"/>
          </w:tcPr>
          <w:p>
            <w:r>
              <w:rPr>
                <w:sz w:val="15"/>
              </w:rPr>
              <w:t>What can I prove about myself?</w:t>
            </w:r>
          </w:p>
        </w:tc>
      </w:tr>
      <w:tr>
        <w:tc>
          <w:tcPr>
            <w:tcW w:type="dxa" w:w="5083"/>
            <w:shd w:fill="F4F7FA"/>
          </w:tcPr>
          <w:p>
            <w:r>
              <w:rPr>
                <w:sz w:val="15"/>
              </w:rPr>
              <w:t>Scope</w:t>
            </w:r>
          </w:p>
        </w:tc>
        <w:tc>
          <w:tcPr>
            <w:tcW w:type="dxa" w:w="5083"/>
            <w:shd w:fill="F4F7FA"/>
          </w:tcPr>
          <w:p>
            <w:r>
              <w:rPr>
                <w:sz w:val="15"/>
              </w:rPr>
              <w:t>What has this health service authorised me to do?</w:t>
            </w:r>
          </w:p>
        </w:tc>
      </w:tr>
      <w:tr>
        <w:tc>
          <w:tcPr>
            <w:tcW w:type="dxa" w:w="5083"/>
          </w:tcPr>
          <w:p>
            <w:r>
              <w:rPr>
                <w:sz w:val="15"/>
              </w:rPr>
              <w:t>Exchange</w:t>
            </w:r>
          </w:p>
        </w:tc>
        <w:tc>
          <w:tcPr>
            <w:tcW w:type="dxa" w:w="5083"/>
          </w:tcPr>
          <w:p>
            <w:r>
              <w:rPr>
                <w:sz w:val="15"/>
              </w:rPr>
              <w:t>Where can I work and where am I needed?</w:t>
            </w:r>
          </w:p>
        </w:tc>
      </w:tr>
      <w:tr>
        <w:tc>
          <w:tcPr>
            <w:tcW w:type="dxa" w:w="5083"/>
            <w:shd w:fill="F4F7FA"/>
          </w:tcPr>
          <w:p>
            <w:r>
              <w:rPr>
                <w:sz w:val="15"/>
              </w:rPr>
              <w:t>Intelligence</w:t>
            </w:r>
          </w:p>
        </w:tc>
        <w:tc>
          <w:tcPr>
            <w:tcW w:type="dxa" w:w="5083"/>
            <w:shd w:fill="F4F7FA"/>
          </w:tcPr>
          <w:p>
            <w:r>
              <w:rPr>
                <w:sz w:val="15"/>
              </w:rPr>
              <w:t>What should the system change to put the right workforce in the right place?</w:t>
            </w:r>
          </w:p>
        </w:tc>
      </w:tr>
    </w:tbl>
    <w:p/>
    <w:p>
      <w:pPr>
        <w:pStyle w:val="Heading2"/>
      </w:pPr>
      <w:r>
        <w:t>Additional public-value proposition</w:t>
      </w:r>
    </w:p>
    <w:p>
      <w:r>
        <w:t>The resulting infrastructure could support a shift from retrospective workforce reporting to active workforce stewardship: understanding not simply how many clinicians exist, but who is currently authorised, deployable and willing to work in a particular service, and what modifiable factors influence whether they return.</w:t>
      </w:r>
    </w:p>
    <w:p>
      <w:pPr>
        <w:pStyle w:val="Heading2"/>
      </w:pPr>
      <w:r>
        <w:t>v0.2 revision note</w:t>
      </w:r>
    </w:p>
    <w:p>
      <w:r>
        <w:t>26 September 2026 - Expanded strategic horizon to include the workforce trust network, federated scope registry, machine-enforceable scope, reusable onboarding passport, workforce digital twin, predictive shortage management, rural workforce laboratory, emergency workforce mobilisation, multi-professional extensibility and longitudinal Clinical Professional Passport. Added explicit platform-boundary controls to protect the YNLHN MVP from scope creep.</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4"/>
      </w:rPr>
      <w:t>Draft v0.2 | September 2026 | Statewide concept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4"/>
      </w:rPr>
      <w:t>SA Health Medical Workforce Passport &amp; Exchange | Statewide Business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