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52"/>
        </w:rPr>
        <w:t>MEDICAL WORKFORCE PASSPORT</w:t>
        <w:br/>
        <w:t>&amp; CREDENTIAL INTEROPERABILITY</w:t>
      </w:r>
    </w:p>
    <w:p>
      <w:pPr>
        <w:jc w:val="center"/>
      </w:pPr>
      <w:r>
        <w:rPr>
          <w:color w:val="2F5597"/>
          <w:sz w:val="34"/>
        </w:rPr>
        <w:t>Technical &amp; Strategic Partnership Proposal</w:t>
      </w:r>
    </w:p>
    <w:p>
      <w:pPr>
        <w:jc w:val="center"/>
      </w:pPr>
      <w:r>
        <w:rPr>
          <w:b/>
          <w:sz w:val="22"/>
        </w:rPr>
        <w:t>For discussion with the Australian Digital Health Agency</w:t>
      </w:r>
    </w:p>
    <w:p>
      <w:pPr>
        <w:jc w:val="center"/>
      </w:pPr>
      <w:r>
        <w:rPr>
          <w:color w:val="666666"/>
          <w:sz w:val="19"/>
        </w:rPr>
        <w:t>South Australian demonstrator | Version 0.2 | September 2026</w:t>
      </w:r>
    </w:p>
    <w:p/>
    <w:tbl>
      <w:tblPr>
        <w:tblStyle w:val="TableGrid"/>
        <w:tblW w:type="auto" w:w="0"/>
        <w:tblLook w:firstColumn="1" w:firstRow="1" w:lastColumn="0" w:lastRow="0" w:noHBand="0" w:noVBand="1" w:val="04A0"/>
      </w:tblPr>
      <w:tblGrid>
        <w:gridCol w:w="10224"/>
      </w:tblGrid>
      <w:tr>
        <w:tc>
          <w:tcPr>
            <w:tcW w:type="dxa" w:w="10224"/>
            <w:shd w:fill="EAF0F8"/>
          </w:tcPr>
          <w:p>
            <w:r/>
            <w:r>
              <w:rPr>
                <w:rFonts w:ascii="Aptos" w:hAnsi="Aptos"/>
                <w:b/>
                <w:color w:val="17365D"/>
                <w:sz w:val="20"/>
              </w:rPr>
              <w:t>Strategic proposition: use a real medical workforce mobility problem to demonstrate how Australia's national provider identity, directory and interoperability infrastructure can be extended into reusable credential assurance, organisation-issued scope and point-in-time workforce eligibility.</w:t>
            </w:r>
          </w:p>
        </w:tc>
      </w:tr>
    </w:tbl>
    <w:p/>
    <w:p>
      <w:r>
        <w:t>This proposal seeks technical and strategic partnership, not endorsement of a particular product. South Australia would provide the operational demonstrator. The Agency would help ensure the resulting architecture reuses national infrastructure, adopts national standards and produces implementation patterns capable of wider reuse.</w:t>
      </w:r>
    </w:p>
    <w:p>
      <w:r>
        <w:br w:type="page"/>
      </w:r>
    </w:p>
    <w:p>
      <w:pPr>
        <w:pStyle w:val="Heading1"/>
      </w:pPr>
      <w:r>
        <w:t>Executive proposition</w:t>
      </w:r>
    </w:p>
    <w:p>
      <w:r>
        <w:t>Australia is progressively building the digital foundations for a connected health system. National healthcare identifiers provide authoritative identity anchors. Provider Connect Australia (PCA) provides FHIR-based mechanisms for sharing provider, organisation, healthcare service and practitioner-role information. The National Healthcare Interoperability Plan 2023-2028 establishes identity, standards and information sharing as national priorities.</w:t>
      </w:r>
    </w:p>
    <w:p>
      <w:r>
        <w:t>A material gap remains between knowing who a healthcare provider is and determining whether that provider is appropriately credentialled, authorised by a particular health service and available to perform a particular role at a particular time.</w:t>
      </w:r>
    </w:p>
    <w:tbl>
      <w:tblPr>
        <w:tblStyle w:val="TableGrid"/>
        <w:tblW w:type="auto" w:w="0"/>
        <w:tblLook w:firstColumn="1" w:firstRow="1" w:lastColumn="0" w:lastRow="0" w:noHBand="0" w:noVBand="1" w:val="04A0"/>
      </w:tblPr>
      <w:tblGrid>
        <w:gridCol w:w="10224"/>
      </w:tblGrid>
      <w:tr>
        <w:tc>
          <w:tcPr>
            <w:tcW w:type="dxa" w:w="10224"/>
            <w:shd w:fill="EAF0F8"/>
          </w:tcPr>
          <w:p>
            <w:r/>
            <w:r>
              <w:rPr>
                <w:rFonts w:ascii="Aptos" w:hAnsi="Aptos"/>
                <w:b/>
                <w:color w:val="17365D"/>
                <w:sz w:val="20"/>
              </w:rPr>
              <w:t>Identity answers 'who are you?'. Credential assurance answers 'what evidence can be trusted?'. Scope answers 'what has this organisation authorised you to do here?'. Eligibility answers 'can you fill this role now?'.</w:t>
            </w:r>
          </w:p>
        </w:tc>
      </w:tr>
    </w:tbl>
    <w:p/>
    <w:p>
      <w:r>
        <w:t>South Australia proposes a staged Medical Workforce Passport &amp; Exchange demonstrator that addresses this gap without duplicating national identity or provider-directory infrastructure. The immediate use case is medical locum mobility across regional health services. The longer-term value is a reusable national pattern for workforce credential interoperability.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Partnership objective</w:t>
            </w:r>
          </w:p>
        </w:tc>
        <w:tc>
          <w:tcPr>
            <w:tcW w:type="dxa" w:w="5112"/>
            <w:vAlign w:val="center"/>
            <w:shd w:fill="17365D"/>
          </w:tcPr>
          <w:p>
            <w:r/>
            <w:r>
              <w:rPr>
                <w:rFonts w:ascii="Aptos" w:hAnsi="Aptos"/>
                <w:b/>
                <w:color w:val="FFFFFF"/>
                <w:sz w:val="16"/>
              </w:rPr>
              <w:t>Proposed outcome</w:t>
            </w:r>
          </w:p>
        </w:tc>
      </w:tr>
      <w:tr>
        <w:tc>
          <w:tcPr>
            <w:tcW w:type="dxa" w:w="5112"/>
            <w:vAlign w:val="center"/>
          </w:tcPr>
          <w:p>
            <w:r/>
            <w:r>
              <w:rPr>
                <w:rFonts w:ascii="Aptos" w:hAnsi="Aptos"/>
                <w:b w:val="0"/>
                <w:sz w:val="15"/>
              </w:rPr>
              <w:t>National alignment</w:t>
            </w:r>
          </w:p>
        </w:tc>
        <w:tc>
          <w:tcPr>
            <w:tcW w:type="dxa" w:w="5112"/>
            <w:vAlign w:val="center"/>
          </w:tcPr>
          <w:p>
            <w:r/>
            <w:r>
              <w:rPr>
                <w:rFonts w:ascii="Aptos" w:hAnsi="Aptos"/>
                <w:b w:val="0"/>
                <w:sz w:val="15"/>
              </w:rPr>
              <w:t>Demonstrator architecture aligned to the HI Service, PCA and national interoperability direction</w:t>
            </w:r>
          </w:p>
        </w:tc>
      </w:tr>
      <w:tr>
        <w:tc>
          <w:tcPr>
            <w:tcW w:type="dxa" w:w="5112"/>
            <w:vAlign w:val="center"/>
            <w:shd w:fill="F3F6FA"/>
          </w:tcPr>
          <w:p>
            <w:r/>
            <w:r>
              <w:rPr>
                <w:rFonts w:ascii="Aptos" w:hAnsi="Aptos"/>
                <w:b w:val="0"/>
                <w:sz w:val="15"/>
              </w:rPr>
              <w:t>Standards development</w:t>
            </w:r>
          </w:p>
        </w:tc>
        <w:tc>
          <w:tcPr>
            <w:tcW w:type="dxa" w:w="5112"/>
            <w:vAlign w:val="center"/>
            <w:shd w:fill="F3F6FA"/>
          </w:tcPr>
          <w:p>
            <w:r/>
            <w:r>
              <w:rPr>
                <w:rFonts w:ascii="Aptos" w:hAnsi="Aptos"/>
                <w:b w:val="0"/>
                <w:sz w:val="15"/>
              </w:rPr>
              <w:t>A reusable information model for credential evidence, verification provenance, organisation scope and workforce eligibility</w:t>
            </w:r>
          </w:p>
        </w:tc>
      </w:tr>
      <w:tr>
        <w:tc>
          <w:tcPr>
            <w:tcW w:type="dxa" w:w="5112"/>
            <w:vAlign w:val="center"/>
          </w:tcPr>
          <w:p>
            <w:r/>
            <w:r>
              <w:rPr>
                <w:rFonts w:ascii="Aptos" w:hAnsi="Aptos"/>
                <w:b w:val="0"/>
                <w:sz w:val="15"/>
              </w:rPr>
              <w:t>FHIR implementation pattern</w:t>
            </w:r>
          </w:p>
        </w:tc>
        <w:tc>
          <w:tcPr>
            <w:tcW w:type="dxa" w:w="5112"/>
            <w:vAlign w:val="center"/>
          </w:tcPr>
          <w:p>
            <w:r/>
            <w:r>
              <w:rPr>
                <w:rFonts w:ascii="Aptos" w:hAnsi="Aptos"/>
                <w:b w:val="0"/>
                <w:sz w:val="15"/>
              </w:rPr>
              <w:t>Profiles/extensions or implementation guidance only where existing national artefacts do not represent the required semantics</w:t>
            </w:r>
          </w:p>
        </w:tc>
      </w:tr>
      <w:tr>
        <w:tc>
          <w:tcPr>
            <w:tcW w:type="dxa" w:w="5112"/>
            <w:vAlign w:val="center"/>
            <w:shd w:fill="F3F6FA"/>
          </w:tcPr>
          <w:p>
            <w:r/>
            <w:r>
              <w:rPr>
                <w:rFonts w:ascii="Aptos" w:hAnsi="Aptos"/>
                <w:b w:val="0"/>
                <w:sz w:val="15"/>
              </w:rPr>
              <w:t>Trust architecture</w:t>
            </w:r>
          </w:p>
        </w:tc>
        <w:tc>
          <w:tcPr>
            <w:tcW w:type="dxa" w:w="5112"/>
            <w:vAlign w:val="center"/>
            <w:shd w:fill="F3F6FA"/>
          </w:tcPr>
          <w:p>
            <w:r/>
            <w:r>
              <w:rPr>
                <w:rFonts w:ascii="Aptos" w:hAnsi="Aptos"/>
                <w:b w:val="0"/>
                <w:sz w:val="15"/>
              </w:rPr>
              <w:t>A federated model in which authoritative sources, practitioners and health services retain appropriate decision rights</w:t>
            </w:r>
          </w:p>
        </w:tc>
      </w:tr>
      <w:tr>
        <w:tc>
          <w:tcPr>
            <w:tcW w:type="dxa" w:w="5112"/>
            <w:vAlign w:val="center"/>
          </w:tcPr>
          <w:p>
            <w:r/>
            <w:r>
              <w:rPr>
                <w:rFonts w:ascii="Aptos" w:hAnsi="Aptos"/>
                <w:b w:val="0"/>
                <w:sz w:val="15"/>
              </w:rPr>
              <w:t>Evidence generation</w:t>
            </w:r>
          </w:p>
        </w:tc>
        <w:tc>
          <w:tcPr>
            <w:tcW w:type="dxa" w:w="5112"/>
            <w:vAlign w:val="center"/>
          </w:tcPr>
          <w:p>
            <w:r/>
            <w:r>
              <w:rPr>
                <w:rFonts w:ascii="Aptos" w:hAnsi="Aptos"/>
                <w:b w:val="0"/>
                <w:sz w:val="15"/>
              </w:rPr>
              <w:t>Real-world evidence on credential reuse, cross-organisation mobility, safety, administration and rural workforce outcomes</w:t>
            </w:r>
          </w:p>
        </w:tc>
      </w:tr>
      <w:tr>
        <w:tc>
          <w:tcPr>
            <w:tcW w:type="dxa" w:w="5112"/>
            <w:vAlign w:val="center"/>
            <w:shd w:fill="F3F6FA"/>
          </w:tcPr>
          <w:p>
            <w:r/>
            <w:r>
              <w:rPr>
                <w:rFonts w:ascii="Aptos" w:hAnsi="Aptos"/>
                <w:b w:val="0"/>
                <w:sz w:val="15"/>
              </w:rPr>
              <w:t>National reuse</w:t>
            </w:r>
          </w:p>
        </w:tc>
        <w:tc>
          <w:tcPr>
            <w:tcW w:type="dxa" w:w="5112"/>
            <w:vAlign w:val="center"/>
            <w:shd w:fill="F3F6FA"/>
          </w:tcPr>
          <w:p>
            <w:r/>
            <w:r>
              <w:rPr>
                <w:rFonts w:ascii="Aptos" w:hAnsi="Aptos"/>
                <w:b w:val="0"/>
                <w:sz w:val="15"/>
              </w:rPr>
              <w:t>Open specifications and implementation lessons suitable for other jurisdictions and vendors</w:t>
            </w:r>
          </w:p>
        </w:tc>
      </w:tr>
    </w:tbl>
    <w:p/>
    <w:p>
      <w:pPr>
        <w:pStyle w:val="Heading1"/>
      </w:pPr>
      <w:r>
        <w:t>1. Why this is an ADHA-relevant problem</w:t>
      </w:r>
    </w:p>
    <w:p>
      <w:r>
        <w:t>The proposed use case sits at the intersection of identity, interoperability, provider information and safe information exchange. It is not primarily a rostering problem. The roster is the operational endpoint that makes the interoperability problem measurable.</w:t>
      </w:r>
    </w:p>
    <w:p>
      <w:pPr>
        <w:pStyle w:val="ListBullet"/>
      </w:pPr>
      <w:r>
        <w:t>A practitioner needs a stable national identity anchor.</w:t>
      </w:r>
    </w:p>
    <w:p>
      <w:pPr>
        <w:pStyle w:val="ListBullet"/>
      </w:pPr>
      <w:r>
        <w:t>Credential evidence needs structured semantics and provenance.</w:t>
      </w:r>
    </w:p>
    <w:p>
      <w:pPr>
        <w:pStyle w:val="ListBullet"/>
      </w:pPr>
      <w:r>
        <w:t>Verification needs to be distinguishable from self-asserted information.</w:t>
      </w:r>
    </w:p>
    <w:p>
      <w:pPr>
        <w:pStyle w:val="ListBullet"/>
      </w:pPr>
      <w:r>
        <w:t>An organisation needs to publish or retain its own scope decision.</w:t>
      </w:r>
    </w:p>
    <w:p>
      <w:pPr>
        <w:pStyle w:val="ListBullet"/>
      </w:pPr>
      <w:r>
        <w:t>A receiving organisation needs to determine what evidence it trusts and what additional requirements remain.</w:t>
      </w:r>
    </w:p>
    <w:p>
      <w:pPr>
        <w:pStyle w:val="ListBullet"/>
      </w:pPr>
      <w:r>
        <w:t>Systems need interoperable representations of practitioner, organisation, location, role and provenance.</w:t>
      </w:r>
    </w:p>
    <w:p>
      <w:pPr>
        <w:pStyle w:val="ListBullet"/>
      </w:pPr>
      <w:r>
        <w:t>The resulting information needs to support a real transaction: safe mobilisation of a clinician into a workforce vacancy.</w:t>
      </w:r>
    </w:p>
    <w:p>
      <w:pPr>
        <w:pStyle w:val="Heading1"/>
      </w:pPr>
      <w:r>
        <w:t>2. Alignment with current Agency strategy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Agency direction</w:t>
            </w:r>
          </w:p>
        </w:tc>
        <w:tc>
          <w:tcPr>
            <w:tcW w:type="dxa" w:w="5112"/>
            <w:vAlign w:val="center"/>
            <w:shd w:fill="17365D"/>
          </w:tcPr>
          <w:p>
            <w:r/>
            <w:r>
              <w:rPr>
                <w:rFonts w:ascii="Aptos" w:hAnsi="Aptos"/>
                <w:b/>
                <w:color w:val="FFFFFF"/>
                <w:sz w:val="16"/>
              </w:rPr>
              <w:t>Alignment</w:t>
            </w:r>
          </w:p>
        </w:tc>
      </w:tr>
      <w:tr>
        <w:tc>
          <w:tcPr>
            <w:tcW w:type="dxa" w:w="5112"/>
            <w:vAlign w:val="center"/>
          </w:tcPr>
          <w:p>
            <w:r/>
            <w:r>
              <w:rPr>
                <w:rFonts w:ascii="Aptos" w:hAnsi="Aptos"/>
                <w:b w:val="0"/>
                <w:sz w:val="15"/>
              </w:rPr>
              <w:t>National Healthcare Interoperability Plan 2023-2028</w:t>
            </w:r>
          </w:p>
        </w:tc>
        <w:tc>
          <w:tcPr>
            <w:tcW w:type="dxa" w:w="5112"/>
            <w:vAlign w:val="center"/>
          </w:tcPr>
          <w:p>
            <w:r/>
            <w:r>
              <w:rPr>
                <w:rFonts w:ascii="Aptos" w:hAnsi="Aptos"/>
                <w:b w:val="0"/>
                <w:sz w:val="15"/>
              </w:rPr>
              <w:t>The plan identifies identity, standards, information sharing, innovation and benefits measurement as national priority areas.</w:t>
            </w:r>
          </w:p>
        </w:tc>
      </w:tr>
      <w:tr>
        <w:tc>
          <w:tcPr>
            <w:tcW w:type="dxa" w:w="5112"/>
            <w:vAlign w:val="center"/>
            <w:shd w:fill="F3F6FA"/>
          </w:tcPr>
          <w:p>
            <w:r/>
            <w:r>
              <w:rPr>
                <w:rFonts w:ascii="Aptos" w:hAnsi="Aptos"/>
                <w:b w:val="0"/>
                <w:sz w:val="15"/>
              </w:rPr>
              <w:t>National Healthcare Identifiers Roadmap 2023-2028</w:t>
            </w:r>
          </w:p>
        </w:tc>
        <w:tc>
          <w:tcPr>
            <w:tcW w:type="dxa" w:w="5112"/>
            <w:vAlign w:val="center"/>
            <w:shd w:fill="F3F6FA"/>
          </w:tcPr>
          <w:p>
            <w:r/>
            <w:r>
              <w:rPr>
                <w:rFonts w:ascii="Aptos" w:hAnsi="Aptos"/>
                <w:b w:val="0"/>
                <w:sz w:val="15"/>
              </w:rPr>
              <w:t>The Roadmap seeks wider, consistent use of national healthcare identifiers in digital health initiatives and includes architecture, standards, governance and directory-service development.</w:t>
            </w:r>
          </w:p>
        </w:tc>
      </w:tr>
      <w:tr>
        <w:tc>
          <w:tcPr>
            <w:tcW w:type="dxa" w:w="5112"/>
            <w:vAlign w:val="center"/>
          </w:tcPr>
          <w:p>
            <w:r/>
            <w:r>
              <w:rPr>
                <w:rFonts w:ascii="Aptos" w:hAnsi="Aptos"/>
                <w:b w:val="0"/>
                <w:sz w:val="15"/>
              </w:rPr>
              <w:t>Provider Connect Australia</w:t>
            </w:r>
          </w:p>
        </w:tc>
        <w:tc>
          <w:tcPr>
            <w:tcW w:type="dxa" w:w="5112"/>
            <w:vAlign w:val="center"/>
          </w:tcPr>
          <w:p>
            <w:r/>
            <w:r>
              <w:rPr>
                <w:rFonts w:ascii="Aptos" w:hAnsi="Aptos"/>
                <w:b w:val="0"/>
                <w:sz w:val="15"/>
              </w:rPr>
              <w:t>PCA already represents Practitioner, PractitionerRole, Organization, HealthcareService, Location and Provenance using FHIR R4.</w:t>
            </w:r>
          </w:p>
        </w:tc>
      </w:tr>
      <w:tr>
        <w:tc>
          <w:tcPr>
            <w:tcW w:type="dxa" w:w="5112"/>
            <w:vAlign w:val="center"/>
            <w:shd w:fill="F3F6FA"/>
          </w:tcPr>
          <w:p>
            <w:r/>
            <w:r>
              <w:rPr>
                <w:rFonts w:ascii="Aptos" w:hAnsi="Aptos"/>
                <w:b w:val="0"/>
                <w:sz w:val="15"/>
              </w:rPr>
              <w:t>FHIR implementation ecosystem</w:t>
            </w:r>
          </w:p>
        </w:tc>
        <w:tc>
          <w:tcPr>
            <w:tcW w:type="dxa" w:w="5112"/>
            <w:vAlign w:val="center"/>
            <w:shd w:fill="F3F6FA"/>
          </w:tcPr>
          <w:p>
            <w:r/>
            <w:r>
              <w:rPr>
                <w:rFonts w:ascii="Aptos" w:hAnsi="Aptos"/>
                <w:b w:val="0"/>
                <w:sz w:val="15"/>
              </w:rPr>
              <w:t>The Agency publishes implementation guides, packages and conformance resources through the Digital Health Implementer Hub.</w:t>
            </w:r>
          </w:p>
        </w:tc>
      </w:tr>
      <w:tr>
        <w:tc>
          <w:tcPr>
            <w:tcW w:type="dxa" w:w="5112"/>
            <w:vAlign w:val="center"/>
          </w:tcPr>
          <w:p>
            <w:r/>
            <w:r>
              <w:rPr>
                <w:rFonts w:ascii="Aptos" w:hAnsi="Aptos"/>
                <w:b w:val="0"/>
                <w:sz w:val="15"/>
              </w:rPr>
              <w:t>Connected-care governance</w:t>
            </w:r>
          </w:p>
        </w:tc>
        <w:tc>
          <w:tcPr>
            <w:tcW w:type="dxa" w:w="5112"/>
            <w:vAlign w:val="center"/>
          </w:tcPr>
          <w:p>
            <w:r/>
            <w:r>
              <w:rPr>
                <w:rFonts w:ascii="Aptos" w:hAnsi="Aptos"/>
                <w:b w:val="0"/>
                <w:sz w:val="15"/>
              </w:rPr>
              <w:t>The demonstrator can be designed to generate evidence and standards questions for established national interoperability governance rather than creating a parallel standards process.</w:t>
            </w:r>
          </w:p>
        </w:tc>
      </w:tr>
    </w:tbl>
    <w:p/>
    <w:p>
      <w:pPr>
        <w:pStyle w:val="Heading1"/>
      </w:pPr>
      <w:r>
        <w:t>3. The architectural gap</w:t>
      </w:r>
    </w:p>
    <w:p>
      <w:r>
        <w:t>PCA is deliberately focused on sharing provider, organisation and healthcare-service information with authorised business partners. Its current FHIR implementation guide includes profiles for Practitioner, PractitionerRole, Organization, HealthcareService, Location and Provenance. These are highly relevant foundations.</w:t>
      </w:r>
    </w:p>
    <w:p>
      <w:r>
        <w:t>The proposed demonstrator introduces additional workforce assurance semantics that should not be forced into existing resources without national design review. In particular, a credential claim, evidence supporting that claim, verification of that evidence, and an organisation's scope-of-practice decision are different concepts with different owners, lifecycles and legal significance.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rFonts w:ascii="Aptos" w:hAnsi="Aptos"/>
                <w:b/>
                <w:color w:val="FFFFFF"/>
                <w:sz w:val="16"/>
              </w:rPr>
              <w:t>Concept</w:t>
            </w:r>
          </w:p>
        </w:tc>
        <w:tc>
          <w:tcPr>
            <w:tcW w:type="dxa" w:w="3408"/>
            <w:vAlign w:val="center"/>
            <w:shd w:fill="17365D"/>
          </w:tcPr>
          <w:p>
            <w:r/>
            <w:r>
              <w:rPr>
                <w:rFonts w:ascii="Aptos" w:hAnsi="Aptos"/>
                <w:b/>
                <w:color w:val="FFFFFF"/>
                <w:sz w:val="16"/>
              </w:rPr>
              <w:t>Example</w:t>
            </w:r>
          </w:p>
        </w:tc>
        <w:tc>
          <w:tcPr>
            <w:tcW w:type="dxa" w:w="3408"/>
            <w:vAlign w:val="center"/>
            <w:shd w:fill="17365D"/>
          </w:tcPr>
          <w:p>
            <w:r/>
            <w:r>
              <w:rPr>
                <w:rFonts w:ascii="Aptos" w:hAnsi="Aptos"/>
                <w:b/>
                <w:color w:val="FFFFFF"/>
                <w:sz w:val="16"/>
              </w:rPr>
              <w:t>Why it must remain distinct</w:t>
            </w:r>
          </w:p>
        </w:tc>
      </w:tr>
      <w:tr>
        <w:tc>
          <w:tcPr>
            <w:tcW w:type="dxa" w:w="3408"/>
            <w:vAlign w:val="center"/>
          </w:tcPr>
          <w:p>
            <w:r/>
            <w:r>
              <w:rPr>
                <w:rFonts w:ascii="Aptos" w:hAnsi="Aptos"/>
                <w:b w:val="0"/>
                <w:sz w:val="15"/>
              </w:rPr>
              <w:t>Practitioner identity</w:t>
            </w:r>
          </w:p>
        </w:tc>
        <w:tc>
          <w:tcPr>
            <w:tcW w:type="dxa" w:w="3408"/>
            <w:vAlign w:val="center"/>
          </w:tcPr>
          <w:p>
            <w:r/>
            <w:r>
              <w:rPr>
                <w:rFonts w:ascii="Aptos" w:hAnsi="Aptos"/>
                <w:b w:val="0"/>
                <w:sz w:val="15"/>
              </w:rPr>
              <w:t>HPI-I / Ahpra-linked doctor</w:t>
            </w:r>
          </w:p>
        </w:tc>
        <w:tc>
          <w:tcPr>
            <w:tcW w:type="dxa" w:w="3408"/>
            <w:vAlign w:val="center"/>
          </w:tcPr>
          <w:p>
            <w:r/>
            <w:r>
              <w:rPr>
                <w:rFonts w:ascii="Aptos" w:hAnsi="Aptos"/>
                <w:b w:val="0"/>
                <w:sz w:val="15"/>
              </w:rPr>
              <w:t>Stable identity anchor</w:t>
            </w:r>
          </w:p>
        </w:tc>
      </w:tr>
      <w:tr>
        <w:tc>
          <w:tcPr>
            <w:tcW w:type="dxa" w:w="3408"/>
            <w:vAlign w:val="center"/>
            <w:shd w:fill="F3F6FA"/>
          </w:tcPr>
          <w:p>
            <w:r/>
            <w:r>
              <w:rPr>
                <w:rFonts w:ascii="Aptos" w:hAnsi="Aptos"/>
                <w:b w:val="0"/>
                <w:sz w:val="15"/>
              </w:rPr>
              <w:t>Credential claim</w:t>
            </w:r>
          </w:p>
        </w:tc>
        <w:tc>
          <w:tcPr>
            <w:tcW w:type="dxa" w:w="3408"/>
            <w:vAlign w:val="center"/>
            <w:shd w:fill="F3F6FA"/>
          </w:tcPr>
          <w:p>
            <w:r/>
            <w:r>
              <w:rPr>
                <w:rFonts w:ascii="Aptos" w:hAnsi="Aptos"/>
                <w:b w:val="0"/>
                <w:sz w:val="15"/>
              </w:rPr>
              <w:t>FACEM, ALS2, Working with Children Check</w:t>
            </w:r>
          </w:p>
        </w:tc>
        <w:tc>
          <w:tcPr>
            <w:tcW w:type="dxa" w:w="3408"/>
            <w:vAlign w:val="center"/>
            <w:shd w:fill="F3F6FA"/>
          </w:tcPr>
          <w:p>
            <w:r/>
            <w:r>
              <w:rPr>
                <w:rFonts w:ascii="Aptos" w:hAnsi="Aptos"/>
                <w:b w:val="0"/>
                <w:sz w:val="15"/>
              </w:rPr>
              <w:t>A professional fact or assertion</w:t>
            </w:r>
          </w:p>
        </w:tc>
      </w:tr>
      <w:tr>
        <w:tc>
          <w:tcPr>
            <w:tcW w:type="dxa" w:w="3408"/>
            <w:vAlign w:val="center"/>
          </w:tcPr>
          <w:p>
            <w:r/>
            <w:r>
              <w:rPr>
                <w:rFonts w:ascii="Aptos" w:hAnsi="Aptos"/>
                <w:b w:val="0"/>
                <w:sz w:val="15"/>
              </w:rPr>
              <w:t>Evidence</w:t>
            </w:r>
          </w:p>
        </w:tc>
        <w:tc>
          <w:tcPr>
            <w:tcW w:type="dxa" w:w="3408"/>
            <w:vAlign w:val="center"/>
          </w:tcPr>
          <w:p>
            <w:r/>
            <w:r>
              <w:rPr>
                <w:rFonts w:ascii="Aptos" w:hAnsi="Aptos"/>
                <w:b w:val="0"/>
                <w:sz w:val="15"/>
              </w:rPr>
              <w:t>Certificate, college record, regulator response</w:t>
            </w:r>
          </w:p>
        </w:tc>
        <w:tc>
          <w:tcPr>
            <w:tcW w:type="dxa" w:w="3408"/>
            <w:vAlign w:val="center"/>
          </w:tcPr>
          <w:p>
            <w:r/>
            <w:r>
              <w:rPr>
                <w:rFonts w:ascii="Aptos" w:hAnsi="Aptos"/>
                <w:b w:val="0"/>
                <w:sz w:val="15"/>
              </w:rPr>
              <w:t>Supports the credential claim</w:t>
            </w:r>
          </w:p>
        </w:tc>
      </w:tr>
      <w:tr>
        <w:tc>
          <w:tcPr>
            <w:tcW w:type="dxa" w:w="3408"/>
            <w:vAlign w:val="center"/>
            <w:shd w:fill="F3F6FA"/>
          </w:tcPr>
          <w:p>
            <w:r/>
            <w:r>
              <w:rPr>
                <w:rFonts w:ascii="Aptos" w:hAnsi="Aptos"/>
                <w:b w:val="0"/>
                <w:sz w:val="15"/>
              </w:rPr>
              <w:t>Verification</w:t>
            </w:r>
          </w:p>
        </w:tc>
        <w:tc>
          <w:tcPr>
            <w:tcW w:type="dxa" w:w="3408"/>
            <w:vAlign w:val="center"/>
            <w:shd w:fill="F3F6FA"/>
          </w:tcPr>
          <w:p>
            <w:r/>
            <w:r>
              <w:rPr>
                <w:rFonts w:ascii="Aptos" w:hAnsi="Aptos"/>
                <w:b w:val="0"/>
                <w:sz w:val="15"/>
              </w:rPr>
              <w:t>YNLHN checked certificate with college on date X</w:t>
            </w:r>
          </w:p>
        </w:tc>
        <w:tc>
          <w:tcPr>
            <w:tcW w:type="dxa" w:w="3408"/>
            <w:vAlign w:val="center"/>
            <w:shd w:fill="F3F6FA"/>
          </w:tcPr>
          <w:p>
            <w:r/>
            <w:r>
              <w:rPr>
                <w:rFonts w:ascii="Aptos" w:hAnsi="Aptos"/>
                <w:b w:val="0"/>
                <w:sz w:val="15"/>
              </w:rPr>
              <w:t>Records trust/provenance, not clinical authority</w:t>
            </w:r>
          </w:p>
        </w:tc>
      </w:tr>
      <w:tr>
        <w:tc>
          <w:tcPr>
            <w:tcW w:type="dxa" w:w="3408"/>
            <w:vAlign w:val="center"/>
          </w:tcPr>
          <w:p>
            <w:r/>
            <w:r>
              <w:rPr>
                <w:rFonts w:ascii="Aptos" w:hAnsi="Aptos"/>
                <w:b w:val="0"/>
                <w:sz w:val="15"/>
              </w:rPr>
              <w:t>Capability mapping</w:t>
            </w:r>
          </w:p>
        </w:tc>
        <w:tc>
          <w:tcPr>
            <w:tcW w:type="dxa" w:w="3408"/>
            <w:vAlign w:val="center"/>
          </w:tcPr>
          <w:p>
            <w:r/>
            <w:r>
              <w:rPr>
                <w:rFonts w:ascii="Aptos" w:hAnsi="Aptos"/>
                <w:b w:val="0"/>
                <w:sz w:val="15"/>
              </w:rPr>
              <w:t>Credential may satisfy an ED Senior requirement</w:t>
            </w:r>
          </w:p>
        </w:tc>
        <w:tc>
          <w:tcPr>
            <w:tcW w:type="dxa" w:w="3408"/>
            <w:vAlign w:val="center"/>
          </w:tcPr>
          <w:p>
            <w:r/>
            <w:r>
              <w:rPr>
                <w:rFonts w:ascii="Aptos" w:hAnsi="Aptos"/>
                <w:b w:val="0"/>
                <w:sz w:val="15"/>
              </w:rPr>
              <w:t>Interpretive/rules layer</w:t>
            </w:r>
          </w:p>
        </w:tc>
      </w:tr>
      <w:tr>
        <w:tc>
          <w:tcPr>
            <w:tcW w:type="dxa" w:w="3408"/>
            <w:vAlign w:val="center"/>
            <w:shd w:fill="F3F6FA"/>
          </w:tcPr>
          <w:p>
            <w:r/>
            <w:r>
              <w:rPr>
                <w:rFonts w:ascii="Aptos" w:hAnsi="Aptos"/>
                <w:b w:val="0"/>
                <w:sz w:val="15"/>
              </w:rPr>
              <w:t>Scope grant</w:t>
            </w:r>
          </w:p>
        </w:tc>
        <w:tc>
          <w:tcPr>
            <w:tcW w:type="dxa" w:w="3408"/>
            <w:vAlign w:val="center"/>
            <w:shd w:fill="F3F6FA"/>
          </w:tcPr>
          <w:p>
            <w:r/>
            <w:r>
              <w:rPr>
                <w:rFonts w:ascii="Aptos" w:hAnsi="Aptos"/>
                <w:b w:val="0"/>
                <w:sz w:val="15"/>
              </w:rPr>
              <w:t>LHN authorises ED Senior practice at specified sites</w:t>
            </w:r>
          </w:p>
        </w:tc>
        <w:tc>
          <w:tcPr>
            <w:tcW w:type="dxa" w:w="3408"/>
            <w:vAlign w:val="center"/>
            <w:shd w:fill="F3F6FA"/>
          </w:tcPr>
          <w:p>
            <w:r/>
            <w:r>
              <w:rPr>
                <w:rFonts w:ascii="Aptos" w:hAnsi="Aptos"/>
                <w:b w:val="0"/>
                <w:sz w:val="15"/>
              </w:rPr>
              <w:t>Organisation-specific governance decision</w:t>
            </w:r>
          </w:p>
        </w:tc>
      </w:tr>
      <w:tr>
        <w:tc>
          <w:tcPr>
            <w:tcW w:type="dxa" w:w="3408"/>
            <w:vAlign w:val="center"/>
          </w:tcPr>
          <w:p>
            <w:r/>
            <w:r>
              <w:rPr>
                <w:rFonts w:ascii="Aptos" w:hAnsi="Aptos"/>
                <w:b w:val="0"/>
                <w:sz w:val="15"/>
              </w:rPr>
              <w:t>Role requirement</w:t>
            </w:r>
          </w:p>
        </w:tc>
        <w:tc>
          <w:tcPr>
            <w:tcW w:type="dxa" w:w="3408"/>
            <w:vAlign w:val="center"/>
          </w:tcPr>
          <w:p>
            <w:r/>
            <w:r>
              <w:rPr>
                <w:rFonts w:ascii="Aptos" w:hAnsi="Aptos"/>
                <w:b w:val="0"/>
                <w:sz w:val="15"/>
              </w:rPr>
              <w:t>ED Senior at Port Pirie requires defined conditions</w:t>
            </w:r>
          </w:p>
        </w:tc>
        <w:tc>
          <w:tcPr>
            <w:tcW w:type="dxa" w:w="3408"/>
            <w:vAlign w:val="center"/>
          </w:tcPr>
          <w:p>
            <w:r/>
            <w:r>
              <w:rPr>
                <w:rFonts w:ascii="Aptos" w:hAnsi="Aptos"/>
                <w:b w:val="0"/>
                <w:sz w:val="15"/>
              </w:rPr>
              <w:t>Vacancy/service requirement</w:t>
            </w:r>
          </w:p>
        </w:tc>
      </w:tr>
      <w:tr>
        <w:tc>
          <w:tcPr>
            <w:tcW w:type="dxa" w:w="3408"/>
            <w:vAlign w:val="center"/>
            <w:shd w:fill="F3F6FA"/>
          </w:tcPr>
          <w:p>
            <w:r/>
            <w:r>
              <w:rPr>
                <w:rFonts w:ascii="Aptos" w:hAnsi="Aptos"/>
                <w:b w:val="0"/>
                <w:sz w:val="15"/>
              </w:rPr>
              <w:t>Eligibility assertion</w:t>
            </w:r>
          </w:p>
        </w:tc>
        <w:tc>
          <w:tcPr>
            <w:tcW w:type="dxa" w:w="3408"/>
            <w:vAlign w:val="center"/>
            <w:shd w:fill="F3F6FA"/>
          </w:tcPr>
          <w:p>
            <w:r/>
            <w:r>
              <w:rPr>
                <w:rFonts w:ascii="Aptos" w:hAnsi="Aptos"/>
                <w:b w:val="0"/>
                <w:sz w:val="15"/>
              </w:rPr>
              <w:t>Doctor meets current hard requirements at 10:00 today</w:t>
            </w:r>
          </w:p>
        </w:tc>
        <w:tc>
          <w:tcPr>
            <w:tcW w:type="dxa" w:w="3408"/>
            <w:vAlign w:val="center"/>
            <w:shd w:fill="F3F6FA"/>
          </w:tcPr>
          <w:p>
            <w:r/>
            <w:r>
              <w:rPr>
                <w:rFonts w:ascii="Aptos" w:hAnsi="Aptos"/>
                <w:b w:val="0"/>
                <w:sz w:val="15"/>
              </w:rPr>
              <w:t>Derived, time-bound result</w:t>
            </w:r>
          </w:p>
        </w:tc>
      </w:tr>
    </w:tbl>
    <w:p/>
    <w:p>
      <w:pPr>
        <w:pStyle w:val="Heading1"/>
      </w:pPr>
      <w:r>
        <w:t>4. Proposed reference architecture</w:t>
      </w:r>
    </w:p>
    <w:tbl>
      <w:tblPr>
        <w:tblStyle w:val="TableGrid"/>
        <w:tblW w:type="auto" w:w="0"/>
        <w:tblLook w:firstColumn="1" w:firstRow="1" w:lastColumn="0" w:lastRow="0" w:noHBand="0" w:noVBand="1" w:val="04A0"/>
      </w:tblPr>
      <w:tblGrid>
        <w:gridCol w:w="10224"/>
      </w:tblGrid>
      <w:tr>
        <w:tc>
          <w:tcPr>
            <w:tcW w:type="dxa" w:w="10224"/>
            <w:shd w:fill="EAF0F8"/>
          </w:tcPr>
          <w:p>
            <w:r/>
            <w:r>
              <w:rPr>
                <w:rFonts w:ascii="Aptos" w:hAnsi="Aptos"/>
                <w:b/>
                <w:color w:val="17365D"/>
                <w:sz w:val="20"/>
              </w:rPr>
              <w:t>Federated by design: authoritative identity stays authoritative, practitioner-held evidence stays attributable, verification stays provenance-rich and health services retain scope authority.</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rFonts w:ascii="Aptos" w:hAnsi="Aptos"/>
                <w:b/>
                <w:color w:val="FFFFFF"/>
                <w:sz w:val="16"/>
              </w:rPr>
              <w:t>Layer</w:t>
            </w:r>
          </w:p>
        </w:tc>
        <w:tc>
          <w:tcPr>
            <w:tcW w:type="dxa" w:w="3408"/>
            <w:vAlign w:val="center"/>
            <w:shd w:fill="17365D"/>
          </w:tcPr>
          <w:p>
            <w:r/>
            <w:r>
              <w:rPr>
                <w:rFonts w:ascii="Aptos" w:hAnsi="Aptos"/>
                <w:b/>
                <w:color w:val="FFFFFF"/>
                <w:sz w:val="16"/>
              </w:rPr>
              <w:t>Primary responsibility</w:t>
            </w:r>
          </w:p>
        </w:tc>
        <w:tc>
          <w:tcPr>
            <w:tcW w:type="dxa" w:w="3408"/>
            <w:vAlign w:val="center"/>
            <w:shd w:fill="17365D"/>
          </w:tcPr>
          <w:p>
            <w:r/>
            <w:r>
              <w:rPr>
                <w:rFonts w:ascii="Aptos" w:hAnsi="Aptos"/>
                <w:b/>
                <w:color w:val="FFFFFF"/>
                <w:sz w:val="16"/>
              </w:rPr>
              <w:t>Potential national relationship</w:t>
            </w:r>
          </w:p>
        </w:tc>
      </w:tr>
      <w:tr>
        <w:tc>
          <w:tcPr>
            <w:tcW w:type="dxa" w:w="3408"/>
            <w:vAlign w:val="center"/>
          </w:tcPr>
          <w:p>
            <w:r/>
            <w:r>
              <w:rPr>
                <w:rFonts w:ascii="Aptos" w:hAnsi="Aptos"/>
                <w:b w:val="0"/>
                <w:sz w:val="15"/>
              </w:rPr>
              <w:t>Identity</w:t>
            </w:r>
          </w:p>
        </w:tc>
        <w:tc>
          <w:tcPr>
            <w:tcW w:type="dxa" w:w="3408"/>
            <w:vAlign w:val="center"/>
          </w:tcPr>
          <w:p>
            <w:r/>
            <w:r>
              <w:rPr>
                <w:rFonts w:ascii="Aptos" w:hAnsi="Aptos"/>
                <w:b w:val="0"/>
                <w:sz w:val="15"/>
              </w:rPr>
              <w:t>Resolve practitioner and organisation identity</w:t>
            </w:r>
          </w:p>
        </w:tc>
        <w:tc>
          <w:tcPr>
            <w:tcW w:type="dxa" w:w="3408"/>
            <w:vAlign w:val="center"/>
          </w:tcPr>
          <w:p>
            <w:r/>
            <w:r>
              <w:rPr>
                <w:rFonts w:ascii="Aptos" w:hAnsi="Aptos"/>
                <w:b w:val="0"/>
                <w:sz w:val="15"/>
              </w:rPr>
              <w:t>HPI-I, HPI-O, Ahpra identifiers, HI Service</w:t>
            </w:r>
          </w:p>
        </w:tc>
      </w:tr>
      <w:tr>
        <w:tc>
          <w:tcPr>
            <w:tcW w:type="dxa" w:w="3408"/>
            <w:vAlign w:val="center"/>
            <w:shd w:fill="F3F6FA"/>
          </w:tcPr>
          <w:p>
            <w:r/>
            <w:r>
              <w:rPr>
                <w:rFonts w:ascii="Aptos" w:hAnsi="Aptos"/>
                <w:b w:val="0"/>
                <w:sz w:val="15"/>
              </w:rPr>
              <w:t>Provider/service directory</w:t>
            </w:r>
          </w:p>
        </w:tc>
        <w:tc>
          <w:tcPr>
            <w:tcW w:type="dxa" w:w="3408"/>
            <w:vAlign w:val="center"/>
            <w:shd w:fill="F3F6FA"/>
          </w:tcPr>
          <w:p>
            <w:r/>
            <w:r>
              <w:rPr>
                <w:rFonts w:ascii="Aptos" w:hAnsi="Aptos"/>
                <w:b w:val="0"/>
                <w:sz w:val="15"/>
              </w:rPr>
              <w:t>Organisation, location, service and practitioner-role information</w:t>
            </w:r>
          </w:p>
        </w:tc>
        <w:tc>
          <w:tcPr>
            <w:tcW w:type="dxa" w:w="3408"/>
            <w:vAlign w:val="center"/>
            <w:shd w:fill="F3F6FA"/>
          </w:tcPr>
          <w:p>
            <w:r/>
            <w:r>
              <w:rPr>
                <w:rFonts w:ascii="Aptos" w:hAnsi="Aptos"/>
                <w:b w:val="0"/>
                <w:sz w:val="15"/>
              </w:rPr>
              <w:t>PCA / Health Connect Australia direction</w:t>
            </w:r>
          </w:p>
        </w:tc>
      </w:tr>
      <w:tr>
        <w:tc>
          <w:tcPr>
            <w:tcW w:type="dxa" w:w="3408"/>
            <w:vAlign w:val="center"/>
          </w:tcPr>
          <w:p>
            <w:r/>
            <w:r>
              <w:rPr>
                <w:rFonts w:ascii="Aptos" w:hAnsi="Aptos"/>
                <w:b w:val="0"/>
                <w:sz w:val="15"/>
              </w:rPr>
              <w:t>Credential portfolio</w:t>
            </w:r>
          </w:p>
        </w:tc>
        <w:tc>
          <w:tcPr>
            <w:tcW w:type="dxa" w:w="3408"/>
            <w:vAlign w:val="center"/>
          </w:tcPr>
          <w:p>
            <w:r/>
            <w:r>
              <w:rPr>
                <w:rFonts w:ascii="Aptos" w:hAnsi="Aptos"/>
                <w:b w:val="0"/>
                <w:sz w:val="15"/>
              </w:rPr>
              <w:t>Structured practitioner credentials and evidence</w:t>
            </w:r>
          </w:p>
        </w:tc>
        <w:tc>
          <w:tcPr>
            <w:tcW w:type="dxa" w:w="3408"/>
            <w:vAlign w:val="center"/>
          </w:tcPr>
          <w:p>
            <w:r/>
            <w:r>
              <w:rPr>
                <w:rFonts w:ascii="Aptos" w:hAnsi="Aptos"/>
                <w:b w:val="0"/>
                <w:sz w:val="15"/>
              </w:rPr>
              <w:t>Demonstrator domain; candidate interoperable specification</w:t>
            </w:r>
          </w:p>
        </w:tc>
      </w:tr>
      <w:tr>
        <w:tc>
          <w:tcPr>
            <w:tcW w:type="dxa" w:w="3408"/>
            <w:vAlign w:val="center"/>
            <w:shd w:fill="F3F6FA"/>
          </w:tcPr>
          <w:p>
            <w:r/>
            <w:r>
              <w:rPr>
                <w:rFonts w:ascii="Aptos" w:hAnsi="Aptos"/>
                <w:b w:val="0"/>
                <w:sz w:val="15"/>
              </w:rPr>
              <w:t>Verification provenance</w:t>
            </w:r>
          </w:p>
        </w:tc>
        <w:tc>
          <w:tcPr>
            <w:tcW w:type="dxa" w:w="3408"/>
            <w:vAlign w:val="center"/>
            <w:shd w:fill="F3F6FA"/>
          </w:tcPr>
          <w:p>
            <w:r/>
            <w:r>
              <w:rPr>
                <w:rFonts w:ascii="Aptos" w:hAnsi="Aptos"/>
                <w:b w:val="0"/>
                <w:sz w:val="15"/>
              </w:rPr>
              <w:t>Who checked what, how, when and against which source</w:t>
            </w:r>
          </w:p>
        </w:tc>
        <w:tc>
          <w:tcPr>
            <w:tcW w:type="dxa" w:w="3408"/>
            <w:vAlign w:val="center"/>
            <w:shd w:fill="F3F6FA"/>
          </w:tcPr>
          <w:p>
            <w:r/>
            <w:r>
              <w:rPr>
                <w:rFonts w:ascii="Aptos" w:hAnsi="Aptos"/>
                <w:b w:val="0"/>
                <w:sz w:val="15"/>
              </w:rPr>
              <w:t>FHIR Provenance and related assurance model</w:t>
            </w:r>
          </w:p>
        </w:tc>
      </w:tr>
      <w:tr>
        <w:tc>
          <w:tcPr>
            <w:tcW w:type="dxa" w:w="3408"/>
            <w:vAlign w:val="center"/>
          </w:tcPr>
          <w:p>
            <w:r/>
            <w:r>
              <w:rPr>
                <w:rFonts w:ascii="Aptos" w:hAnsi="Aptos"/>
                <w:b w:val="0"/>
                <w:sz w:val="15"/>
              </w:rPr>
              <w:t>Scope registry</w:t>
            </w:r>
          </w:p>
        </w:tc>
        <w:tc>
          <w:tcPr>
            <w:tcW w:type="dxa" w:w="3408"/>
            <w:vAlign w:val="center"/>
          </w:tcPr>
          <w:p>
            <w:r/>
            <w:r>
              <w:rPr>
                <w:rFonts w:ascii="Aptos" w:hAnsi="Aptos"/>
                <w:b w:val="0"/>
                <w:sz w:val="15"/>
              </w:rPr>
              <w:t>Organisation-issued scope with facility/role restrictions and effective dates</w:t>
            </w:r>
          </w:p>
        </w:tc>
        <w:tc>
          <w:tcPr>
            <w:tcW w:type="dxa" w:w="3408"/>
            <w:vAlign w:val="center"/>
          </w:tcPr>
          <w:p>
            <w:r/>
            <w:r>
              <w:rPr>
                <w:rFonts w:ascii="Aptos" w:hAnsi="Aptos"/>
                <w:b w:val="0"/>
                <w:sz w:val="15"/>
              </w:rPr>
              <w:t>Demonstrator domain; requires standards analysis</w:t>
            </w:r>
          </w:p>
        </w:tc>
      </w:tr>
      <w:tr>
        <w:tc>
          <w:tcPr>
            <w:tcW w:type="dxa" w:w="3408"/>
            <w:vAlign w:val="center"/>
            <w:shd w:fill="F3F6FA"/>
          </w:tcPr>
          <w:p>
            <w:r/>
            <w:r>
              <w:rPr>
                <w:rFonts w:ascii="Aptos" w:hAnsi="Aptos"/>
                <w:b w:val="0"/>
                <w:sz w:val="15"/>
              </w:rPr>
              <w:t>Requirement catalogue</w:t>
            </w:r>
          </w:p>
        </w:tc>
        <w:tc>
          <w:tcPr>
            <w:tcW w:type="dxa" w:w="3408"/>
            <w:vAlign w:val="center"/>
            <w:shd w:fill="F3F6FA"/>
          </w:tcPr>
          <w:p>
            <w:r/>
            <w:r>
              <w:rPr>
                <w:rFonts w:ascii="Aptos" w:hAnsi="Aptos"/>
                <w:b w:val="0"/>
                <w:sz w:val="15"/>
              </w:rPr>
              <w:t>Machine-readable role/site requirements</w:t>
            </w:r>
          </w:p>
        </w:tc>
        <w:tc>
          <w:tcPr>
            <w:tcW w:type="dxa" w:w="3408"/>
            <w:vAlign w:val="center"/>
            <w:shd w:fill="F3F6FA"/>
          </w:tcPr>
          <w:p>
            <w:r/>
            <w:r>
              <w:rPr>
                <w:rFonts w:ascii="Aptos" w:hAnsi="Aptos"/>
                <w:b w:val="0"/>
                <w:sz w:val="15"/>
              </w:rPr>
              <w:t>State/service domain with common semantics</w:t>
            </w:r>
          </w:p>
        </w:tc>
      </w:tr>
      <w:tr>
        <w:tc>
          <w:tcPr>
            <w:tcW w:type="dxa" w:w="3408"/>
            <w:vAlign w:val="center"/>
          </w:tcPr>
          <w:p>
            <w:r/>
            <w:r>
              <w:rPr>
                <w:rFonts w:ascii="Aptos" w:hAnsi="Aptos"/>
                <w:b w:val="0"/>
                <w:sz w:val="15"/>
              </w:rPr>
              <w:t>Eligibility service</w:t>
            </w:r>
          </w:p>
        </w:tc>
        <w:tc>
          <w:tcPr>
            <w:tcW w:type="dxa" w:w="3408"/>
            <w:vAlign w:val="center"/>
          </w:tcPr>
          <w:p>
            <w:r/>
            <w:r>
              <w:rPr>
                <w:rFonts w:ascii="Aptos" w:hAnsi="Aptos"/>
                <w:b w:val="0"/>
                <w:sz w:val="15"/>
              </w:rPr>
              <w:t>Point-in-time rules evaluation</w:t>
            </w:r>
          </w:p>
        </w:tc>
        <w:tc>
          <w:tcPr>
            <w:tcW w:type="dxa" w:w="3408"/>
            <w:vAlign w:val="center"/>
          </w:tcPr>
          <w:p>
            <w:r/>
            <w:r>
              <w:rPr>
                <w:rFonts w:ascii="Aptos" w:hAnsi="Aptos"/>
                <w:b w:val="0"/>
                <w:sz w:val="15"/>
              </w:rPr>
              <w:t>Derived service, not an authoritative credential source</w:t>
            </w:r>
          </w:p>
        </w:tc>
      </w:tr>
      <w:tr>
        <w:tc>
          <w:tcPr>
            <w:tcW w:type="dxa" w:w="3408"/>
            <w:vAlign w:val="center"/>
            <w:shd w:fill="F3F6FA"/>
          </w:tcPr>
          <w:p>
            <w:r/>
            <w:r>
              <w:rPr>
                <w:rFonts w:ascii="Aptos" w:hAnsi="Aptos"/>
                <w:b w:val="0"/>
                <w:sz w:val="15"/>
              </w:rPr>
              <w:t>Workforce exchange</w:t>
            </w:r>
          </w:p>
        </w:tc>
        <w:tc>
          <w:tcPr>
            <w:tcW w:type="dxa" w:w="3408"/>
            <w:vAlign w:val="center"/>
            <w:shd w:fill="F3F6FA"/>
          </w:tcPr>
          <w:p>
            <w:r/>
            <w:r>
              <w:rPr>
                <w:rFonts w:ascii="Aptos" w:hAnsi="Aptos"/>
                <w:b w:val="0"/>
                <w:sz w:val="15"/>
              </w:rPr>
              <w:t>Vacancy, preference, sourcing, booking and timesheet workflows</w:t>
            </w:r>
          </w:p>
        </w:tc>
        <w:tc>
          <w:tcPr>
            <w:tcW w:type="dxa" w:w="3408"/>
            <w:vAlign w:val="center"/>
            <w:shd w:fill="F3F6FA"/>
          </w:tcPr>
          <w:p>
            <w:r/>
            <w:r>
              <w:rPr>
                <w:rFonts w:ascii="Aptos" w:hAnsi="Aptos"/>
                <w:b w:val="0"/>
                <w:sz w:val="15"/>
              </w:rPr>
              <w:t>Operational demonstrator outside core national identity services</w:t>
            </w:r>
          </w:p>
        </w:tc>
      </w:tr>
      <w:tr>
        <w:tc>
          <w:tcPr>
            <w:tcW w:type="dxa" w:w="3408"/>
            <w:vAlign w:val="center"/>
          </w:tcPr>
          <w:p>
            <w:r/>
            <w:r>
              <w:rPr>
                <w:rFonts w:ascii="Aptos" w:hAnsi="Aptos"/>
                <w:b w:val="0"/>
                <w:sz w:val="15"/>
              </w:rPr>
              <w:t>Analytics</w:t>
            </w:r>
          </w:p>
        </w:tc>
        <w:tc>
          <w:tcPr>
            <w:tcW w:type="dxa" w:w="3408"/>
            <w:vAlign w:val="center"/>
          </w:tcPr>
          <w:p>
            <w:r/>
            <w:r>
              <w:rPr>
                <w:rFonts w:ascii="Aptos" w:hAnsi="Aptos"/>
                <w:b w:val="0"/>
                <w:sz w:val="15"/>
              </w:rPr>
              <w:t>Mobility, reuse, demand, experience and benefits</w:t>
            </w:r>
          </w:p>
        </w:tc>
        <w:tc>
          <w:tcPr>
            <w:tcW w:type="dxa" w:w="3408"/>
            <w:vAlign w:val="center"/>
          </w:tcPr>
          <w:p>
            <w:r/>
            <w:r>
              <w:rPr>
                <w:rFonts w:ascii="Aptos" w:hAnsi="Aptos"/>
                <w:b w:val="0"/>
                <w:sz w:val="15"/>
              </w:rPr>
              <w:t>Jurisdictional and national evaluation</w:t>
            </w:r>
          </w:p>
        </w:tc>
      </w:tr>
    </w:tbl>
    <w:p/>
    <w:p>
      <w:pPr>
        <w:pStyle w:val="Heading1"/>
      </w:pPr>
      <w:r>
        <w:t>5. Identifier strategy</w:t>
      </w:r>
    </w:p>
    <w:p>
      <w:r>
        <w:t>The demonstrator should not create a competing national practitioner identifier. HPI-I should be used where permitted and appropriate as the healthcare-provider identity anchor, with Ahpra registration identifiers retained as professional identifiers. Organisations and facilities should similarly use authoritative identifiers where available.</w:t>
      </w:r>
    </w:p>
    <w:p>
      <w:pPr>
        <w:pStyle w:val="ListBullet"/>
      </w:pPr>
      <w:r>
        <w:t>Resolve and store identifiers with issuer/system metadata rather than as unqualified strings.</w:t>
      </w:r>
    </w:p>
    <w:p>
      <w:pPr>
        <w:pStyle w:val="ListBullet"/>
      </w:pPr>
      <w:r>
        <w:t>Support multiple identifiers because workforce, payroll, credentialling and national systems may use different identifiers.</w:t>
      </w:r>
    </w:p>
    <w:p>
      <w:pPr>
        <w:pStyle w:val="ListBullet"/>
      </w:pPr>
      <w:r>
        <w:t>Do not expose HPI-I indiscriminately in public or commercial workflows.</w:t>
      </w:r>
    </w:p>
    <w:p>
      <w:pPr>
        <w:pStyle w:val="ListBullet"/>
      </w:pPr>
      <w:r>
        <w:t>Use a local platform identifier only as an internal technical key, never as the semantic identity authority.</w:t>
      </w:r>
    </w:p>
    <w:p>
      <w:pPr>
        <w:pStyle w:val="ListBullet"/>
      </w:pPr>
      <w:r>
        <w:t>Maintain identifier-resolution and correction workflows.</w:t>
      </w:r>
    </w:p>
    <w:p>
      <w:pPr>
        <w:pStyle w:val="Heading1"/>
      </w:pPr>
      <w:r>
        <w:t>6. FHIR strategy</w:t>
      </w:r>
    </w:p>
    <w:p>
      <w:r>
        <w:t>The current PCA implementation guide is based on FHIR R4 and provides a strong starting point. The demonstrator should first reuse existing Australian profiles and terminology, then identify genuine semantic gaps before proposing new profiles or extensions.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Need</w:t>
            </w:r>
          </w:p>
        </w:tc>
        <w:tc>
          <w:tcPr>
            <w:tcW w:type="dxa" w:w="5112"/>
            <w:vAlign w:val="center"/>
            <w:shd w:fill="17365D"/>
          </w:tcPr>
          <w:p>
            <w:r/>
            <w:r>
              <w:rPr>
                <w:rFonts w:ascii="Aptos" w:hAnsi="Aptos"/>
                <w:b/>
                <w:color w:val="FFFFFF"/>
                <w:sz w:val="16"/>
              </w:rPr>
              <w:t>Candidate FHIR approach for design discussion</w:t>
            </w:r>
          </w:p>
        </w:tc>
      </w:tr>
      <w:tr>
        <w:tc>
          <w:tcPr>
            <w:tcW w:type="dxa" w:w="5112"/>
            <w:vAlign w:val="center"/>
          </w:tcPr>
          <w:p>
            <w:r/>
            <w:r>
              <w:rPr>
                <w:rFonts w:ascii="Aptos" w:hAnsi="Aptos"/>
                <w:b w:val="0"/>
                <w:sz w:val="15"/>
              </w:rPr>
              <w:t>Practitioner</w:t>
            </w:r>
          </w:p>
        </w:tc>
        <w:tc>
          <w:tcPr>
            <w:tcW w:type="dxa" w:w="5112"/>
            <w:vAlign w:val="center"/>
          </w:tcPr>
          <w:p>
            <w:r/>
            <w:r>
              <w:rPr>
                <w:rFonts w:ascii="Aptos" w:hAnsi="Aptos"/>
                <w:b w:val="0"/>
                <w:sz w:val="15"/>
              </w:rPr>
              <w:t>Reuse PCA/Australian Practitioner patterns and national identifiers</w:t>
            </w:r>
          </w:p>
        </w:tc>
      </w:tr>
      <w:tr>
        <w:tc>
          <w:tcPr>
            <w:tcW w:type="dxa" w:w="5112"/>
            <w:vAlign w:val="center"/>
            <w:shd w:fill="F3F6FA"/>
          </w:tcPr>
          <w:p>
            <w:r/>
            <w:r>
              <w:rPr>
                <w:rFonts w:ascii="Aptos" w:hAnsi="Aptos"/>
                <w:b w:val="0"/>
                <w:sz w:val="15"/>
              </w:rPr>
              <w:t>Organisation/location/service</w:t>
            </w:r>
          </w:p>
        </w:tc>
        <w:tc>
          <w:tcPr>
            <w:tcW w:type="dxa" w:w="5112"/>
            <w:vAlign w:val="center"/>
            <w:shd w:fill="F3F6FA"/>
          </w:tcPr>
          <w:p>
            <w:r/>
            <w:r>
              <w:rPr>
                <w:rFonts w:ascii="Aptos" w:hAnsi="Aptos"/>
                <w:b w:val="0"/>
                <w:sz w:val="15"/>
              </w:rPr>
              <w:t>Reuse PCA Organization, Location and HealthcareService patterns where applicable</w:t>
            </w:r>
          </w:p>
        </w:tc>
      </w:tr>
      <w:tr>
        <w:tc>
          <w:tcPr>
            <w:tcW w:type="dxa" w:w="5112"/>
            <w:vAlign w:val="center"/>
          </w:tcPr>
          <w:p>
            <w:r/>
            <w:r>
              <w:rPr>
                <w:rFonts w:ascii="Aptos" w:hAnsi="Aptos"/>
                <w:b w:val="0"/>
                <w:sz w:val="15"/>
              </w:rPr>
              <w:t>Practitioner role</w:t>
            </w:r>
          </w:p>
        </w:tc>
        <w:tc>
          <w:tcPr>
            <w:tcW w:type="dxa" w:w="5112"/>
            <w:vAlign w:val="center"/>
          </w:tcPr>
          <w:p>
            <w:r/>
            <w:r>
              <w:rPr>
                <w:rFonts w:ascii="Aptos" w:hAnsi="Aptos"/>
                <w:b w:val="0"/>
                <w:sz w:val="15"/>
              </w:rPr>
              <w:t>Reuse/align with PCA PractitionerRole where semantics fit</w:t>
            </w:r>
          </w:p>
        </w:tc>
      </w:tr>
      <w:tr>
        <w:tc>
          <w:tcPr>
            <w:tcW w:type="dxa" w:w="5112"/>
            <w:vAlign w:val="center"/>
            <w:shd w:fill="F3F6FA"/>
          </w:tcPr>
          <w:p>
            <w:r/>
            <w:r>
              <w:rPr>
                <w:rFonts w:ascii="Aptos" w:hAnsi="Aptos"/>
                <w:b w:val="0"/>
                <w:sz w:val="15"/>
              </w:rPr>
              <w:t>Credential claim</w:t>
            </w:r>
          </w:p>
        </w:tc>
        <w:tc>
          <w:tcPr>
            <w:tcW w:type="dxa" w:w="5112"/>
            <w:vAlign w:val="center"/>
            <w:shd w:fill="F3F6FA"/>
          </w:tcPr>
          <w:p>
            <w:r/>
            <w:r>
              <w:rPr>
                <w:rFonts w:ascii="Aptos" w:hAnsi="Aptos"/>
                <w:b w:val="0"/>
                <w:sz w:val="15"/>
              </w:rPr>
              <w:t>Assess Qualification elements and/or a dedicated credential representation; avoid overloading PractitionerRole</w:t>
            </w:r>
          </w:p>
        </w:tc>
      </w:tr>
      <w:tr>
        <w:tc>
          <w:tcPr>
            <w:tcW w:type="dxa" w:w="5112"/>
            <w:vAlign w:val="center"/>
          </w:tcPr>
          <w:p>
            <w:r/>
            <w:r>
              <w:rPr>
                <w:rFonts w:ascii="Aptos" w:hAnsi="Aptos"/>
                <w:b w:val="0"/>
                <w:sz w:val="15"/>
              </w:rPr>
              <w:t>Credential evidence</w:t>
            </w:r>
          </w:p>
        </w:tc>
        <w:tc>
          <w:tcPr>
            <w:tcW w:type="dxa" w:w="5112"/>
            <w:vAlign w:val="center"/>
          </w:tcPr>
          <w:p>
            <w:r/>
            <w:r>
              <w:rPr>
                <w:rFonts w:ascii="Aptos" w:hAnsi="Aptos"/>
                <w:b w:val="0"/>
                <w:sz w:val="15"/>
              </w:rPr>
              <w:t>DocumentReference/Binary or authoritative URI with metadata and access controls</w:t>
            </w:r>
          </w:p>
        </w:tc>
      </w:tr>
      <w:tr>
        <w:tc>
          <w:tcPr>
            <w:tcW w:type="dxa" w:w="5112"/>
            <w:vAlign w:val="center"/>
            <w:shd w:fill="F3F6FA"/>
          </w:tcPr>
          <w:p>
            <w:r/>
            <w:r>
              <w:rPr>
                <w:rFonts w:ascii="Aptos" w:hAnsi="Aptos"/>
                <w:b w:val="0"/>
                <w:sz w:val="15"/>
              </w:rPr>
              <w:t>Verification</w:t>
            </w:r>
          </w:p>
        </w:tc>
        <w:tc>
          <w:tcPr>
            <w:tcW w:type="dxa" w:w="5112"/>
            <w:vAlign w:val="center"/>
            <w:shd w:fill="F3F6FA"/>
          </w:tcPr>
          <w:p>
            <w:r/>
            <w:r>
              <w:rPr>
                <w:rFonts w:ascii="Aptos" w:hAnsi="Aptos"/>
                <w:b w:val="0"/>
                <w:sz w:val="15"/>
              </w:rPr>
              <w:t>Provenance plus explicit assurance status, method, verifier and source</w:t>
            </w:r>
          </w:p>
        </w:tc>
      </w:tr>
      <w:tr>
        <w:tc>
          <w:tcPr>
            <w:tcW w:type="dxa" w:w="5112"/>
            <w:vAlign w:val="center"/>
          </w:tcPr>
          <w:p>
            <w:r/>
            <w:r>
              <w:rPr>
                <w:rFonts w:ascii="Aptos" w:hAnsi="Aptos"/>
                <w:b w:val="0"/>
                <w:sz w:val="15"/>
              </w:rPr>
              <w:t>Scope grant</w:t>
            </w:r>
          </w:p>
        </w:tc>
        <w:tc>
          <w:tcPr>
            <w:tcW w:type="dxa" w:w="5112"/>
            <w:vAlign w:val="center"/>
          </w:tcPr>
          <w:p>
            <w:r/>
            <w:r>
              <w:rPr>
                <w:rFonts w:ascii="Aptos" w:hAnsi="Aptos"/>
                <w:b w:val="0"/>
                <w:sz w:val="15"/>
              </w:rPr>
              <w:t>Assess PractitionerRole plus constrained extension/profile versus separate authorisation artefact</w:t>
            </w:r>
          </w:p>
        </w:tc>
      </w:tr>
      <w:tr>
        <w:tc>
          <w:tcPr>
            <w:tcW w:type="dxa" w:w="5112"/>
            <w:vAlign w:val="center"/>
            <w:shd w:fill="F3F6FA"/>
          </w:tcPr>
          <w:p>
            <w:r/>
            <w:r>
              <w:rPr>
                <w:rFonts w:ascii="Aptos" w:hAnsi="Aptos"/>
                <w:b w:val="0"/>
                <w:sz w:val="15"/>
              </w:rPr>
              <w:t>Requirement definition</w:t>
            </w:r>
          </w:p>
        </w:tc>
        <w:tc>
          <w:tcPr>
            <w:tcW w:type="dxa" w:w="5112"/>
            <w:vAlign w:val="center"/>
            <w:shd w:fill="F3F6FA"/>
          </w:tcPr>
          <w:p>
            <w:r/>
            <w:r>
              <w:rPr>
                <w:rFonts w:ascii="Aptos" w:hAnsi="Aptos"/>
                <w:b w:val="0"/>
                <w:sz w:val="15"/>
              </w:rPr>
              <w:t>Potential PlanDefinition/Questionnaire/structured rules or dedicated profile depending national design</w:t>
            </w:r>
          </w:p>
        </w:tc>
      </w:tr>
      <w:tr>
        <w:tc>
          <w:tcPr>
            <w:tcW w:type="dxa" w:w="5112"/>
            <w:vAlign w:val="center"/>
          </w:tcPr>
          <w:p>
            <w:r/>
            <w:r>
              <w:rPr>
                <w:rFonts w:ascii="Aptos" w:hAnsi="Aptos"/>
                <w:b w:val="0"/>
                <w:sz w:val="15"/>
              </w:rPr>
              <w:t>Eligibility result</w:t>
            </w:r>
          </w:p>
        </w:tc>
        <w:tc>
          <w:tcPr>
            <w:tcW w:type="dxa" w:w="5112"/>
            <w:vAlign w:val="center"/>
          </w:tcPr>
          <w:p>
            <w:r/>
            <w:r>
              <w:rPr>
                <w:rFonts w:ascii="Aptos" w:hAnsi="Aptos"/>
                <w:b w:val="0"/>
                <w:sz w:val="15"/>
              </w:rPr>
              <w:t>Derived assessment/Task/operation response rather than persistent authority</w:t>
            </w:r>
          </w:p>
        </w:tc>
      </w:tr>
      <w:tr>
        <w:tc>
          <w:tcPr>
            <w:tcW w:type="dxa" w:w="5112"/>
            <w:vAlign w:val="center"/>
            <w:shd w:fill="F3F6FA"/>
          </w:tcPr>
          <w:p>
            <w:r/>
            <w:r>
              <w:rPr>
                <w:rFonts w:ascii="Aptos" w:hAnsi="Aptos"/>
                <w:b w:val="0"/>
                <w:sz w:val="15"/>
              </w:rPr>
              <w:t>Consent/share authorisation</w:t>
            </w:r>
          </w:p>
        </w:tc>
        <w:tc>
          <w:tcPr>
            <w:tcW w:type="dxa" w:w="5112"/>
            <w:vAlign w:val="center"/>
            <w:shd w:fill="F3F6FA"/>
          </w:tcPr>
          <w:p>
            <w:r/>
            <w:r>
              <w:rPr>
                <w:rFonts w:ascii="Aptos" w:hAnsi="Aptos"/>
                <w:b w:val="0"/>
                <w:sz w:val="15"/>
              </w:rPr>
              <w:t>Use appropriate consent/authorisation patterns; align with PCA participation concepts where relevant</w:t>
            </w:r>
          </w:p>
        </w:tc>
      </w:tr>
    </w:tbl>
    <w:p/>
    <w:p>
      <w:r>
        <w:t>These mappings are design hypotheses, not proposed national standards. A core purpose of partnership with the Agency is to test them against existing Australian FHIR artefacts and national architecture.</w:t>
      </w:r>
    </w:p>
    <w:p>
      <w:pPr>
        <w:pStyle w:val="Heading1"/>
      </w:pPr>
      <w:r>
        <w:t>7. Provenance and assurance model</w:t>
      </w:r>
    </w:p>
    <w:p>
      <w:r>
        <w:t>Credential portability depends less on moving a PDF than on preserving enough provenance for a receiving organisation to decide whether it can rely on the evidence.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Assurance element</w:t>
            </w:r>
          </w:p>
        </w:tc>
        <w:tc>
          <w:tcPr>
            <w:tcW w:type="dxa" w:w="5112"/>
            <w:vAlign w:val="center"/>
            <w:shd w:fill="17365D"/>
          </w:tcPr>
          <w:p>
            <w:r/>
            <w:r>
              <w:rPr>
                <w:rFonts w:ascii="Aptos" w:hAnsi="Aptos"/>
                <w:b/>
                <w:color w:val="FFFFFF"/>
                <w:sz w:val="16"/>
              </w:rPr>
              <w:t>Example</w:t>
            </w:r>
          </w:p>
        </w:tc>
      </w:tr>
      <w:tr>
        <w:tc>
          <w:tcPr>
            <w:tcW w:type="dxa" w:w="5112"/>
            <w:vAlign w:val="center"/>
          </w:tcPr>
          <w:p>
            <w:r/>
            <w:r>
              <w:rPr>
                <w:rFonts w:ascii="Aptos" w:hAnsi="Aptos"/>
                <w:b w:val="0"/>
                <w:sz w:val="15"/>
              </w:rPr>
              <w:t>Claimant</w:t>
            </w:r>
          </w:p>
        </w:tc>
        <w:tc>
          <w:tcPr>
            <w:tcW w:type="dxa" w:w="5112"/>
            <w:vAlign w:val="center"/>
          </w:tcPr>
          <w:p>
            <w:r/>
            <w:r>
              <w:rPr>
                <w:rFonts w:ascii="Aptos" w:hAnsi="Aptos"/>
                <w:b w:val="0"/>
                <w:sz w:val="15"/>
              </w:rPr>
              <w:t>Practitioner</w:t>
            </w:r>
          </w:p>
        </w:tc>
      </w:tr>
      <w:tr>
        <w:tc>
          <w:tcPr>
            <w:tcW w:type="dxa" w:w="5112"/>
            <w:vAlign w:val="center"/>
            <w:shd w:fill="F3F6FA"/>
          </w:tcPr>
          <w:p>
            <w:r/>
            <w:r>
              <w:rPr>
                <w:rFonts w:ascii="Aptos" w:hAnsi="Aptos"/>
                <w:b w:val="0"/>
                <w:sz w:val="15"/>
              </w:rPr>
              <w:t>Evidence source</w:t>
            </w:r>
          </w:p>
        </w:tc>
        <w:tc>
          <w:tcPr>
            <w:tcW w:type="dxa" w:w="5112"/>
            <w:vAlign w:val="center"/>
            <w:shd w:fill="F3F6FA"/>
          </w:tcPr>
          <w:p>
            <w:r/>
            <w:r>
              <w:rPr>
                <w:rFonts w:ascii="Aptos" w:hAnsi="Aptos"/>
                <w:b w:val="0"/>
                <w:sz w:val="15"/>
              </w:rPr>
              <w:t>Uploaded certificate / college / regulator / employer record</w:t>
            </w:r>
          </w:p>
        </w:tc>
      </w:tr>
      <w:tr>
        <w:tc>
          <w:tcPr>
            <w:tcW w:type="dxa" w:w="5112"/>
            <w:vAlign w:val="center"/>
          </w:tcPr>
          <w:p>
            <w:r/>
            <w:r>
              <w:rPr>
                <w:rFonts w:ascii="Aptos" w:hAnsi="Aptos"/>
                <w:b w:val="0"/>
                <w:sz w:val="15"/>
              </w:rPr>
              <w:t>Verifier</w:t>
            </w:r>
          </w:p>
        </w:tc>
        <w:tc>
          <w:tcPr>
            <w:tcW w:type="dxa" w:w="5112"/>
            <w:vAlign w:val="center"/>
          </w:tcPr>
          <w:p>
            <w:r/>
            <w:r>
              <w:rPr>
                <w:rFonts w:ascii="Aptos" w:hAnsi="Aptos"/>
                <w:b w:val="0"/>
                <w:sz w:val="15"/>
              </w:rPr>
              <w:t>YNLHN Credentialling Unit</w:t>
            </w:r>
          </w:p>
        </w:tc>
      </w:tr>
      <w:tr>
        <w:tc>
          <w:tcPr>
            <w:tcW w:type="dxa" w:w="5112"/>
            <w:vAlign w:val="center"/>
            <w:shd w:fill="F3F6FA"/>
          </w:tcPr>
          <w:p>
            <w:r/>
            <w:r>
              <w:rPr>
                <w:rFonts w:ascii="Aptos" w:hAnsi="Aptos"/>
                <w:b w:val="0"/>
                <w:sz w:val="15"/>
              </w:rPr>
              <w:t>Verification method</w:t>
            </w:r>
          </w:p>
        </w:tc>
        <w:tc>
          <w:tcPr>
            <w:tcW w:type="dxa" w:w="5112"/>
            <w:vAlign w:val="center"/>
            <w:shd w:fill="F3F6FA"/>
          </w:tcPr>
          <w:p>
            <w:r/>
            <w:r>
              <w:rPr>
                <w:rFonts w:ascii="Aptos" w:hAnsi="Aptos"/>
                <w:b w:val="0"/>
                <w:sz w:val="15"/>
              </w:rPr>
              <w:t>Primary-source check / document inspection / API response</w:t>
            </w:r>
          </w:p>
        </w:tc>
      </w:tr>
      <w:tr>
        <w:tc>
          <w:tcPr>
            <w:tcW w:type="dxa" w:w="5112"/>
            <w:vAlign w:val="center"/>
          </w:tcPr>
          <w:p>
            <w:r/>
            <w:r>
              <w:rPr>
                <w:rFonts w:ascii="Aptos" w:hAnsi="Aptos"/>
                <w:b w:val="0"/>
                <w:sz w:val="15"/>
              </w:rPr>
              <w:t>Verification time</w:t>
            </w:r>
          </w:p>
        </w:tc>
        <w:tc>
          <w:tcPr>
            <w:tcW w:type="dxa" w:w="5112"/>
            <w:vAlign w:val="center"/>
          </w:tcPr>
          <w:p>
            <w:r/>
            <w:r>
              <w:rPr>
                <w:rFonts w:ascii="Aptos" w:hAnsi="Aptos"/>
                <w:b w:val="0"/>
                <w:sz w:val="15"/>
              </w:rPr>
              <w:t>Timestamp</w:t>
            </w:r>
          </w:p>
        </w:tc>
      </w:tr>
      <w:tr>
        <w:tc>
          <w:tcPr>
            <w:tcW w:type="dxa" w:w="5112"/>
            <w:vAlign w:val="center"/>
            <w:shd w:fill="F3F6FA"/>
          </w:tcPr>
          <w:p>
            <w:r/>
            <w:r>
              <w:rPr>
                <w:rFonts w:ascii="Aptos" w:hAnsi="Aptos"/>
                <w:b w:val="0"/>
                <w:sz w:val="15"/>
              </w:rPr>
              <w:t>Result</w:t>
            </w:r>
          </w:p>
        </w:tc>
        <w:tc>
          <w:tcPr>
            <w:tcW w:type="dxa" w:w="5112"/>
            <w:vAlign w:val="center"/>
            <w:shd w:fill="F3F6FA"/>
          </w:tcPr>
          <w:p>
            <w:r/>
            <w:r>
              <w:rPr>
                <w:rFonts w:ascii="Aptos" w:hAnsi="Aptos"/>
                <w:b w:val="0"/>
                <w:sz w:val="15"/>
              </w:rPr>
              <w:t>Verified / unable to verify / superseded / revoked</w:t>
            </w:r>
          </w:p>
        </w:tc>
      </w:tr>
      <w:tr>
        <w:tc>
          <w:tcPr>
            <w:tcW w:type="dxa" w:w="5112"/>
            <w:vAlign w:val="center"/>
          </w:tcPr>
          <w:p>
            <w:r/>
            <w:r>
              <w:rPr>
                <w:rFonts w:ascii="Aptos" w:hAnsi="Aptos"/>
                <w:b w:val="0"/>
                <w:sz w:val="15"/>
              </w:rPr>
              <w:t>Validity</w:t>
            </w:r>
          </w:p>
        </w:tc>
        <w:tc>
          <w:tcPr>
            <w:tcW w:type="dxa" w:w="5112"/>
            <w:vAlign w:val="center"/>
          </w:tcPr>
          <w:p>
            <w:r/>
            <w:r>
              <w:rPr>
                <w:rFonts w:ascii="Aptos" w:hAnsi="Aptos"/>
                <w:b w:val="0"/>
                <w:sz w:val="15"/>
              </w:rPr>
              <w:t>Effective and expiry dates</w:t>
            </w:r>
          </w:p>
        </w:tc>
      </w:tr>
      <w:tr>
        <w:tc>
          <w:tcPr>
            <w:tcW w:type="dxa" w:w="5112"/>
            <w:vAlign w:val="center"/>
            <w:shd w:fill="F3F6FA"/>
          </w:tcPr>
          <w:p>
            <w:r/>
            <w:r>
              <w:rPr>
                <w:rFonts w:ascii="Aptos" w:hAnsi="Aptos"/>
                <w:b w:val="0"/>
                <w:sz w:val="15"/>
              </w:rPr>
              <w:t>Policy context</w:t>
            </w:r>
          </w:p>
        </w:tc>
        <w:tc>
          <w:tcPr>
            <w:tcW w:type="dxa" w:w="5112"/>
            <w:vAlign w:val="center"/>
            <w:shd w:fill="F3F6FA"/>
          </w:tcPr>
          <w:p>
            <w:r/>
            <w:r>
              <w:rPr>
                <w:rFonts w:ascii="Aptos" w:hAnsi="Aptos"/>
                <w:b w:val="0"/>
                <w:sz w:val="15"/>
              </w:rPr>
              <w:t>Verification performed under named organisational process/version</w:t>
            </w:r>
          </w:p>
        </w:tc>
      </w:tr>
      <w:tr>
        <w:tc>
          <w:tcPr>
            <w:tcW w:type="dxa" w:w="5112"/>
            <w:vAlign w:val="center"/>
          </w:tcPr>
          <w:p>
            <w:r/>
            <w:r>
              <w:rPr>
                <w:rFonts w:ascii="Aptos" w:hAnsi="Aptos"/>
                <w:b w:val="0"/>
                <w:sz w:val="15"/>
              </w:rPr>
              <w:t>Evidence fingerprint</w:t>
            </w:r>
          </w:p>
        </w:tc>
        <w:tc>
          <w:tcPr>
            <w:tcW w:type="dxa" w:w="5112"/>
            <w:vAlign w:val="center"/>
          </w:tcPr>
          <w:p>
            <w:r/>
            <w:r>
              <w:rPr>
                <w:rFonts w:ascii="Aptos" w:hAnsi="Aptos"/>
                <w:b w:val="0"/>
                <w:sz w:val="15"/>
              </w:rPr>
              <w:t>Hash/version to show precisely what was verified</w:t>
            </w:r>
          </w:p>
        </w:tc>
      </w:tr>
      <w:tr>
        <w:tc>
          <w:tcPr>
            <w:tcW w:type="dxa" w:w="5112"/>
            <w:vAlign w:val="center"/>
            <w:shd w:fill="F3F6FA"/>
          </w:tcPr>
          <w:p>
            <w:r/>
            <w:r>
              <w:rPr>
                <w:rFonts w:ascii="Aptos" w:hAnsi="Aptos"/>
                <w:b w:val="0"/>
                <w:sz w:val="15"/>
              </w:rPr>
              <w:t>Receiving trust decision</w:t>
            </w:r>
          </w:p>
        </w:tc>
        <w:tc>
          <w:tcPr>
            <w:tcW w:type="dxa" w:w="5112"/>
            <w:vAlign w:val="center"/>
            <w:shd w:fill="F3F6FA"/>
          </w:tcPr>
          <w:p>
            <w:r/>
            <w:r>
              <w:rPr>
                <w:rFonts w:ascii="Aptos" w:hAnsi="Aptos"/>
                <w:b w:val="0"/>
                <w:sz w:val="15"/>
              </w:rPr>
              <w:t>Second LHN accepts / rechecks / rejects assurance for its purpose</w:t>
            </w:r>
          </w:p>
        </w:tc>
      </w:tr>
    </w:tbl>
    <w:p/>
    <w:tbl>
      <w:tblPr>
        <w:tblStyle w:val="TableGrid"/>
        <w:tblW w:type="auto" w:w="0"/>
        <w:tblLook w:firstColumn="1" w:firstRow="1" w:lastColumn="0" w:lastRow="0" w:noHBand="0" w:noVBand="1" w:val="04A0"/>
      </w:tblPr>
      <w:tblGrid>
        <w:gridCol w:w="10224"/>
      </w:tblGrid>
      <w:tr>
        <w:tc>
          <w:tcPr>
            <w:tcW w:type="dxa" w:w="10224"/>
            <w:shd w:fill="EAF0F8"/>
          </w:tcPr>
          <w:p>
            <w:r/>
            <w:r>
              <w:rPr>
                <w:rFonts w:ascii="Aptos" w:hAnsi="Aptos"/>
                <w:b/>
                <w:color w:val="17365D"/>
                <w:sz w:val="20"/>
              </w:rPr>
              <w:t>The portable object is not 'YNLHN says this doctor is credentialled'. It is 'this evidence was verified in this way, by this organisation, at this time, under this policy'. The receiving organisation decides whether that is sufficient.</w:t>
            </w:r>
          </w:p>
        </w:tc>
      </w:tr>
    </w:tbl>
    <w:p/>
    <w:p>
      <w:pPr>
        <w:pStyle w:val="Heading1"/>
      </w:pPr>
      <w:r>
        <w:t>8. Scope-of-practice representation</w:t>
      </w:r>
    </w:p>
    <w:p>
      <w:r>
        <w:t>Scope is the most clinically significant information domain and should be modelled as an organisation-issued authorisation rather than a practitioner attribute.</w:t>
      </w:r>
    </w:p>
    <w:p>
      <w:pPr>
        <w:pStyle w:val="ListBullet"/>
      </w:pPr>
      <w:r>
        <w:t>Issuing organisation and decision authority</w:t>
      </w:r>
    </w:p>
    <w:p>
      <w:pPr>
        <w:pStyle w:val="ListBullet"/>
      </w:pPr>
      <w:r>
        <w:t>Practitioner identity</w:t>
      </w:r>
    </w:p>
    <w:p>
      <w:pPr>
        <w:pStyle w:val="ListBullet"/>
      </w:pPr>
      <w:r>
        <w:t>Clinical role/specialty/activity set</w:t>
      </w:r>
    </w:p>
    <w:p>
      <w:pPr>
        <w:pStyle w:val="ListBullet"/>
      </w:pPr>
      <w:r>
        <w:t>Facility or service applicability</w:t>
      </w:r>
    </w:p>
    <w:p>
      <w:pPr>
        <w:pStyle w:val="ListBullet"/>
      </w:pPr>
      <w:r>
        <w:t>Supervision or escalation conditions</w:t>
      </w:r>
    </w:p>
    <w:p>
      <w:pPr>
        <w:pStyle w:val="ListBullet"/>
      </w:pPr>
      <w:r>
        <w:t>Restrictions/exclusions</w:t>
      </w:r>
    </w:p>
    <w:p>
      <w:pPr>
        <w:pStyle w:val="ListBullet"/>
      </w:pPr>
      <w:r>
        <w:t>Effective and review/expiry dates</w:t>
      </w:r>
    </w:p>
    <w:p>
      <w:pPr>
        <w:pStyle w:val="ListBullet"/>
      </w:pPr>
      <w:r>
        <w:t>Status including active, suspended, expired and withdrawn</w:t>
      </w:r>
    </w:p>
    <w:p>
      <w:pPr>
        <w:pStyle w:val="ListBullet"/>
      </w:pPr>
      <w:r>
        <w:t>Source decision/committee reference where appropriate</w:t>
      </w:r>
    </w:p>
    <w:p>
      <w:pPr>
        <w:pStyle w:val="ListBullet"/>
      </w:pPr>
      <w:r>
        <w:t>Version history and provenance</w:t>
      </w:r>
    </w:p>
    <w:p>
      <w:r>
        <w:t>This structure supports the 2026 national credentialling guidance by preserving the health service's responsibility for defining scope while enabling interoperable exchange of the resulting decision.</w:t>
      </w:r>
    </w:p>
    <w:p>
      <w:pPr>
        <w:pStyle w:val="Heading1"/>
      </w:pPr>
      <w:r>
        <w:t>9. Trust framework</w:t>
      </w:r>
    </w:p>
    <w:p>
      <w:r>
        <w:t>Technical interoperability alone will not create portability. A receiving health service needs a governance framework explaining which verification sources and methods it may rely on.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Trust question</w:t>
            </w:r>
          </w:p>
        </w:tc>
        <w:tc>
          <w:tcPr>
            <w:tcW w:type="dxa" w:w="5112"/>
            <w:vAlign w:val="center"/>
            <w:shd w:fill="17365D"/>
          </w:tcPr>
          <w:p>
            <w:r/>
            <w:r>
              <w:rPr>
                <w:rFonts w:ascii="Aptos" w:hAnsi="Aptos"/>
                <w:b/>
                <w:color w:val="FFFFFF"/>
                <w:sz w:val="16"/>
              </w:rPr>
              <w:t>Proposed demonstrator approach</w:t>
            </w:r>
          </w:p>
        </w:tc>
      </w:tr>
      <w:tr>
        <w:tc>
          <w:tcPr>
            <w:tcW w:type="dxa" w:w="5112"/>
            <w:vAlign w:val="center"/>
          </w:tcPr>
          <w:p>
            <w:r/>
            <w:r>
              <w:rPr>
                <w:rFonts w:ascii="Aptos" w:hAnsi="Aptos"/>
                <w:b w:val="0"/>
                <w:sz w:val="15"/>
              </w:rPr>
              <w:t>Who may verify?</w:t>
            </w:r>
          </w:p>
        </w:tc>
        <w:tc>
          <w:tcPr>
            <w:tcW w:type="dxa" w:w="5112"/>
            <w:vAlign w:val="center"/>
          </w:tcPr>
          <w:p>
            <w:r/>
            <w:r>
              <w:rPr>
                <w:rFonts w:ascii="Aptos" w:hAnsi="Aptos"/>
                <w:b w:val="0"/>
                <w:sz w:val="15"/>
              </w:rPr>
              <w:t>Effective-dated list/classes of trusted organisations and authoritative sources</w:t>
            </w:r>
          </w:p>
        </w:tc>
      </w:tr>
      <w:tr>
        <w:tc>
          <w:tcPr>
            <w:tcW w:type="dxa" w:w="5112"/>
            <w:vAlign w:val="center"/>
            <w:shd w:fill="F3F6FA"/>
          </w:tcPr>
          <w:p>
            <w:r/>
            <w:r>
              <w:rPr>
                <w:rFonts w:ascii="Aptos" w:hAnsi="Aptos"/>
                <w:b w:val="0"/>
                <w:sz w:val="15"/>
              </w:rPr>
              <w:t>What methods are acceptable?</w:t>
            </w:r>
          </w:p>
        </w:tc>
        <w:tc>
          <w:tcPr>
            <w:tcW w:type="dxa" w:w="5112"/>
            <w:vAlign w:val="center"/>
            <w:shd w:fill="F3F6FA"/>
          </w:tcPr>
          <w:p>
            <w:r/>
            <w:r>
              <w:rPr>
                <w:rFonts w:ascii="Aptos" w:hAnsi="Aptos"/>
                <w:b w:val="0"/>
                <w:sz w:val="15"/>
              </w:rPr>
              <w:t>Defined assurance levels, such as self-attested, document-checked and primary-source verified</w:t>
            </w:r>
          </w:p>
        </w:tc>
      </w:tr>
      <w:tr>
        <w:tc>
          <w:tcPr>
            <w:tcW w:type="dxa" w:w="5112"/>
            <w:vAlign w:val="center"/>
          </w:tcPr>
          <w:p>
            <w:r/>
            <w:r>
              <w:rPr>
                <w:rFonts w:ascii="Aptos" w:hAnsi="Aptos"/>
                <w:b w:val="0"/>
                <w:sz w:val="15"/>
              </w:rPr>
              <w:t>How old may verification be?</w:t>
            </w:r>
          </w:p>
        </w:tc>
        <w:tc>
          <w:tcPr>
            <w:tcW w:type="dxa" w:w="5112"/>
            <w:vAlign w:val="center"/>
          </w:tcPr>
          <w:p>
            <w:r/>
            <w:r>
              <w:rPr>
                <w:rFonts w:ascii="Aptos" w:hAnsi="Aptos"/>
                <w:b w:val="0"/>
                <w:sz w:val="15"/>
              </w:rPr>
              <w:t>Credential-specific currency rules</w:t>
            </w:r>
          </w:p>
        </w:tc>
      </w:tr>
      <w:tr>
        <w:tc>
          <w:tcPr>
            <w:tcW w:type="dxa" w:w="5112"/>
            <w:vAlign w:val="center"/>
            <w:shd w:fill="F3F6FA"/>
          </w:tcPr>
          <w:p>
            <w:r/>
            <w:r>
              <w:rPr>
                <w:rFonts w:ascii="Aptos" w:hAnsi="Aptos"/>
                <w:b w:val="0"/>
                <w:sz w:val="15"/>
              </w:rPr>
              <w:t>Can verification be reused?</w:t>
            </w:r>
          </w:p>
        </w:tc>
        <w:tc>
          <w:tcPr>
            <w:tcW w:type="dxa" w:w="5112"/>
            <w:vAlign w:val="center"/>
            <w:shd w:fill="F3F6FA"/>
          </w:tcPr>
          <w:p>
            <w:r/>
            <w:r>
              <w:rPr>
                <w:rFonts w:ascii="Aptos" w:hAnsi="Aptos"/>
                <w:b w:val="0"/>
                <w:sz w:val="15"/>
              </w:rPr>
              <w:t>Receiving-organisation policy by credential type and assurance level</w:t>
            </w:r>
          </w:p>
        </w:tc>
      </w:tr>
      <w:tr>
        <w:tc>
          <w:tcPr>
            <w:tcW w:type="dxa" w:w="5112"/>
            <w:vAlign w:val="center"/>
          </w:tcPr>
          <w:p>
            <w:r/>
            <w:r>
              <w:rPr>
                <w:rFonts w:ascii="Aptos" w:hAnsi="Aptos"/>
                <w:b w:val="0"/>
                <w:sz w:val="15"/>
              </w:rPr>
              <w:t>What if source data change?</w:t>
            </w:r>
          </w:p>
        </w:tc>
        <w:tc>
          <w:tcPr>
            <w:tcW w:type="dxa" w:w="5112"/>
            <w:vAlign w:val="center"/>
          </w:tcPr>
          <w:p>
            <w:r/>
            <w:r>
              <w:rPr>
                <w:rFonts w:ascii="Aptos" w:hAnsi="Aptos"/>
                <w:b w:val="0"/>
                <w:sz w:val="15"/>
              </w:rPr>
              <w:t>Expiry/revocation events and revalidation</w:t>
            </w:r>
          </w:p>
        </w:tc>
      </w:tr>
      <w:tr>
        <w:tc>
          <w:tcPr>
            <w:tcW w:type="dxa" w:w="5112"/>
            <w:vAlign w:val="center"/>
            <w:shd w:fill="F3F6FA"/>
          </w:tcPr>
          <w:p>
            <w:r/>
            <w:r>
              <w:rPr>
                <w:rFonts w:ascii="Aptos" w:hAnsi="Aptos"/>
                <w:b w:val="0"/>
                <w:sz w:val="15"/>
              </w:rPr>
              <w:t>What is never portable?</w:t>
            </w:r>
          </w:p>
        </w:tc>
        <w:tc>
          <w:tcPr>
            <w:tcW w:type="dxa" w:w="5112"/>
            <w:vAlign w:val="center"/>
            <w:shd w:fill="F3F6FA"/>
          </w:tcPr>
          <w:p>
            <w:r/>
            <w:r>
              <w:rPr>
                <w:rFonts w:ascii="Aptos" w:hAnsi="Aptos"/>
                <w:b w:val="0"/>
                <w:sz w:val="15"/>
              </w:rPr>
              <w:t>Receiving organisation's own scope decision unless it independently chooses to recognise a defined artefact</w:t>
            </w:r>
          </w:p>
        </w:tc>
      </w:tr>
      <w:tr>
        <w:tc>
          <w:tcPr>
            <w:tcW w:type="dxa" w:w="5112"/>
            <w:vAlign w:val="center"/>
          </w:tcPr>
          <w:p>
            <w:r/>
            <w:r>
              <w:rPr>
                <w:rFonts w:ascii="Aptos" w:hAnsi="Aptos"/>
                <w:b w:val="0"/>
                <w:sz w:val="15"/>
              </w:rPr>
              <w:t>How are disputes corrected?</w:t>
            </w:r>
          </w:p>
        </w:tc>
        <w:tc>
          <w:tcPr>
            <w:tcW w:type="dxa" w:w="5112"/>
            <w:vAlign w:val="center"/>
          </w:tcPr>
          <w:p>
            <w:r/>
            <w:r>
              <w:rPr>
                <w:rFonts w:ascii="Aptos" w:hAnsi="Aptos"/>
                <w:b w:val="0"/>
                <w:sz w:val="15"/>
              </w:rPr>
              <w:t>Auditable challenge, correction and supersession workflow</w:t>
            </w:r>
          </w:p>
        </w:tc>
      </w:tr>
    </w:tbl>
    <w:p/>
    <w:p>
      <w:pPr>
        <w:pStyle w:val="Heading1"/>
      </w:pPr>
      <w:r>
        <w:t>10. Security and privacy architecture</w:t>
      </w:r>
    </w:p>
    <w:p>
      <w:pPr>
        <w:pStyle w:val="ListBullet"/>
      </w:pPr>
      <w:r>
        <w:t>MFA and federated identity for organisational users where feasible.</w:t>
      </w:r>
    </w:p>
    <w:p>
      <w:pPr>
        <w:pStyle w:val="ListBullet"/>
      </w:pPr>
      <w:r>
        <w:t>OAuth 2.0/OIDC patterns aligned with national services where applicable.</w:t>
      </w:r>
    </w:p>
    <w:p>
      <w:pPr>
        <w:pStyle w:val="ListBullet"/>
      </w:pPr>
      <w:r>
        <w:t>Least-privilege access separated across credential evidence, scope, commercial information and confidential workforce feedback.</w:t>
      </w:r>
    </w:p>
    <w:p>
      <w:pPr>
        <w:pStyle w:val="ListBullet"/>
      </w:pPr>
      <w:r>
        <w:t>Encryption in transit and at rest.</w:t>
      </w:r>
    </w:p>
    <w:p>
      <w:pPr>
        <w:pStyle w:val="ListBullet"/>
      </w:pPr>
      <w:r>
        <w:t>Expiring, revocable credential-share links for recipients outside the platform.</w:t>
      </w:r>
    </w:p>
    <w:p>
      <w:pPr>
        <w:pStyle w:val="ListBullet"/>
      </w:pPr>
      <w:r>
        <w:t>Fine-grained audit of access to sensitive evidence.</w:t>
      </w:r>
    </w:p>
    <w:p>
      <w:pPr>
        <w:pStyle w:val="ListBullet"/>
      </w:pPr>
      <w:r>
        <w:t>Data minimisation: default credential packs exclude highly sensitive identity evidence unless required.</w:t>
      </w:r>
    </w:p>
    <w:p>
      <w:pPr>
        <w:pStyle w:val="ListBullet"/>
      </w:pPr>
      <w:r>
        <w:t>No assumption that a workforce marketplace needs access to all underlying credential documents.</w:t>
      </w:r>
    </w:p>
    <w:p>
      <w:pPr>
        <w:pStyle w:val="ListBullet"/>
      </w:pPr>
      <w:r>
        <w:t>Australian hosting, records-management and retention requirements determined through formal assessment.</w:t>
      </w:r>
    </w:p>
    <w:p>
      <w:pPr>
        <w:pStyle w:val="ListBullet"/>
      </w:pPr>
      <w:r>
        <w:t>Threat modelling for fraudulent credentials, account takeover, insider access, malicious document upload and incorrect scope propagation.</w:t>
      </w:r>
    </w:p>
    <w:p>
      <w:pPr>
        <w:pStyle w:val="Heading1"/>
      </w:pPr>
      <w:r>
        <w:t>11. Event-driven interoperability</w:t>
      </w:r>
    </w:p>
    <w:p>
      <w:r>
        <w:t>The mature model should reduce reliance on periodic manual checking. Where authoritative services support it, credential state changes should propagate as events or be revalidated at meaningful decision points.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Event</w:t>
            </w:r>
          </w:p>
        </w:tc>
        <w:tc>
          <w:tcPr>
            <w:tcW w:type="dxa" w:w="5112"/>
            <w:vAlign w:val="center"/>
            <w:shd w:fill="17365D"/>
          </w:tcPr>
          <w:p>
            <w:r/>
            <w:r>
              <w:rPr>
                <w:rFonts w:ascii="Aptos" w:hAnsi="Aptos"/>
                <w:b/>
                <w:color w:val="FFFFFF"/>
                <w:sz w:val="16"/>
              </w:rPr>
              <w:t>Potential action</w:t>
            </w:r>
          </w:p>
        </w:tc>
      </w:tr>
      <w:tr>
        <w:tc>
          <w:tcPr>
            <w:tcW w:type="dxa" w:w="5112"/>
            <w:vAlign w:val="center"/>
          </w:tcPr>
          <w:p>
            <w:r/>
            <w:r>
              <w:rPr>
                <w:rFonts w:ascii="Aptos" w:hAnsi="Aptos"/>
                <w:b w:val="0"/>
                <w:sz w:val="15"/>
              </w:rPr>
              <w:t>Registration status changes</w:t>
            </w:r>
          </w:p>
        </w:tc>
        <w:tc>
          <w:tcPr>
            <w:tcW w:type="dxa" w:w="5112"/>
            <w:vAlign w:val="center"/>
          </w:tcPr>
          <w:p>
            <w:r/>
            <w:r>
              <w:rPr>
                <w:rFonts w:ascii="Aptos" w:hAnsi="Aptos"/>
                <w:b w:val="0"/>
                <w:sz w:val="15"/>
              </w:rPr>
              <w:t>Re-evaluate affected eligibility and alert authorised workforce/credential users</w:t>
            </w:r>
          </w:p>
        </w:tc>
      </w:tr>
      <w:tr>
        <w:tc>
          <w:tcPr>
            <w:tcW w:type="dxa" w:w="5112"/>
            <w:vAlign w:val="center"/>
            <w:shd w:fill="F3F6FA"/>
          </w:tcPr>
          <w:p>
            <w:r/>
            <w:r>
              <w:rPr>
                <w:rFonts w:ascii="Aptos" w:hAnsi="Aptos"/>
                <w:b w:val="0"/>
                <w:sz w:val="15"/>
              </w:rPr>
              <w:t>Credential expires</w:t>
            </w:r>
          </w:p>
        </w:tc>
        <w:tc>
          <w:tcPr>
            <w:tcW w:type="dxa" w:w="5112"/>
            <w:vAlign w:val="center"/>
            <w:shd w:fill="F3F6FA"/>
          </w:tcPr>
          <w:p>
            <w:r/>
            <w:r>
              <w:rPr>
                <w:rFonts w:ascii="Aptos" w:hAnsi="Aptos"/>
                <w:b w:val="0"/>
                <w:sz w:val="15"/>
              </w:rPr>
              <w:t>Remove dependent eligibility until renewed</w:t>
            </w:r>
          </w:p>
        </w:tc>
      </w:tr>
      <w:tr>
        <w:tc>
          <w:tcPr>
            <w:tcW w:type="dxa" w:w="5112"/>
            <w:vAlign w:val="center"/>
          </w:tcPr>
          <w:p>
            <w:r/>
            <w:r>
              <w:rPr>
                <w:rFonts w:ascii="Aptos" w:hAnsi="Aptos"/>
                <w:b w:val="0"/>
                <w:sz w:val="15"/>
              </w:rPr>
              <w:t>Verification superseded</w:t>
            </w:r>
          </w:p>
        </w:tc>
        <w:tc>
          <w:tcPr>
            <w:tcW w:type="dxa" w:w="5112"/>
            <w:vAlign w:val="center"/>
          </w:tcPr>
          <w:p>
            <w:r/>
            <w:r>
              <w:rPr>
                <w:rFonts w:ascii="Aptos" w:hAnsi="Aptos"/>
                <w:b w:val="0"/>
                <w:sz w:val="15"/>
              </w:rPr>
              <w:t>Mark dependent trust decisions for review</w:t>
            </w:r>
          </w:p>
        </w:tc>
      </w:tr>
      <w:tr>
        <w:tc>
          <w:tcPr>
            <w:tcW w:type="dxa" w:w="5112"/>
            <w:vAlign w:val="center"/>
            <w:shd w:fill="F3F6FA"/>
          </w:tcPr>
          <w:p>
            <w:r/>
            <w:r>
              <w:rPr>
                <w:rFonts w:ascii="Aptos" w:hAnsi="Aptos"/>
                <w:b w:val="0"/>
                <w:sz w:val="15"/>
              </w:rPr>
              <w:t>Scope suspended/withdrawn</w:t>
            </w:r>
          </w:p>
        </w:tc>
        <w:tc>
          <w:tcPr>
            <w:tcW w:type="dxa" w:w="5112"/>
            <w:vAlign w:val="center"/>
            <w:shd w:fill="F3F6FA"/>
          </w:tcPr>
          <w:p>
            <w:r/>
            <w:r>
              <w:rPr>
                <w:rFonts w:ascii="Aptos" w:hAnsi="Aptos"/>
                <w:b w:val="0"/>
                <w:sz w:val="15"/>
              </w:rPr>
              <w:t>Immediately block new bookings for affected role/site</w:t>
            </w:r>
          </w:p>
        </w:tc>
      </w:tr>
      <w:tr>
        <w:tc>
          <w:tcPr>
            <w:tcW w:type="dxa" w:w="5112"/>
            <w:vAlign w:val="center"/>
          </w:tcPr>
          <w:p>
            <w:r/>
            <w:r>
              <w:rPr>
                <w:rFonts w:ascii="Aptos" w:hAnsi="Aptos"/>
                <w:b w:val="0"/>
                <w:sz w:val="15"/>
              </w:rPr>
              <w:t>Role requirement changes</w:t>
            </w:r>
          </w:p>
        </w:tc>
        <w:tc>
          <w:tcPr>
            <w:tcW w:type="dxa" w:w="5112"/>
            <w:vAlign w:val="center"/>
          </w:tcPr>
          <w:p>
            <w:r/>
            <w:r>
              <w:rPr>
                <w:rFonts w:ascii="Aptos" w:hAnsi="Aptos"/>
                <w:b w:val="0"/>
                <w:sz w:val="15"/>
              </w:rPr>
              <w:t>Recalculate eligibility for future vacancies</w:t>
            </w:r>
          </w:p>
        </w:tc>
      </w:tr>
      <w:tr>
        <w:tc>
          <w:tcPr>
            <w:tcW w:type="dxa" w:w="5112"/>
            <w:vAlign w:val="center"/>
            <w:shd w:fill="F3F6FA"/>
          </w:tcPr>
          <w:p>
            <w:r/>
            <w:r>
              <w:rPr>
                <w:rFonts w:ascii="Aptos" w:hAnsi="Aptos"/>
                <w:b w:val="0"/>
                <w:sz w:val="15"/>
              </w:rPr>
              <w:t>Practitioner updates evidence</w:t>
            </w:r>
          </w:p>
        </w:tc>
        <w:tc>
          <w:tcPr>
            <w:tcW w:type="dxa" w:w="5112"/>
            <w:vAlign w:val="center"/>
            <w:shd w:fill="F3F6FA"/>
          </w:tcPr>
          <w:p>
            <w:r/>
            <w:r>
              <w:rPr>
                <w:rFonts w:ascii="Aptos" w:hAnsi="Aptos"/>
                <w:b w:val="0"/>
                <w:sz w:val="15"/>
              </w:rPr>
              <w:t>Route to appropriate verification workflow</w:t>
            </w:r>
          </w:p>
        </w:tc>
      </w:tr>
      <w:tr>
        <w:tc>
          <w:tcPr>
            <w:tcW w:type="dxa" w:w="5112"/>
            <w:vAlign w:val="center"/>
          </w:tcPr>
          <w:p>
            <w:r/>
            <w:r>
              <w:rPr>
                <w:rFonts w:ascii="Aptos" w:hAnsi="Aptos"/>
                <w:b w:val="0"/>
                <w:sz w:val="15"/>
              </w:rPr>
              <w:t>Organisation changes service/location data</w:t>
            </w:r>
          </w:p>
        </w:tc>
        <w:tc>
          <w:tcPr>
            <w:tcW w:type="dxa" w:w="5112"/>
            <w:vAlign w:val="center"/>
          </w:tcPr>
          <w:p>
            <w:r/>
            <w:r>
              <w:rPr>
                <w:rFonts w:ascii="Aptos" w:hAnsi="Aptos"/>
                <w:b w:val="0"/>
                <w:sz w:val="15"/>
              </w:rPr>
              <w:t>Synchronise relevant directory/workforce references</w:t>
            </w:r>
          </w:p>
        </w:tc>
      </w:tr>
    </w:tbl>
    <w:p/>
    <w:p>
      <w:pPr>
        <w:pStyle w:val="Heading1"/>
      </w:pPr>
      <w:r>
        <w:t>12. Demonstrator technical phases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7365D"/>
          </w:tcPr>
          <w:p>
            <w:r/>
            <w:r>
              <w:rPr>
                <w:rFonts w:ascii="Aptos" w:hAnsi="Aptos"/>
                <w:b/>
                <w:color w:val="FFFFFF"/>
                <w:sz w:val="16"/>
              </w:rPr>
              <w:t>Phase</w:t>
            </w:r>
          </w:p>
        </w:tc>
        <w:tc>
          <w:tcPr>
            <w:tcW w:type="dxa" w:w="3408"/>
            <w:vAlign w:val="center"/>
            <w:shd w:fill="17365D"/>
          </w:tcPr>
          <w:p>
            <w:r/>
            <w:r>
              <w:rPr>
                <w:rFonts w:ascii="Aptos" w:hAnsi="Aptos"/>
                <w:b/>
                <w:color w:val="FFFFFF"/>
                <w:sz w:val="16"/>
              </w:rPr>
              <w:t>Technical focus</w:t>
            </w:r>
          </w:p>
        </w:tc>
        <w:tc>
          <w:tcPr>
            <w:tcW w:type="dxa" w:w="3408"/>
            <w:vAlign w:val="center"/>
            <w:shd w:fill="17365D"/>
          </w:tcPr>
          <w:p>
            <w:r/>
            <w:r>
              <w:rPr>
                <w:rFonts w:ascii="Aptos" w:hAnsi="Aptos"/>
                <w:b/>
                <w:color w:val="FFFFFF"/>
                <w:sz w:val="16"/>
              </w:rPr>
              <w:t>Agency partnership opportunity</w:t>
            </w:r>
          </w:p>
        </w:tc>
      </w:tr>
      <w:tr>
        <w:tc>
          <w:tcPr>
            <w:tcW w:type="dxa" w:w="3408"/>
            <w:vAlign w:val="center"/>
          </w:tcPr>
          <w:p>
            <w:r/>
            <w:r>
              <w:rPr>
                <w:rFonts w:ascii="Aptos" w:hAnsi="Aptos"/>
                <w:b w:val="0"/>
                <w:sz w:val="15"/>
              </w:rPr>
              <w:t>A. YNLHN closed pilot</w:t>
            </w:r>
          </w:p>
        </w:tc>
        <w:tc>
          <w:tcPr>
            <w:tcW w:type="dxa" w:w="3408"/>
            <w:vAlign w:val="center"/>
          </w:tcPr>
          <w:p>
            <w:r/>
            <w:r>
              <w:rPr>
                <w:rFonts w:ascii="Aptos" w:hAnsi="Aptos"/>
                <w:b w:val="0"/>
                <w:sz w:val="15"/>
              </w:rPr>
              <w:t>Identity, wallet, credential schema, provenance, local scope and experience</w:t>
            </w:r>
          </w:p>
        </w:tc>
        <w:tc>
          <w:tcPr>
            <w:tcW w:type="dxa" w:w="3408"/>
            <w:vAlign w:val="center"/>
          </w:tcPr>
          <w:p>
            <w:r/>
            <w:r>
              <w:rPr>
                <w:rFonts w:ascii="Aptos" w:hAnsi="Aptos"/>
                <w:b w:val="0"/>
                <w:sz w:val="15"/>
              </w:rPr>
              <w:t>Architecture review and standards mapping</w:t>
            </w:r>
          </w:p>
        </w:tc>
      </w:tr>
      <w:tr>
        <w:tc>
          <w:tcPr>
            <w:tcW w:type="dxa" w:w="3408"/>
            <w:vAlign w:val="center"/>
            <w:shd w:fill="F3F6FA"/>
          </w:tcPr>
          <w:p>
            <w:r/>
            <w:r>
              <w:rPr>
                <w:rFonts w:ascii="Aptos" w:hAnsi="Aptos"/>
                <w:b w:val="0"/>
                <w:sz w:val="15"/>
              </w:rPr>
              <w:t>B. Cross-LHN portability</w:t>
            </w:r>
          </w:p>
        </w:tc>
        <w:tc>
          <w:tcPr>
            <w:tcW w:type="dxa" w:w="3408"/>
            <w:vAlign w:val="center"/>
            <w:shd w:fill="F3F6FA"/>
          </w:tcPr>
          <w:p>
            <w:r/>
            <w:r>
              <w:rPr>
                <w:rFonts w:ascii="Aptos" w:hAnsi="Aptos"/>
                <w:b w:val="0"/>
                <w:sz w:val="15"/>
              </w:rPr>
              <w:t>Consent/share, receiving trust rules, evidence reuse and separate ScopeGrant</w:t>
            </w:r>
          </w:p>
        </w:tc>
        <w:tc>
          <w:tcPr>
            <w:tcW w:type="dxa" w:w="3408"/>
            <w:vAlign w:val="center"/>
            <w:shd w:fill="F3F6FA"/>
          </w:tcPr>
          <w:p>
            <w:r/>
            <w:r>
              <w:rPr>
                <w:rFonts w:ascii="Aptos" w:hAnsi="Aptos"/>
                <w:b w:val="0"/>
                <w:sz w:val="15"/>
              </w:rPr>
              <w:t>Joint credential assurance and scope representation design</w:t>
            </w:r>
          </w:p>
        </w:tc>
      </w:tr>
      <w:tr>
        <w:tc>
          <w:tcPr>
            <w:tcW w:type="dxa" w:w="3408"/>
            <w:vAlign w:val="center"/>
          </w:tcPr>
          <w:p>
            <w:r/>
            <w:r>
              <w:rPr>
                <w:rFonts w:ascii="Aptos" w:hAnsi="Aptos"/>
                <w:b w:val="0"/>
                <w:sz w:val="15"/>
              </w:rPr>
              <w:t>C. Statewide exchange</w:t>
            </w:r>
          </w:p>
        </w:tc>
        <w:tc>
          <w:tcPr>
            <w:tcW w:type="dxa" w:w="3408"/>
            <w:vAlign w:val="center"/>
          </w:tcPr>
          <w:p>
            <w:r/>
            <w:r>
              <w:rPr>
                <w:rFonts w:ascii="Aptos" w:hAnsi="Aptos"/>
                <w:b w:val="0"/>
                <w:sz w:val="15"/>
              </w:rPr>
              <w:t>Common role catalogue, eligibility service, agency gateway and statewide analytics</w:t>
            </w:r>
          </w:p>
        </w:tc>
        <w:tc>
          <w:tcPr>
            <w:tcW w:type="dxa" w:w="3408"/>
            <w:vAlign w:val="center"/>
          </w:tcPr>
          <w:p>
            <w:r/>
            <w:r>
              <w:rPr>
                <w:rFonts w:ascii="Aptos" w:hAnsi="Aptos"/>
                <w:b w:val="0"/>
                <w:sz w:val="15"/>
              </w:rPr>
              <w:t>Interoperability/conformance pattern review</w:t>
            </w:r>
          </w:p>
        </w:tc>
      </w:tr>
      <w:tr>
        <w:tc>
          <w:tcPr>
            <w:tcW w:type="dxa" w:w="3408"/>
            <w:vAlign w:val="center"/>
            <w:shd w:fill="F3F6FA"/>
          </w:tcPr>
          <w:p>
            <w:r/>
            <w:r>
              <w:rPr>
                <w:rFonts w:ascii="Aptos" w:hAnsi="Aptos"/>
                <w:b w:val="0"/>
                <w:sz w:val="15"/>
              </w:rPr>
              <w:t>D. National demonstrator</w:t>
            </w:r>
          </w:p>
        </w:tc>
        <w:tc>
          <w:tcPr>
            <w:tcW w:type="dxa" w:w="3408"/>
            <w:vAlign w:val="center"/>
            <w:shd w:fill="F3F6FA"/>
          </w:tcPr>
          <w:p>
            <w:r/>
            <w:r>
              <w:rPr>
                <w:rFonts w:ascii="Aptos" w:hAnsi="Aptos"/>
                <w:b w:val="0"/>
                <w:sz w:val="15"/>
              </w:rPr>
              <w:t>Cross-jurisdiction trust and identifier interoperability</w:t>
            </w:r>
          </w:p>
        </w:tc>
        <w:tc>
          <w:tcPr>
            <w:tcW w:type="dxa" w:w="3408"/>
            <w:vAlign w:val="center"/>
            <w:shd w:fill="F3F6FA"/>
          </w:tcPr>
          <w:p>
            <w:r/>
            <w:r>
              <w:rPr>
                <w:rFonts w:ascii="Aptos" w:hAnsi="Aptos"/>
                <w:b w:val="0"/>
                <w:sz w:val="15"/>
              </w:rPr>
              <w:t>National reference architecture and implementation guidance</w:t>
            </w:r>
          </w:p>
        </w:tc>
      </w:tr>
      <w:tr>
        <w:tc>
          <w:tcPr>
            <w:tcW w:type="dxa" w:w="3408"/>
            <w:vAlign w:val="center"/>
          </w:tcPr>
          <w:p>
            <w:r/>
            <w:r>
              <w:rPr>
                <w:rFonts w:ascii="Aptos" w:hAnsi="Aptos"/>
                <w:b w:val="0"/>
                <w:sz w:val="15"/>
              </w:rPr>
              <w:t>E. Reusable ecosystem</w:t>
            </w:r>
          </w:p>
        </w:tc>
        <w:tc>
          <w:tcPr>
            <w:tcW w:type="dxa" w:w="3408"/>
            <w:vAlign w:val="center"/>
          </w:tcPr>
          <w:p>
            <w:r/>
            <w:r>
              <w:rPr>
                <w:rFonts w:ascii="Aptos" w:hAnsi="Aptos"/>
                <w:b w:val="0"/>
                <w:sz w:val="15"/>
              </w:rPr>
              <w:t>Vendor-neutral APIs/specifications and conformance</w:t>
            </w:r>
          </w:p>
        </w:tc>
        <w:tc>
          <w:tcPr>
            <w:tcW w:type="dxa" w:w="3408"/>
            <w:vAlign w:val="center"/>
          </w:tcPr>
          <w:p>
            <w:r/>
            <w:r>
              <w:rPr>
                <w:rFonts w:ascii="Aptos" w:hAnsi="Aptos"/>
                <w:b w:val="0"/>
                <w:sz w:val="15"/>
              </w:rPr>
              <w:t>Potential incorporation into national standards/implementer resources</w:t>
            </w:r>
          </w:p>
        </w:tc>
      </w:tr>
    </w:tbl>
    <w:p/>
    <w:p>
      <w:pPr>
        <w:pStyle w:val="Heading1"/>
      </w:pPr>
      <w:r>
        <w:t>13. Proposed joint technical work packages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Work package</w:t>
            </w:r>
          </w:p>
        </w:tc>
        <w:tc>
          <w:tcPr>
            <w:tcW w:type="dxa" w:w="5112"/>
            <w:vAlign w:val="center"/>
            <w:shd w:fill="17365D"/>
          </w:tcPr>
          <w:p>
            <w:r/>
            <w:r>
              <w:rPr>
                <w:rFonts w:ascii="Aptos" w:hAnsi="Aptos"/>
                <w:b/>
                <w:color w:val="FFFFFF"/>
                <w:sz w:val="16"/>
              </w:rPr>
              <w:t>Deliverable</w:t>
            </w:r>
          </w:p>
        </w:tc>
      </w:tr>
      <w:tr>
        <w:tc>
          <w:tcPr>
            <w:tcW w:type="dxa" w:w="5112"/>
            <w:vAlign w:val="center"/>
          </w:tcPr>
          <w:p>
            <w:r/>
            <w:r>
              <w:rPr>
                <w:rFonts w:ascii="Aptos" w:hAnsi="Aptos"/>
                <w:b w:val="0"/>
                <w:sz w:val="15"/>
              </w:rPr>
              <w:t>WP1 Architecture alignment</w:t>
            </w:r>
          </w:p>
        </w:tc>
        <w:tc>
          <w:tcPr>
            <w:tcW w:type="dxa" w:w="5112"/>
            <w:vAlign w:val="center"/>
          </w:tcPr>
          <w:p>
            <w:r/>
            <w:r>
              <w:rPr>
                <w:rFonts w:ascii="Aptos" w:hAnsi="Aptos"/>
                <w:b w:val="0"/>
                <w:sz w:val="15"/>
              </w:rPr>
              <w:t>Map demonstrator components to HI Service, PCA, Health Connect Australia and national architecture</w:t>
            </w:r>
          </w:p>
        </w:tc>
      </w:tr>
      <w:tr>
        <w:tc>
          <w:tcPr>
            <w:tcW w:type="dxa" w:w="5112"/>
            <w:vAlign w:val="center"/>
            <w:shd w:fill="F3F6FA"/>
          </w:tcPr>
          <w:p>
            <w:r/>
            <w:r>
              <w:rPr>
                <w:rFonts w:ascii="Aptos" w:hAnsi="Aptos"/>
                <w:b w:val="0"/>
                <w:sz w:val="15"/>
              </w:rPr>
              <w:t>WP2 Information model</w:t>
            </w:r>
          </w:p>
        </w:tc>
        <w:tc>
          <w:tcPr>
            <w:tcW w:type="dxa" w:w="5112"/>
            <w:vAlign w:val="center"/>
            <w:shd w:fill="F3F6FA"/>
          </w:tcPr>
          <w:p>
            <w:r/>
            <w:r>
              <w:rPr>
                <w:rFonts w:ascii="Aptos" w:hAnsi="Aptos"/>
                <w:b w:val="0"/>
                <w:sz w:val="15"/>
              </w:rPr>
              <w:t>Canonical practitioner credential, evidence, verification, scope and requirement model</w:t>
            </w:r>
          </w:p>
        </w:tc>
      </w:tr>
      <w:tr>
        <w:tc>
          <w:tcPr>
            <w:tcW w:type="dxa" w:w="5112"/>
            <w:vAlign w:val="center"/>
          </w:tcPr>
          <w:p>
            <w:r/>
            <w:r>
              <w:rPr>
                <w:rFonts w:ascii="Aptos" w:hAnsi="Aptos"/>
                <w:b w:val="0"/>
                <w:sz w:val="15"/>
              </w:rPr>
              <w:t>WP3 FHIR gap analysis</w:t>
            </w:r>
          </w:p>
        </w:tc>
        <w:tc>
          <w:tcPr>
            <w:tcW w:type="dxa" w:w="5112"/>
            <w:vAlign w:val="center"/>
          </w:tcPr>
          <w:p>
            <w:r/>
            <w:r>
              <w:rPr>
                <w:rFonts w:ascii="Aptos" w:hAnsi="Aptos"/>
                <w:b w:val="0"/>
                <w:sz w:val="15"/>
              </w:rPr>
              <w:t>Map model to current Australian FHIR artefacts; document gaps and candidate patterns</w:t>
            </w:r>
          </w:p>
        </w:tc>
      </w:tr>
      <w:tr>
        <w:tc>
          <w:tcPr>
            <w:tcW w:type="dxa" w:w="5112"/>
            <w:vAlign w:val="center"/>
            <w:shd w:fill="F3F6FA"/>
          </w:tcPr>
          <w:p>
            <w:r/>
            <w:r>
              <w:rPr>
                <w:rFonts w:ascii="Aptos" w:hAnsi="Aptos"/>
                <w:b w:val="0"/>
                <w:sz w:val="15"/>
              </w:rPr>
              <w:t>WP4 Identifier profile</w:t>
            </w:r>
          </w:p>
        </w:tc>
        <w:tc>
          <w:tcPr>
            <w:tcW w:type="dxa" w:w="5112"/>
            <w:vAlign w:val="center"/>
            <w:shd w:fill="F3F6FA"/>
          </w:tcPr>
          <w:p>
            <w:r/>
            <w:r>
              <w:rPr>
                <w:rFonts w:ascii="Aptos" w:hAnsi="Aptos"/>
                <w:b w:val="0"/>
                <w:sz w:val="15"/>
              </w:rPr>
              <w:t>Rules for HPI-I/HPI-O, Ahpra and jurisdictional identifiers</w:t>
            </w:r>
          </w:p>
        </w:tc>
      </w:tr>
      <w:tr>
        <w:tc>
          <w:tcPr>
            <w:tcW w:type="dxa" w:w="5112"/>
            <w:vAlign w:val="center"/>
          </w:tcPr>
          <w:p>
            <w:r/>
            <w:r>
              <w:rPr>
                <w:rFonts w:ascii="Aptos" w:hAnsi="Aptos"/>
                <w:b w:val="0"/>
                <w:sz w:val="15"/>
              </w:rPr>
              <w:t>WP5 Trust framework</w:t>
            </w:r>
          </w:p>
        </w:tc>
        <w:tc>
          <w:tcPr>
            <w:tcW w:type="dxa" w:w="5112"/>
            <w:vAlign w:val="center"/>
          </w:tcPr>
          <w:p>
            <w:r/>
            <w:r>
              <w:rPr>
                <w:rFonts w:ascii="Aptos" w:hAnsi="Aptos"/>
                <w:b w:val="0"/>
                <w:sz w:val="15"/>
              </w:rPr>
              <w:t>Verification assurance levels, reuse rules and receiving-organisation decision model</w:t>
            </w:r>
          </w:p>
        </w:tc>
      </w:tr>
      <w:tr>
        <w:tc>
          <w:tcPr>
            <w:tcW w:type="dxa" w:w="5112"/>
            <w:vAlign w:val="center"/>
            <w:shd w:fill="F3F6FA"/>
          </w:tcPr>
          <w:p>
            <w:r/>
            <w:r>
              <w:rPr>
                <w:rFonts w:ascii="Aptos" w:hAnsi="Aptos"/>
                <w:b w:val="0"/>
                <w:sz w:val="15"/>
              </w:rPr>
              <w:t>WP6 Scope representation</w:t>
            </w:r>
          </w:p>
        </w:tc>
        <w:tc>
          <w:tcPr>
            <w:tcW w:type="dxa" w:w="5112"/>
            <w:vAlign w:val="center"/>
            <w:shd w:fill="F3F6FA"/>
          </w:tcPr>
          <w:p>
            <w:r/>
            <w:r>
              <w:rPr>
                <w:rFonts w:ascii="Aptos" w:hAnsi="Aptos"/>
                <w:b w:val="0"/>
                <w:sz w:val="15"/>
              </w:rPr>
              <w:t>Interoperable model for organisation-issued scope and restrictions</w:t>
            </w:r>
          </w:p>
        </w:tc>
      </w:tr>
      <w:tr>
        <w:tc>
          <w:tcPr>
            <w:tcW w:type="dxa" w:w="5112"/>
            <w:vAlign w:val="center"/>
          </w:tcPr>
          <w:p>
            <w:r/>
            <w:r>
              <w:rPr>
                <w:rFonts w:ascii="Aptos" w:hAnsi="Aptos"/>
                <w:b w:val="0"/>
                <w:sz w:val="15"/>
              </w:rPr>
              <w:t>WP7 Security/privacy</w:t>
            </w:r>
          </w:p>
        </w:tc>
        <w:tc>
          <w:tcPr>
            <w:tcW w:type="dxa" w:w="5112"/>
            <w:vAlign w:val="center"/>
          </w:tcPr>
          <w:p>
            <w:r/>
            <w:r>
              <w:rPr>
                <w:rFonts w:ascii="Aptos" w:hAnsi="Aptos"/>
                <w:b w:val="0"/>
                <w:sz w:val="15"/>
              </w:rPr>
              <w:t>Threat model, access model, sharing patterns and audit requirements</w:t>
            </w:r>
          </w:p>
        </w:tc>
      </w:tr>
      <w:tr>
        <w:tc>
          <w:tcPr>
            <w:tcW w:type="dxa" w:w="5112"/>
            <w:vAlign w:val="center"/>
            <w:shd w:fill="F3F6FA"/>
          </w:tcPr>
          <w:p>
            <w:r/>
            <w:r>
              <w:rPr>
                <w:rFonts w:ascii="Aptos" w:hAnsi="Aptos"/>
                <w:b w:val="0"/>
                <w:sz w:val="15"/>
              </w:rPr>
              <w:t>WP8 Conformance</w:t>
            </w:r>
          </w:p>
        </w:tc>
        <w:tc>
          <w:tcPr>
            <w:tcW w:type="dxa" w:w="5112"/>
            <w:vAlign w:val="center"/>
            <w:shd w:fill="F3F6FA"/>
          </w:tcPr>
          <w:p>
            <w:r/>
            <w:r>
              <w:rPr>
                <w:rFonts w:ascii="Aptos" w:hAnsi="Aptos"/>
                <w:b w:val="0"/>
                <w:sz w:val="15"/>
              </w:rPr>
              <w:t>Test artefacts, example payloads and validation approach</w:t>
            </w:r>
          </w:p>
        </w:tc>
      </w:tr>
      <w:tr>
        <w:tc>
          <w:tcPr>
            <w:tcW w:type="dxa" w:w="5112"/>
            <w:vAlign w:val="center"/>
          </w:tcPr>
          <w:p>
            <w:r/>
            <w:r>
              <w:rPr>
                <w:rFonts w:ascii="Aptos" w:hAnsi="Aptos"/>
                <w:b w:val="0"/>
                <w:sz w:val="15"/>
              </w:rPr>
              <w:t>WP9 Demonstrator evaluation</w:t>
            </w:r>
          </w:p>
        </w:tc>
        <w:tc>
          <w:tcPr>
            <w:tcW w:type="dxa" w:w="5112"/>
            <w:vAlign w:val="center"/>
          </w:tcPr>
          <w:p>
            <w:r/>
            <w:r>
              <w:rPr>
                <w:rFonts w:ascii="Aptos" w:hAnsi="Aptos"/>
                <w:b w:val="0"/>
                <w:sz w:val="15"/>
              </w:rPr>
              <w:t>Technical interoperability, data quality, reuse, safety and user outcomes</w:t>
            </w:r>
          </w:p>
        </w:tc>
      </w:tr>
      <w:tr>
        <w:tc>
          <w:tcPr>
            <w:tcW w:type="dxa" w:w="5112"/>
            <w:vAlign w:val="center"/>
            <w:shd w:fill="F3F6FA"/>
          </w:tcPr>
          <w:p>
            <w:r/>
            <w:r>
              <w:rPr>
                <w:rFonts w:ascii="Aptos" w:hAnsi="Aptos"/>
                <w:b w:val="0"/>
                <w:sz w:val="15"/>
              </w:rPr>
              <w:t>WP10 National reuse package</w:t>
            </w:r>
          </w:p>
        </w:tc>
        <w:tc>
          <w:tcPr>
            <w:tcW w:type="dxa" w:w="5112"/>
            <w:vAlign w:val="center"/>
            <w:shd w:fill="F3F6FA"/>
          </w:tcPr>
          <w:p>
            <w:r/>
            <w:r>
              <w:rPr>
                <w:rFonts w:ascii="Aptos" w:hAnsi="Aptos"/>
                <w:b w:val="0"/>
                <w:sz w:val="15"/>
              </w:rPr>
              <w:t>Open reference architecture, implementation guide and lessons for jurisdictions/vendors</w:t>
            </w:r>
          </w:p>
        </w:tc>
      </w:tr>
    </w:tbl>
    <w:p/>
    <w:p>
      <w:pPr>
        <w:pStyle w:val="Heading1"/>
      </w:pPr>
      <w:r>
        <w:t>14. Conformance approach</w:t>
      </w:r>
    </w:p>
    <w:p>
      <w:r>
        <w:t>A national-scale ecosystem requires more than an API specification. The demonstrator should define testable conformance statements and example transactions from the outset.</w:t>
      </w:r>
    </w:p>
    <w:p>
      <w:pPr>
        <w:pStyle w:val="ListBullet"/>
      </w:pPr>
      <w:r>
        <w:t>Valid identifier binding and issuer metadata</w:t>
      </w:r>
    </w:p>
    <w:p>
      <w:pPr>
        <w:pStyle w:val="ListBullet"/>
      </w:pPr>
      <w:r>
        <w:t>Credential/evidence linkage</w:t>
      </w:r>
    </w:p>
    <w:p>
      <w:pPr>
        <w:pStyle w:val="ListBullet"/>
      </w:pPr>
      <w:r>
        <w:t>Verification provenance completeness</w:t>
      </w:r>
    </w:p>
    <w:p>
      <w:pPr>
        <w:pStyle w:val="ListBullet"/>
      </w:pPr>
      <w:r>
        <w:t>Scope issuer and effective-period semantics</w:t>
      </w:r>
    </w:p>
    <w:p>
      <w:pPr>
        <w:pStyle w:val="ListBullet"/>
      </w:pPr>
      <w:r>
        <w:t>Status/revocation handling</w:t>
      </w:r>
    </w:p>
    <w:p>
      <w:pPr>
        <w:pStyle w:val="ListBullet"/>
      </w:pPr>
      <w:r>
        <w:t>Organisation and location resolution</w:t>
      </w:r>
    </w:p>
    <w:p>
      <w:pPr>
        <w:pStyle w:val="ListBullet"/>
      </w:pPr>
      <w:r>
        <w:t>Authorisation and consent checks</w:t>
      </w:r>
    </w:p>
    <w:p>
      <w:pPr>
        <w:pStyle w:val="ListBullet"/>
      </w:pPr>
      <w:r>
        <w:t>Audit event generation</w:t>
      </w:r>
    </w:p>
    <w:p>
      <w:pPr>
        <w:pStyle w:val="ListBullet"/>
      </w:pPr>
      <w:r>
        <w:t>Eligibility explanation showing which hard requirements passed or failed</w:t>
      </w:r>
    </w:p>
    <w:p>
      <w:pPr>
        <w:pStyle w:val="ListBullet"/>
      </w:pPr>
      <w:r>
        <w:t>Round-trip export/import without loss of clinically significant semantics</w:t>
      </w:r>
    </w:p>
    <w:p>
      <w:pPr>
        <w:pStyle w:val="Heading1"/>
      </w:pPr>
      <w:r>
        <w:t>15. Explainable eligibility</w:t>
      </w:r>
    </w:p>
    <w:p>
      <w:r>
        <w:t>Eligibility should be deterministic and explainable. It is not a machine-learning decision. A doctor, credentialling officer or workforce user should be able to see why the system regards a practitioner as eligible or ineligible.</w:t>
      </w:r>
    </w:p>
    <w:tbl>
      <w:tblPr>
        <w:tblStyle w:val="TableGrid"/>
        <w:tblW w:type="auto" w:w="0"/>
        <w:tblLook w:firstColumn="1" w:firstRow="1" w:lastColumn="0" w:lastRow="0" w:noHBand="0" w:noVBand="1" w:val="04A0"/>
      </w:tblPr>
      <w:tblGrid>
        <w:gridCol w:w="10224"/>
      </w:tblGrid>
      <w:tr>
        <w:tc>
          <w:tcPr>
            <w:tcW w:type="dxa" w:w="10224"/>
            <w:shd w:fill="EAF0F8"/>
          </w:tcPr>
          <w:p>
            <w:r/>
            <w:r>
              <w:rPr>
                <w:rFonts w:ascii="Aptos" w:hAnsi="Aptos"/>
                <w:b/>
                <w:color w:val="17365D"/>
                <w:sz w:val="20"/>
              </w:rPr>
              <w:t>Example: 'Not currently eligible for ED Senior - Port Pirie: YNLHN ED Senior scope expired 14 September; ALS credential remains current; Ahpra registration current.'</w:t>
            </w:r>
          </w:p>
        </w:tc>
      </w:tr>
    </w:tbl>
    <w:p/>
    <w:p>
      <w:r>
        <w:t>This distinction is important for safety, contestability and future regulation. AI may later assist with document extraction or administrative triage, but should not be the authority that grants clinical scope.</w:t>
      </w:r>
    </w:p>
    <w:p>
      <w:pPr>
        <w:pStyle w:val="Heading1"/>
      </w:pPr>
      <w:r>
        <w:t>16. Relationship to Provider Connect Australia</w:t>
      </w:r>
    </w:p>
    <w:p>
      <w:r>
        <w:t>PCA should be treated as a potential interoperability partner and architectural precedent, not assumed to be the correct repository for all workforce credential information. The demonstrator should identify which data belong naturally in provider/service directory infrastructure and which require a separate credential/workforce domain.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PCA-relevant information</w:t>
            </w:r>
          </w:p>
        </w:tc>
        <w:tc>
          <w:tcPr>
            <w:tcW w:type="dxa" w:w="5112"/>
            <w:vAlign w:val="center"/>
            <w:shd w:fill="17365D"/>
          </w:tcPr>
          <w:p>
            <w:r/>
            <w:r>
              <w:rPr>
                <w:rFonts w:ascii="Aptos" w:hAnsi="Aptos"/>
                <w:b/>
                <w:color w:val="FFFFFF"/>
                <w:sz w:val="16"/>
              </w:rPr>
              <w:t>Likely workforce-specific information</w:t>
            </w:r>
          </w:p>
        </w:tc>
      </w:tr>
      <w:tr>
        <w:tc>
          <w:tcPr>
            <w:tcW w:type="dxa" w:w="5112"/>
            <w:vAlign w:val="center"/>
          </w:tcPr>
          <w:p>
            <w:r/>
            <w:r>
              <w:rPr>
                <w:rFonts w:ascii="Aptos" w:hAnsi="Aptos"/>
                <w:b w:val="0"/>
                <w:sz w:val="15"/>
              </w:rPr>
              <w:t>Practitioner identity/reference</w:t>
            </w:r>
          </w:p>
        </w:tc>
        <w:tc>
          <w:tcPr>
            <w:tcW w:type="dxa" w:w="5112"/>
            <w:vAlign w:val="center"/>
          </w:tcPr>
          <w:p>
            <w:r/>
            <w:r>
              <w:rPr>
                <w:rFonts w:ascii="Aptos" w:hAnsi="Aptos"/>
                <w:b w:val="0"/>
                <w:sz w:val="15"/>
              </w:rPr>
              <w:t>Credential evidence and assurance history</w:t>
            </w:r>
          </w:p>
        </w:tc>
      </w:tr>
      <w:tr>
        <w:tc>
          <w:tcPr>
            <w:tcW w:type="dxa" w:w="5112"/>
            <w:vAlign w:val="center"/>
            <w:shd w:fill="F3F6FA"/>
          </w:tcPr>
          <w:p>
            <w:r/>
            <w:r>
              <w:rPr>
                <w:rFonts w:ascii="Aptos" w:hAnsi="Aptos"/>
                <w:b w:val="0"/>
                <w:sz w:val="15"/>
              </w:rPr>
              <w:t>PractitionerRole</w:t>
            </w:r>
          </w:p>
        </w:tc>
        <w:tc>
          <w:tcPr>
            <w:tcW w:type="dxa" w:w="5112"/>
            <w:vAlign w:val="center"/>
            <w:shd w:fill="F3F6FA"/>
          </w:tcPr>
          <w:p>
            <w:r/>
            <w:r>
              <w:rPr>
                <w:rFonts w:ascii="Aptos" w:hAnsi="Aptos"/>
                <w:b w:val="0"/>
                <w:sz w:val="15"/>
              </w:rPr>
              <w:t>Organisation-issued detailed clinical scope/restrictions</w:t>
            </w:r>
          </w:p>
        </w:tc>
      </w:tr>
      <w:tr>
        <w:tc>
          <w:tcPr>
            <w:tcW w:type="dxa" w:w="5112"/>
            <w:vAlign w:val="center"/>
          </w:tcPr>
          <w:p>
            <w:r/>
            <w:r>
              <w:rPr>
                <w:rFonts w:ascii="Aptos" w:hAnsi="Aptos"/>
                <w:b w:val="0"/>
                <w:sz w:val="15"/>
              </w:rPr>
              <w:t>Organization</w:t>
            </w:r>
          </w:p>
        </w:tc>
        <w:tc>
          <w:tcPr>
            <w:tcW w:type="dxa" w:w="5112"/>
            <w:vAlign w:val="center"/>
          </w:tcPr>
          <w:p>
            <w:r/>
            <w:r>
              <w:rPr>
                <w:rFonts w:ascii="Aptos" w:hAnsi="Aptos"/>
                <w:b w:val="0"/>
                <w:sz w:val="15"/>
              </w:rPr>
              <w:t>Role requirement catalogue</w:t>
            </w:r>
          </w:p>
        </w:tc>
      </w:tr>
      <w:tr>
        <w:tc>
          <w:tcPr>
            <w:tcW w:type="dxa" w:w="5112"/>
            <w:vAlign w:val="center"/>
            <w:shd w:fill="F3F6FA"/>
          </w:tcPr>
          <w:p>
            <w:r/>
            <w:r>
              <w:rPr>
                <w:rFonts w:ascii="Aptos" w:hAnsi="Aptos"/>
                <w:b w:val="0"/>
                <w:sz w:val="15"/>
              </w:rPr>
              <w:t>HealthcareService</w:t>
            </w:r>
          </w:p>
        </w:tc>
        <w:tc>
          <w:tcPr>
            <w:tcW w:type="dxa" w:w="5112"/>
            <w:vAlign w:val="center"/>
            <w:shd w:fill="F3F6FA"/>
          </w:tcPr>
          <w:p>
            <w:r/>
            <w:r>
              <w:rPr>
                <w:rFonts w:ascii="Aptos" w:hAnsi="Aptos"/>
                <w:b w:val="0"/>
                <w:sz w:val="15"/>
              </w:rPr>
              <w:t>Point-in-time workforce eligibility</w:t>
            </w:r>
          </w:p>
        </w:tc>
      </w:tr>
      <w:tr>
        <w:tc>
          <w:tcPr>
            <w:tcW w:type="dxa" w:w="5112"/>
            <w:vAlign w:val="center"/>
          </w:tcPr>
          <w:p>
            <w:r/>
            <w:r>
              <w:rPr>
                <w:rFonts w:ascii="Aptos" w:hAnsi="Aptos"/>
                <w:b w:val="0"/>
                <w:sz w:val="15"/>
              </w:rPr>
              <w:t>Location</w:t>
            </w:r>
          </w:p>
        </w:tc>
        <w:tc>
          <w:tcPr>
            <w:tcW w:type="dxa" w:w="5112"/>
            <w:vAlign w:val="center"/>
          </w:tcPr>
          <w:p>
            <w:r/>
            <w:r>
              <w:rPr>
                <w:rFonts w:ascii="Aptos" w:hAnsi="Aptos"/>
                <w:b w:val="0"/>
                <w:sz w:val="15"/>
              </w:rPr>
              <w:t>Availability, minimum rate and travel preferences</w:t>
            </w:r>
          </w:p>
        </w:tc>
      </w:tr>
      <w:tr>
        <w:tc>
          <w:tcPr>
            <w:tcW w:type="dxa" w:w="5112"/>
            <w:vAlign w:val="center"/>
            <w:shd w:fill="F3F6FA"/>
          </w:tcPr>
          <w:p>
            <w:r/>
            <w:r>
              <w:rPr>
                <w:rFonts w:ascii="Aptos" w:hAnsi="Aptos"/>
                <w:b w:val="0"/>
                <w:sz w:val="15"/>
              </w:rPr>
              <w:t>Provenance patterns</w:t>
            </w:r>
          </w:p>
        </w:tc>
        <w:tc>
          <w:tcPr>
            <w:tcW w:type="dxa" w:w="5112"/>
            <w:vAlign w:val="center"/>
            <w:shd w:fill="F3F6FA"/>
          </w:tcPr>
          <w:p>
            <w:r/>
            <w:r>
              <w:rPr>
                <w:rFonts w:ascii="Aptos" w:hAnsi="Aptos"/>
                <w:b w:val="0"/>
                <w:sz w:val="15"/>
              </w:rPr>
              <w:t>Vacancy, agency proposal, booking and timesheet</w:t>
            </w:r>
          </w:p>
        </w:tc>
      </w:tr>
      <w:tr>
        <w:tc>
          <w:tcPr>
            <w:tcW w:type="dxa" w:w="5112"/>
            <w:vAlign w:val="center"/>
          </w:tcPr>
          <w:p>
            <w:r/>
            <w:r>
              <w:rPr>
                <w:rFonts w:ascii="Aptos" w:hAnsi="Aptos"/>
                <w:b w:val="0"/>
                <w:sz w:val="15"/>
              </w:rPr>
              <w:t>Publication/subscription concepts</w:t>
            </w:r>
          </w:p>
        </w:tc>
        <w:tc>
          <w:tcPr>
            <w:tcW w:type="dxa" w:w="5112"/>
            <w:vAlign w:val="center"/>
          </w:tcPr>
          <w:p>
            <w:r/>
            <w:r>
              <w:rPr>
                <w:rFonts w:ascii="Aptos" w:hAnsi="Aptos"/>
                <w:b w:val="0"/>
                <w:sz w:val="15"/>
              </w:rPr>
              <w:t>Confidential locum experience and retention</w:t>
            </w:r>
          </w:p>
        </w:tc>
      </w:tr>
    </w:tbl>
    <w:p/>
    <w:p>
      <w:pPr>
        <w:pStyle w:val="Heading1"/>
      </w:pPr>
      <w:r>
        <w:t>17. Relationship to Health Connect Australia</w:t>
      </w:r>
    </w:p>
    <w:p>
      <w:r>
        <w:t>As Health Connect Australia develops national provider-directory capabilities, the demonstrator should avoid duplicating authoritative provider and service discovery. A future architecture may reference national provider/service records while maintaining workforce-specific assurance and transactional information in jurisdictional or federated services.</w:t>
      </w:r>
    </w:p>
    <w:p>
      <w:r>
        <w:t>This creates a useful real-world test of the principle that national infrastructure should supply reusable identity and directory primitives while specialised domains build interoperable services above them.</w:t>
      </w:r>
    </w:p>
    <w:p>
      <w:pPr>
        <w:pStyle w:val="Heading1"/>
      </w:pPr>
      <w:r>
        <w:t>18. What South Australia contributes</w:t>
      </w:r>
    </w:p>
    <w:p>
      <w:pPr>
        <w:pStyle w:val="ListBullet"/>
      </w:pPr>
      <w:r>
        <w:t>A bounded real-world regional workforce problem with measurable outcomes.</w:t>
      </w:r>
    </w:p>
    <w:p>
      <w:pPr>
        <w:pStyle w:val="ListBullet"/>
      </w:pPr>
      <w:r>
        <w:t>Existing LHN credentialling authority and operational workflows.</w:t>
      </w:r>
    </w:p>
    <w:p>
      <w:pPr>
        <w:pStyle w:val="ListBullet"/>
      </w:pPr>
      <w:r>
        <w:t>A staged YNLHN implementation that can begin without national dependency.</w:t>
      </w:r>
    </w:p>
    <w:p>
      <w:pPr>
        <w:pStyle w:val="ListBullet"/>
      </w:pPr>
      <w:r>
        <w:t>A second-LHN environment for testing credential reuse across organisational boundaries.</w:t>
      </w:r>
    </w:p>
    <w:p>
      <w:pPr>
        <w:pStyle w:val="ListBullet"/>
      </w:pPr>
      <w:r>
        <w:t>State procurement and locum-agency workflows for testing end-to-end mobilisation.</w:t>
      </w:r>
    </w:p>
    <w:p>
      <w:pPr>
        <w:pStyle w:val="ListBullet"/>
      </w:pPr>
      <w:r>
        <w:t>Clinical governance, workforce and practitioner stakeholders for co-design.</w:t>
      </w:r>
    </w:p>
    <w:p>
      <w:pPr>
        <w:pStyle w:val="ListBullet"/>
      </w:pPr>
      <w:r>
        <w:t>An evaluation framework covering administrative, financial, workforce, safety and clinician-experience outcomes.</w:t>
      </w:r>
    </w:p>
    <w:p>
      <w:pPr>
        <w:pStyle w:val="ListBullet"/>
      </w:pPr>
      <w:r>
        <w:t>A pathway to a statewide demonstrator if the early stages succeed.</w:t>
      </w:r>
    </w:p>
    <w:p>
      <w:pPr>
        <w:pStyle w:val="Heading1"/>
      </w:pPr>
      <w:r>
        <w:t>19. What we seek from the Agency</w:t>
      </w:r>
    </w:p>
    <w:p>
      <w:pPr>
        <w:pStyle w:val="ListBullet"/>
      </w:pPr>
      <w:r>
        <w:t>Nominate strategic and technical contacts for the demonstrator.</w:t>
      </w:r>
    </w:p>
    <w:p>
      <w:pPr>
        <w:pStyle w:val="ListBullet"/>
      </w:pPr>
      <w:r>
        <w:t>Participate in an architecture and standards discovery workshop.</w:t>
      </w:r>
    </w:p>
    <w:p>
      <w:pPr>
        <w:pStyle w:val="ListBullet"/>
      </w:pPr>
      <w:r>
        <w:t>Review alignment with the National Healthcare Interoperability Plan and HI Roadmap.</w:t>
      </w:r>
    </w:p>
    <w:p>
      <w:pPr>
        <w:pStyle w:val="ListBullet"/>
      </w:pPr>
      <w:r>
        <w:t>Advise on appropriate use of HPI-I/HPI-O and national provider-directory infrastructure.</w:t>
      </w:r>
    </w:p>
    <w:p>
      <w:pPr>
        <w:pStyle w:val="ListBullet"/>
      </w:pPr>
      <w:r>
        <w:t>Support mapping to current PCA/FHIR artefacts and identification of genuine standards gaps.</w:t>
      </w:r>
    </w:p>
    <w:p>
      <w:pPr>
        <w:pStyle w:val="ListBullet"/>
      </w:pPr>
      <w:r>
        <w:t>Participate in design of provenance, trust and scope interoperability patterns.</w:t>
      </w:r>
    </w:p>
    <w:p>
      <w:pPr>
        <w:pStyle w:val="ListBullet"/>
      </w:pPr>
      <w:r>
        <w:t>Advise on the appropriate pathway for national standards governance and implementer guidance if the demonstrator succeeds.</w:t>
      </w:r>
    </w:p>
    <w:p>
      <w:pPr>
        <w:pStyle w:val="ListBullet"/>
      </w:pPr>
      <w:r>
        <w:t>Consider co-development of an open national reuse package rather than proprietary South Australian extensions.</w:t>
      </w:r>
    </w:p>
    <w:p>
      <w:pPr>
        <w:pStyle w:val="Heading1"/>
      </w:pPr>
      <w:r>
        <w:t>20. What we are not asking the Agency to do</w:t>
      </w:r>
    </w:p>
    <w:p>
      <w:pPr>
        <w:pStyle w:val="ListBullet"/>
      </w:pPr>
      <w:r>
        <w:t>Own or operate a South Australian rostering marketplace.</w:t>
      </w:r>
    </w:p>
    <w:p>
      <w:pPr>
        <w:pStyle w:val="ListBullet"/>
      </w:pPr>
      <w:r>
        <w:t>Become the credentialling authority for hospitals.</w:t>
      </w:r>
    </w:p>
    <w:p>
      <w:pPr>
        <w:pStyle w:val="ListBullet"/>
      </w:pPr>
      <w:r>
        <w:t>Determine clinical scope of practice.</w:t>
      </w:r>
    </w:p>
    <w:p>
      <w:pPr>
        <w:pStyle w:val="ListBullet"/>
      </w:pPr>
      <w:r>
        <w:t>Store every credential document nationally.</w:t>
      </w:r>
    </w:p>
    <w:p>
      <w:pPr>
        <w:pStyle w:val="ListBullet"/>
      </w:pPr>
      <w:r>
        <w:t>Endorse a vendor before architecture and standards work.</w:t>
      </w:r>
    </w:p>
    <w:p>
      <w:pPr>
        <w:pStyle w:val="ListBullet"/>
      </w:pPr>
      <w:r>
        <w:t>Expand PCA beyond its intended purpose without design analysis.</w:t>
      </w:r>
    </w:p>
    <w:p>
      <w:pPr>
        <w:pStyle w:val="ListBullet"/>
      </w:pPr>
      <w:r>
        <w:t>Commit to national deployment before evidence from the demonstrator.</w:t>
      </w:r>
    </w:p>
    <w:p>
      <w:pPr>
        <w:pStyle w:val="Heading1"/>
      </w:pPr>
      <w:r>
        <w:t>21. Proposed first workshop</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Session</w:t>
            </w:r>
          </w:p>
        </w:tc>
        <w:tc>
          <w:tcPr>
            <w:tcW w:type="dxa" w:w="5112"/>
            <w:vAlign w:val="center"/>
            <w:shd w:fill="17365D"/>
          </w:tcPr>
          <w:p>
            <w:r/>
            <w:r>
              <w:rPr>
                <w:rFonts w:ascii="Aptos" w:hAnsi="Aptos"/>
                <w:b/>
                <w:color w:val="FFFFFF"/>
                <w:sz w:val="16"/>
              </w:rPr>
              <w:t>Focus</w:t>
            </w:r>
          </w:p>
        </w:tc>
      </w:tr>
      <w:tr>
        <w:tc>
          <w:tcPr>
            <w:tcW w:type="dxa" w:w="5112"/>
            <w:vAlign w:val="center"/>
          </w:tcPr>
          <w:p>
            <w:r/>
            <w:r>
              <w:rPr>
                <w:rFonts w:ascii="Aptos" w:hAnsi="Aptos"/>
                <w:b w:val="0"/>
                <w:sz w:val="15"/>
              </w:rPr>
              <w:t>1. Use case and boundaries</w:t>
            </w:r>
          </w:p>
        </w:tc>
        <w:tc>
          <w:tcPr>
            <w:tcW w:type="dxa" w:w="5112"/>
            <w:vAlign w:val="center"/>
          </w:tcPr>
          <w:p>
            <w:r/>
            <w:r>
              <w:rPr>
                <w:rFonts w:ascii="Aptos" w:hAnsi="Aptos"/>
                <w:b w:val="0"/>
                <w:sz w:val="15"/>
              </w:rPr>
              <w:t>Walk through practitioner mobility journey and distinguish identity, credential, verification, scope and eligibility</w:t>
            </w:r>
          </w:p>
        </w:tc>
      </w:tr>
      <w:tr>
        <w:tc>
          <w:tcPr>
            <w:tcW w:type="dxa" w:w="5112"/>
            <w:vAlign w:val="center"/>
            <w:shd w:fill="F3F6FA"/>
          </w:tcPr>
          <w:p>
            <w:r/>
            <w:r>
              <w:rPr>
                <w:rFonts w:ascii="Aptos" w:hAnsi="Aptos"/>
                <w:b w:val="0"/>
                <w:sz w:val="15"/>
              </w:rPr>
              <w:t>2. National architecture mapping</w:t>
            </w:r>
          </w:p>
        </w:tc>
        <w:tc>
          <w:tcPr>
            <w:tcW w:type="dxa" w:w="5112"/>
            <w:vAlign w:val="center"/>
            <w:shd w:fill="F3F6FA"/>
          </w:tcPr>
          <w:p>
            <w:r/>
            <w:r>
              <w:rPr>
                <w:rFonts w:ascii="Aptos" w:hAnsi="Aptos"/>
                <w:b w:val="0"/>
                <w:sz w:val="15"/>
              </w:rPr>
              <w:t>Map each data/function domain to HI Service, PCA, Health Connect Australia and jurisdictional systems</w:t>
            </w:r>
          </w:p>
        </w:tc>
      </w:tr>
      <w:tr>
        <w:tc>
          <w:tcPr>
            <w:tcW w:type="dxa" w:w="5112"/>
            <w:vAlign w:val="center"/>
          </w:tcPr>
          <w:p>
            <w:r/>
            <w:r>
              <w:rPr>
                <w:rFonts w:ascii="Aptos" w:hAnsi="Aptos"/>
                <w:b w:val="0"/>
                <w:sz w:val="15"/>
              </w:rPr>
              <w:t>3. FHIR whiteboard</w:t>
            </w:r>
          </w:p>
        </w:tc>
        <w:tc>
          <w:tcPr>
            <w:tcW w:type="dxa" w:w="5112"/>
            <w:vAlign w:val="center"/>
          </w:tcPr>
          <w:p>
            <w:r/>
            <w:r>
              <w:rPr>
                <w:rFonts w:ascii="Aptos" w:hAnsi="Aptos"/>
                <w:b w:val="0"/>
                <w:sz w:val="15"/>
              </w:rPr>
              <w:t>Map canonical model to existing resources/profiles and identify unresolved semantics</w:t>
            </w:r>
          </w:p>
        </w:tc>
      </w:tr>
      <w:tr>
        <w:tc>
          <w:tcPr>
            <w:tcW w:type="dxa" w:w="5112"/>
            <w:vAlign w:val="center"/>
            <w:shd w:fill="F3F6FA"/>
          </w:tcPr>
          <w:p>
            <w:r/>
            <w:r>
              <w:rPr>
                <w:rFonts w:ascii="Aptos" w:hAnsi="Aptos"/>
                <w:b w:val="0"/>
                <w:sz w:val="15"/>
              </w:rPr>
              <w:t>4. Trust and provenance</w:t>
            </w:r>
          </w:p>
        </w:tc>
        <w:tc>
          <w:tcPr>
            <w:tcW w:type="dxa" w:w="5112"/>
            <w:vAlign w:val="center"/>
            <w:shd w:fill="F3F6FA"/>
          </w:tcPr>
          <w:p>
            <w:r/>
            <w:r>
              <w:rPr>
                <w:rFonts w:ascii="Aptos" w:hAnsi="Aptos"/>
                <w:b w:val="0"/>
                <w:sz w:val="15"/>
              </w:rPr>
              <w:t>Define minimum reusable verification statement and receiving-organisation trust decision</w:t>
            </w:r>
          </w:p>
        </w:tc>
      </w:tr>
      <w:tr>
        <w:tc>
          <w:tcPr>
            <w:tcW w:type="dxa" w:w="5112"/>
            <w:vAlign w:val="center"/>
          </w:tcPr>
          <w:p>
            <w:r/>
            <w:r>
              <w:rPr>
                <w:rFonts w:ascii="Aptos" w:hAnsi="Aptos"/>
                <w:b w:val="0"/>
                <w:sz w:val="15"/>
              </w:rPr>
              <w:t>5. Scope model</w:t>
            </w:r>
          </w:p>
        </w:tc>
        <w:tc>
          <w:tcPr>
            <w:tcW w:type="dxa" w:w="5112"/>
            <w:vAlign w:val="center"/>
          </w:tcPr>
          <w:p>
            <w:r/>
            <w:r>
              <w:rPr>
                <w:rFonts w:ascii="Aptos" w:hAnsi="Aptos"/>
                <w:b w:val="0"/>
                <w:sz w:val="15"/>
              </w:rPr>
              <w:t>Test representation of facility, role, restrictions, supervision and effective dates</w:t>
            </w:r>
          </w:p>
        </w:tc>
      </w:tr>
      <w:tr>
        <w:tc>
          <w:tcPr>
            <w:tcW w:type="dxa" w:w="5112"/>
            <w:vAlign w:val="center"/>
            <w:shd w:fill="F3F6FA"/>
          </w:tcPr>
          <w:p>
            <w:r/>
            <w:r>
              <w:rPr>
                <w:rFonts w:ascii="Aptos" w:hAnsi="Aptos"/>
                <w:b w:val="0"/>
                <w:sz w:val="15"/>
              </w:rPr>
              <w:t>6. Demonstrator plan</w:t>
            </w:r>
          </w:p>
        </w:tc>
        <w:tc>
          <w:tcPr>
            <w:tcW w:type="dxa" w:w="5112"/>
            <w:vAlign w:val="center"/>
            <w:shd w:fill="F3F6FA"/>
          </w:tcPr>
          <w:p>
            <w:r/>
            <w:r>
              <w:rPr>
                <w:rFonts w:ascii="Aptos" w:hAnsi="Aptos"/>
                <w:b w:val="0"/>
                <w:sz w:val="15"/>
              </w:rPr>
              <w:t>Agree technical questions, artefacts, governance pathway and evaluation outputs</w:t>
            </w:r>
          </w:p>
        </w:tc>
      </w:tr>
    </w:tbl>
    <w:p/>
    <w:p>
      <w:r>
        <w:t>Proposed output: a jointly reviewed Architecture &amp; Standards Discovery Note identifying what can be reused unchanged, what requires jurisdictional implementation guidance and what may warrant a national standards work item.</w:t>
      </w:r>
    </w:p>
    <w:p>
      <w:pPr>
        <w:pStyle w:val="Heading1"/>
      </w:pPr>
      <w:r>
        <w:t>22. Technical success measures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Domain</w:t>
            </w:r>
          </w:p>
        </w:tc>
        <w:tc>
          <w:tcPr>
            <w:tcW w:type="dxa" w:w="5112"/>
            <w:vAlign w:val="center"/>
            <w:shd w:fill="17365D"/>
          </w:tcPr>
          <w:p>
            <w:r/>
            <w:r>
              <w:rPr>
                <w:rFonts w:ascii="Aptos" w:hAnsi="Aptos"/>
                <w:b/>
                <w:color w:val="FFFFFF"/>
                <w:sz w:val="16"/>
              </w:rPr>
              <w:t>Measure</w:t>
            </w:r>
          </w:p>
        </w:tc>
      </w:tr>
      <w:tr>
        <w:tc>
          <w:tcPr>
            <w:tcW w:type="dxa" w:w="5112"/>
            <w:vAlign w:val="center"/>
          </w:tcPr>
          <w:p>
            <w:r/>
            <w:r>
              <w:rPr>
                <w:rFonts w:ascii="Aptos" w:hAnsi="Aptos"/>
                <w:b w:val="0"/>
                <w:sz w:val="15"/>
              </w:rPr>
              <w:t>Identity</w:t>
            </w:r>
          </w:p>
        </w:tc>
        <w:tc>
          <w:tcPr>
            <w:tcW w:type="dxa" w:w="5112"/>
            <w:vAlign w:val="center"/>
          </w:tcPr>
          <w:p>
            <w:r/>
            <w:r>
              <w:rPr>
                <w:rFonts w:ascii="Aptos" w:hAnsi="Aptos"/>
                <w:b w:val="0"/>
                <w:sz w:val="15"/>
              </w:rPr>
              <w:t>Practitioners/organisations resolve reliably to authoritative identifiers where applicable</w:t>
            </w:r>
          </w:p>
        </w:tc>
      </w:tr>
      <w:tr>
        <w:tc>
          <w:tcPr>
            <w:tcW w:type="dxa" w:w="5112"/>
            <w:vAlign w:val="center"/>
            <w:shd w:fill="F3F6FA"/>
          </w:tcPr>
          <w:p>
            <w:r/>
            <w:r>
              <w:rPr>
                <w:rFonts w:ascii="Aptos" w:hAnsi="Aptos"/>
                <w:b w:val="0"/>
                <w:sz w:val="15"/>
              </w:rPr>
              <w:t>Semantic fidelity</w:t>
            </w:r>
          </w:p>
        </w:tc>
        <w:tc>
          <w:tcPr>
            <w:tcW w:type="dxa" w:w="5112"/>
            <w:vAlign w:val="center"/>
            <w:shd w:fill="F3F6FA"/>
          </w:tcPr>
          <w:p>
            <w:r/>
            <w:r>
              <w:rPr>
                <w:rFonts w:ascii="Aptos" w:hAnsi="Aptos"/>
                <w:b w:val="0"/>
                <w:sz w:val="15"/>
              </w:rPr>
              <w:t>Credential, verification and scope survive exchange without loss of meaning</w:t>
            </w:r>
          </w:p>
        </w:tc>
      </w:tr>
      <w:tr>
        <w:tc>
          <w:tcPr>
            <w:tcW w:type="dxa" w:w="5112"/>
            <w:vAlign w:val="center"/>
          </w:tcPr>
          <w:p>
            <w:r/>
            <w:r>
              <w:rPr>
                <w:rFonts w:ascii="Aptos" w:hAnsi="Aptos"/>
                <w:b w:val="0"/>
                <w:sz w:val="15"/>
              </w:rPr>
              <w:t>Reuse</w:t>
            </w:r>
          </w:p>
        </w:tc>
        <w:tc>
          <w:tcPr>
            <w:tcW w:type="dxa" w:w="5112"/>
            <w:vAlign w:val="center"/>
          </w:tcPr>
          <w:p>
            <w:r/>
            <w:r>
              <w:rPr>
                <w:rFonts w:ascii="Aptos" w:hAnsi="Aptos"/>
                <w:b w:val="0"/>
                <w:sz w:val="15"/>
              </w:rPr>
              <w:t>Receiving LHN can consume prior verification provenance and reduce duplicate verification</w:t>
            </w:r>
          </w:p>
        </w:tc>
      </w:tr>
      <w:tr>
        <w:tc>
          <w:tcPr>
            <w:tcW w:type="dxa" w:w="5112"/>
            <w:vAlign w:val="center"/>
            <w:shd w:fill="F3F6FA"/>
          </w:tcPr>
          <w:p>
            <w:r/>
            <w:r>
              <w:rPr>
                <w:rFonts w:ascii="Aptos" w:hAnsi="Aptos"/>
                <w:b w:val="0"/>
                <w:sz w:val="15"/>
              </w:rPr>
              <w:t>Safety</w:t>
            </w:r>
          </w:p>
        </w:tc>
        <w:tc>
          <w:tcPr>
            <w:tcW w:type="dxa" w:w="5112"/>
            <w:vAlign w:val="center"/>
            <w:shd w:fill="F3F6FA"/>
          </w:tcPr>
          <w:p>
            <w:r/>
            <w:r>
              <w:rPr>
                <w:rFonts w:ascii="Aptos" w:hAnsi="Aptos"/>
                <w:b w:val="0"/>
                <w:sz w:val="15"/>
              </w:rPr>
              <w:t>No cross-organisation scope is inferred merely from portable evidence</w:t>
            </w:r>
          </w:p>
        </w:tc>
      </w:tr>
      <w:tr>
        <w:tc>
          <w:tcPr>
            <w:tcW w:type="dxa" w:w="5112"/>
            <w:vAlign w:val="center"/>
          </w:tcPr>
          <w:p>
            <w:r/>
            <w:r>
              <w:rPr>
                <w:rFonts w:ascii="Aptos" w:hAnsi="Aptos"/>
                <w:b w:val="0"/>
                <w:sz w:val="15"/>
              </w:rPr>
              <w:t>Explainability</w:t>
            </w:r>
          </w:p>
        </w:tc>
        <w:tc>
          <w:tcPr>
            <w:tcW w:type="dxa" w:w="5112"/>
            <w:vAlign w:val="center"/>
          </w:tcPr>
          <w:p>
            <w:r/>
            <w:r>
              <w:rPr>
                <w:rFonts w:ascii="Aptos" w:hAnsi="Aptos"/>
                <w:b w:val="0"/>
                <w:sz w:val="15"/>
              </w:rPr>
              <w:t>Eligibility outcomes identify the exact requirements and source data used</w:t>
            </w:r>
          </w:p>
        </w:tc>
      </w:tr>
      <w:tr>
        <w:tc>
          <w:tcPr>
            <w:tcW w:type="dxa" w:w="5112"/>
            <w:vAlign w:val="center"/>
            <w:shd w:fill="F3F6FA"/>
          </w:tcPr>
          <w:p>
            <w:r/>
            <w:r>
              <w:rPr>
                <w:rFonts w:ascii="Aptos" w:hAnsi="Aptos"/>
                <w:b w:val="0"/>
                <w:sz w:val="15"/>
              </w:rPr>
              <w:t>Interoperability</w:t>
            </w:r>
          </w:p>
        </w:tc>
        <w:tc>
          <w:tcPr>
            <w:tcW w:type="dxa" w:w="5112"/>
            <w:vAlign w:val="center"/>
            <w:shd w:fill="F3F6FA"/>
          </w:tcPr>
          <w:p>
            <w:r/>
            <w:r>
              <w:rPr>
                <w:rFonts w:ascii="Aptos" w:hAnsi="Aptos"/>
                <w:b w:val="0"/>
                <w:sz w:val="15"/>
              </w:rPr>
              <w:t>At least two independently implemented components exchange conformant data</w:t>
            </w:r>
          </w:p>
        </w:tc>
      </w:tr>
      <w:tr>
        <w:tc>
          <w:tcPr>
            <w:tcW w:type="dxa" w:w="5112"/>
            <w:vAlign w:val="center"/>
          </w:tcPr>
          <w:p>
            <w:r/>
            <w:r>
              <w:rPr>
                <w:rFonts w:ascii="Aptos" w:hAnsi="Aptos"/>
                <w:b w:val="0"/>
                <w:sz w:val="15"/>
              </w:rPr>
              <w:t>Portability</w:t>
            </w:r>
          </w:p>
        </w:tc>
        <w:tc>
          <w:tcPr>
            <w:tcW w:type="dxa" w:w="5112"/>
            <w:vAlign w:val="center"/>
          </w:tcPr>
          <w:p>
            <w:r/>
            <w:r>
              <w:rPr>
                <w:rFonts w:ascii="Aptos" w:hAnsi="Aptos"/>
                <w:b w:val="0"/>
                <w:sz w:val="15"/>
              </w:rPr>
              <w:t>Export/import is vendor-neutral and preserves provenance</w:t>
            </w:r>
          </w:p>
        </w:tc>
      </w:tr>
      <w:tr>
        <w:tc>
          <w:tcPr>
            <w:tcW w:type="dxa" w:w="5112"/>
            <w:vAlign w:val="center"/>
            <w:shd w:fill="F3F6FA"/>
          </w:tcPr>
          <w:p>
            <w:r/>
            <w:r>
              <w:rPr>
                <w:rFonts w:ascii="Aptos" w:hAnsi="Aptos"/>
                <w:b w:val="0"/>
                <w:sz w:val="15"/>
              </w:rPr>
              <w:t>Security</w:t>
            </w:r>
          </w:p>
        </w:tc>
        <w:tc>
          <w:tcPr>
            <w:tcW w:type="dxa" w:w="5112"/>
            <w:vAlign w:val="center"/>
            <w:shd w:fill="F3F6FA"/>
          </w:tcPr>
          <w:p>
            <w:r/>
            <w:r>
              <w:rPr>
                <w:rFonts w:ascii="Aptos" w:hAnsi="Aptos"/>
                <w:b w:val="0"/>
                <w:sz w:val="15"/>
              </w:rPr>
              <w:t>No unresolved critical security/privacy findings before cross-LHN production</w:t>
            </w:r>
          </w:p>
        </w:tc>
      </w:tr>
      <w:tr>
        <w:tc>
          <w:tcPr>
            <w:tcW w:type="dxa" w:w="5112"/>
            <w:vAlign w:val="center"/>
          </w:tcPr>
          <w:p>
            <w:r/>
            <w:r>
              <w:rPr>
                <w:rFonts w:ascii="Aptos" w:hAnsi="Aptos"/>
                <w:b w:val="0"/>
                <w:sz w:val="15"/>
              </w:rPr>
              <w:t>Performance</w:t>
            </w:r>
          </w:p>
        </w:tc>
        <w:tc>
          <w:tcPr>
            <w:tcW w:type="dxa" w:w="5112"/>
            <w:vAlign w:val="center"/>
          </w:tcPr>
          <w:p>
            <w:r/>
            <w:r>
              <w:rPr>
                <w:rFonts w:ascii="Aptos" w:hAnsi="Aptos"/>
                <w:b w:val="0"/>
                <w:sz w:val="15"/>
              </w:rPr>
              <w:t>Eligibility and directory lookups support operational workforce workflows</w:t>
            </w:r>
          </w:p>
        </w:tc>
      </w:tr>
      <w:tr>
        <w:tc>
          <w:tcPr>
            <w:tcW w:type="dxa" w:w="5112"/>
            <w:vAlign w:val="center"/>
            <w:shd w:fill="F3F6FA"/>
          </w:tcPr>
          <w:p>
            <w:r/>
            <w:r>
              <w:rPr>
                <w:rFonts w:ascii="Aptos" w:hAnsi="Aptos"/>
                <w:b w:val="0"/>
                <w:sz w:val="15"/>
              </w:rPr>
              <w:t>Governance</w:t>
            </w:r>
          </w:p>
        </w:tc>
        <w:tc>
          <w:tcPr>
            <w:tcW w:type="dxa" w:w="5112"/>
            <w:vAlign w:val="center"/>
            <w:shd w:fill="F3F6FA"/>
          </w:tcPr>
          <w:p>
            <w:r/>
            <w:r>
              <w:rPr>
                <w:rFonts w:ascii="Aptos" w:hAnsi="Aptos"/>
                <w:b w:val="0"/>
                <w:sz w:val="15"/>
              </w:rPr>
              <w:t>Receiving organisation retains explicit trust and scope decision rights</w:t>
            </w:r>
          </w:p>
        </w:tc>
      </w:tr>
    </w:tbl>
    <w:p/>
    <w:p>
      <w:pPr>
        <w:pStyle w:val="Heading1"/>
      </w:pPr>
      <w:r>
        <w:t>23. Strategic value to the Agency</w:t>
      </w:r>
    </w:p>
    <w:p>
      <w:r>
        <w:t>The demonstrator offers a concrete provider-side interoperability use case with a visible operational endpoint. It tests whether national digital foundations can reduce friction not only in exchange of clinical information, but in deployment of the healthcare workforce itself.</w:t>
      </w:r>
    </w:p>
    <w:p>
      <w:pPr>
        <w:pStyle w:val="ListBullet"/>
      </w:pPr>
      <w:r>
        <w:t>Demonstrates value of national healthcare identifiers in a new high-value workflow.</w:t>
      </w:r>
    </w:p>
    <w:p>
      <w:pPr>
        <w:pStyle w:val="ListBullet"/>
      </w:pPr>
      <w:r>
        <w:t>Provides a practical extension use case for provider/service directory infrastructure.</w:t>
      </w:r>
    </w:p>
    <w:p>
      <w:pPr>
        <w:pStyle w:val="ListBullet"/>
      </w:pPr>
      <w:r>
        <w:t>Tests provenance and trust across organisational boundaries.</w:t>
      </w:r>
    </w:p>
    <w:p>
      <w:pPr>
        <w:pStyle w:val="ListBullet"/>
      </w:pPr>
      <w:r>
        <w:t>Creates implementable examples for FHIR-based provider workforce information.</w:t>
      </w:r>
    </w:p>
    <w:p>
      <w:pPr>
        <w:pStyle w:val="ListBullet"/>
      </w:pPr>
      <w:r>
        <w:t>Connects interoperability investment to rural workforce access and productivity.</w:t>
      </w:r>
    </w:p>
    <w:p>
      <w:pPr>
        <w:pStyle w:val="ListBullet"/>
      </w:pPr>
      <w:r>
        <w:t>Generates evidence before national standardisation.</w:t>
      </w:r>
    </w:p>
    <w:p>
      <w:pPr>
        <w:pStyle w:val="ListBullet"/>
      </w:pPr>
      <w:r>
        <w:t>Encourages an open ecosystem rather than multiple incompatible credential-wallet products.</w:t>
      </w:r>
    </w:p>
    <w:p>
      <w:pPr>
        <w:pStyle w:val="Heading1"/>
      </w:pPr>
      <w:r>
        <w:t>24. Key technical risks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Risk</w:t>
            </w:r>
          </w:p>
        </w:tc>
        <w:tc>
          <w:tcPr>
            <w:tcW w:type="dxa" w:w="5112"/>
            <w:vAlign w:val="center"/>
            <w:shd w:fill="17365D"/>
          </w:tcPr>
          <w:p>
            <w:r/>
            <w:r>
              <w:rPr>
                <w:rFonts w:ascii="Aptos" w:hAnsi="Aptos"/>
                <w:b/>
                <w:color w:val="FFFFFF"/>
                <w:sz w:val="16"/>
              </w:rPr>
              <w:t>Mitigation</w:t>
            </w:r>
          </w:p>
        </w:tc>
      </w:tr>
      <w:tr>
        <w:tc>
          <w:tcPr>
            <w:tcW w:type="dxa" w:w="5112"/>
            <w:vAlign w:val="center"/>
          </w:tcPr>
          <w:p>
            <w:r/>
            <w:r>
              <w:rPr>
                <w:rFonts w:ascii="Aptos" w:hAnsi="Aptos"/>
                <w:b w:val="0"/>
                <w:sz w:val="15"/>
              </w:rPr>
              <w:t>Overloading PCA or FHIR resources beyond intended semantics</w:t>
            </w:r>
          </w:p>
        </w:tc>
        <w:tc>
          <w:tcPr>
            <w:tcW w:type="dxa" w:w="5112"/>
            <w:vAlign w:val="center"/>
          </w:tcPr>
          <w:p>
            <w:r/>
            <w:r>
              <w:rPr>
                <w:rFonts w:ascii="Aptos" w:hAnsi="Aptos"/>
                <w:b w:val="0"/>
                <w:sz w:val="15"/>
              </w:rPr>
              <w:t>Gap analysis before extension; Agency review</w:t>
            </w:r>
          </w:p>
        </w:tc>
      </w:tr>
      <w:tr>
        <w:tc>
          <w:tcPr>
            <w:tcW w:type="dxa" w:w="5112"/>
            <w:vAlign w:val="center"/>
            <w:shd w:fill="F3F6FA"/>
          </w:tcPr>
          <w:p>
            <w:r/>
            <w:r>
              <w:rPr>
                <w:rFonts w:ascii="Aptos" w:hAnsi="Aptos"/>
                <w:b w:val="0"/>
                <w:sz w:val="15"/>
              </w:rPr>
              <w:t>Treating verification as equivalent to credentialling</w:t>
            </w:r>
          </w:p>
        </w:tc>
        <w:tc>
          <w:tcPr>
            <w:tcW w:type="dxa" w:w="5112"/>
            <w:vAlign w:val="center"/>
            <w:shd w:fill="F3F6FA"/>
          </w:tcPr>
          <w:p>
            <w:r/>
            <w:r>
              <w:rPr>
                <w:rFonts w:ascii="Aptos" w:hAnsi="Aptos"/>
                <w:b w:val="0"/>
                <w:sz w:val="15"/>
              </w:rPr>
              <w:t>Explicit layered model and receiving-organisation trust decision</w:t>
            </w:r>
          </w:p>
        </w:tc>
      </w:tr>
      <w:tr>
        <w:tc>
          <w:tcPr>
            <w:tcW w:type="dxa" w:w="5112"/>
            <w:vAlign w:val="center"/>
          </w:tcPr>
          <w:p>
            <w:r/>
            <w:r>
              <w:rPr>
                <w:rFonts w:ascii="Aptos" w:hAnsi="Aptos"/>
                <w:b w:val="0"/>
                <w:sz w:val="15"/>
              </w:rPr>
              <w:t>Scope accidentally becomes portable by default</w:t>
            </w:r>
          </w:p>
        </w:tc>
        <w:tc>
          <w:tcPr>
            <w:tcW w:type="dxa" w:w="5112"/>
            <w:vAlign w:val="center"/>
          </w:tcPr>
          <w:p>
            <w:r/>
            <w:r>
              <w:rPr>
                <w:rFonts w:ascii="Aptos" w:hAnsi="Aptos"/>
                <w:b w:val="0"/>
                <w:sz w:val="15"/>
              </w:rPr>
              <w:t>Scope issuer remains organisation; no inferred reciprocity</w:t>
            </w:r>
          </w:p>
        </w:tc>
      </w:tr>
      <w:tr>
        <w:tc>
          <w:tcPr>
            <w:tcW w:type="dxa" w:w="5112"/>
            <w:vAlign w:val="center"/>
            <w:shd w:fill="F3F6FA"/>
          </w:tcPr>
          <w:p>
            <w:r/>
            <w:r>
              <w:rPr>
                <w:rFonts w:ascii="Aptos" w:hAnsi="Aptos"/>
                <w:b w:val="0"/>
                <w:sz w:val="15"/>
              </w:rPr>
              <w:t>HPI-I use exceeds permitted purpose</w:t>
            </w:r>
          </w:p>
        </w:tc>
        <w:tc>
          <w:tcPr>
            <w:tcW w:type="dxa" w:w="5112"/>
            <w:vAlign w:val="center"/>
            <w:shd w:fill="F3F6FA"/>
          </w:tcPr>
          <w:p>
            <w:r/>
            <w:r>
              <w:rPr>
                <w:rFonts w:ascii="Aptos" w:hAnsi="Aptos"/>
                <w:b w:val="0"/>
                <w:sz w:val="15"/>
              </w:rPr>
              <w:t>Legal/privacy review and Agency/Services Australia guidance</w:t>
            </w:r>
          </w:p>
        </w:tc>
      </w:tr>
      <w:tr>
        <w:tc>
          <w:tcPr>
            <w:tcW w:type="dxa" w:w="5112"/>
            <w:vAlign w:val="center"/>
          </w:tcPr>
          <w:p>
            <w:r/>
            <w:r>
              <w:rPr>
                <w:rFonts w:ascii="Aptos" w:hAnsi="Aptos"/>
                <w:b w:val="0"/>
                <w:sz w:val="15"/>
              </w:rPr>
              <w:t>Duplicate authoritative data</w:t>
            </w:r>
          </w:p>
        </w:tc>
        <w:tc>
          <w:tcPr>
            <w:tcW w:type="dxa" w:w="5112"/>
            <w:vAlign w:val="center"/>
          </w:tcPr>
          <w:p>
            <w:r/>
            <w:r>
              <w:rPr>
                <w:rFonts w:ascii="Aptos" w:hAnsi="Aptos"/>
                <w:b w:val="0"/>
                <w:sz w:val="15"/>
              </w:rPr>
              <w:t>Reference national sources rather than copy where feasible</w:t>
            </w:r>
          </w:p>
        </w:tc>
      </w:tr>
      <w:tr>
        <w:tc>
          <w:tcPr>
            <w:tcW w:type="dxa" w:w="5112"/>
            <w:vAlign w:val="center"/>
            <w:shd w:fill="F3F6FA"/>
          </w:tcPr>
          <w:p>
            <w:r/>
            <w:r>
              <w:rPr>
                <w:rFonts w:ascii="Aptos" w:hAnsi="Aptos"/>
                <w:b w:val="0"/>
                <w:sz w:val="15"/>
              </w:rPr>
              <w:t>Vendor-specific model becomes de facto standard</w:t>
            </w:r>
          </w:p>
        </w:tc>
        <w:tc>
          <w:tcPr>
            <w:tcW w:type="dxa" w:w="5112"/>
            <w:vAlign w:val="center"/>
            <w:shd w:fill="F3F6FA"/>
          </w:tcPr>
          <w:p>
            <w:r/>
            <w:r>
              <w:rPr>
                <w:rFonts w:ascii="Aptos" w:hAnsi="Aptos"/>
                <w:b w:val="0"/>
                <w:sz w:val="15"/>
              </w:rPr>
              <w:t>Canonical SA-owned/open model and vendor-neutral export/API</w:t>
            </w:r>
          </w:p>
        </w:tc>
      </w:tr>
      <w:tr>
        <w:tc>
          <w:tcPr>
            <w:tcW w:type="dxa" w:w="5112"/>
            <w:vAlign w:val="center"/>
          </w:tcPr>
          <w:p>
            <w:r/>
            <w:r>
              <w:rPr>
                <w:rFonts w:ascii="Aptos" w:hAnsi="Aptos"/>
                <w:b w:val="0"/>
                <w:sz w:val="15"/>
              </w:rPr>
              <w:t>Rules engine hides clinical governance decisions</w:t>
            </w:r>
          </w:p>
        </w:tc>
        <w:tc>
          <w:tcPr>
            <w:tcW w:type="dxa" w:w="5112"/>
            <w:vAlign w:val="center"/>
          </w:tcPr>
          <w:p>
            <w:r/>
            <w:r>
              <w:rPr>
                <w:rFonts w:ascii="Aptos" w:hAnsi="Aptos"/>
                <w:b w:val="0"/>
                <w:sz w:val="15"/>
              </w:rPr>
              <w:t>Explainable deterministic requirements and human scope authority</w:t>
            </w:r>
          </w:p>
        </w:tc>
      </w:tr>
      <w:tr>
        <w:tc>
          <w:tcPr>
            <w:tcW w:type="dxa" w:w="5112"/>
            <w:vAlign w:val="center"/>
            <w:shd w:fill="F3F6FA"/>
          </w:tcPr>
          <w:p>
            <w:r/>
            <w:r>
              <w:rPr>
                <w:rFonts w:ascii="Aptos" w:hAnsi="Aptos"/>
                <w:b w:val="0"/>
                <w:sz w:val="15"/>
              </w:rPr>
              <w:t>Standards work delays local proof</w:t>
            </w:r>
          </w:p>
        </w:tc>
        <w:tc>
          <w:tcPr>
            <w:tcW w:type="dxa" w:w="5112"/>
            <w:vAlign w:val="center"/>
            <w:shd w:fill="F3F6FA"/>
          </w:tcPr>
          <w:p>
            <w:r/>
            <w:r>
              <w:rPr>
                <w:rFonts w:ascii="Aptos" w:hAnsi="Aptos"/>
                <w:b w:val="0"/>
                <w:sz w:val="15"/>
              </w:rPr>
              <w:t>Decouple YNLHN MVP from national dependency while maintaining mapping discipline</w:t>
            </w:r>
          </w:p>
        </w:tc>
      </w:tr>
    </w:tbl>
    <w:p/>
    <w:p>
      <w:pPr>
        <w:pStyle w:val="Heading1"/>
      </w:pPr>
      <w:r>
        <w:t>25. Proposed partnership governance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Group</w:t>
            </w:r>
          </w:p>
        </w:tc>
        <w:tc>
          <w:tcPr>
            <w:tcW w:type="dxa" w:w="5112"/>
            <w:vAlign w:val="center"/>
            <w:shd w:fill="17365D"/>
          </w:tcPr>
          <w:p>
            <w:r/>
            <w:r>
              <w:rPr>
                <w:rFonts w:ascii="Aptos" w:hAnsi="Aptos"/>
                <w:b/>
                <w:color w:val="FFFFFF"/>
                <w:sz w:val="16"/>
              </w:rPr>
              <w:t>Role</w:t>
            </w:r>
          </w:p>
        </w:tc>
      </w:tr>
      <w:tr>
        <w:tc>
          <w:tcPr>
            <w:tcW w:type="dxa" w:w="5112"/>
            <w:vAlign w:val="center"/>
          </w:tcPr>
          <w:p>
            <w:r/>
            <w:r>
              <w:rPr>
                <w:rFonts w:ascii="Aptos" w:hAnsi="Aptos"/>
                <w:b w:val="0"/>
                <w:sz w:val="15"/>
              </w:rPr>
              <w:t>Strategic Steering Group</w:t>
            </w:r>
          </w:p>
        </w:tc>
        <w:tc>
          <w:tcPr>
            <w:tcW w:type="dxa" w:w="5112"/>
            <w:vAlign w:val="center"/>
          </w:tcPr>
          <w:p>
            <w:r/>
            <w:r>
              <w:rPr>
                <w:rFonts w:ascii="Aptos" w:hAnsi="Aptos"/>
                <w:b w:val="0"/>
                <w:sz w:val="15"/>
              </w:rPr>
              <w:t>SA Health/DHW, ADHA and Commonwealth representation; strategic alignment and escalation</w:t>
            </w:r>
          </w:p>
        </w:tc>
      </w:tr>
      <w:tr>
        <w:tc>
          <w:tcPr>
            <w:tcW w:type="dxa" w:w="5112"/>
            <w:vAlign w:val="center"/>
            <w:shd w:fill="F3F6FA"/>
          </w:tcPr>
          <w:p>
            <w:r/>
            <w:r>
              <w:rPr>
                <w:rFonts w:ascii="Aptos" w:hAnsi="Aptos"/>
                <w:b w:val="0"/>
                <w:sz w:val="15"/>
              </w:rPr>
              <w:t>Architecture &amp; Standards Working Group</w:t>
            </w:r>
          </w:p>
        </w:tc>
        <w:tc>
          <w:tcPr>
            <w:tcW w:type="dxa" w:w="5112"/>
            <w:vAlign w:val="center"/>
            <w:shd w:fill="F3F6FA"/>
          </w:tcPr>
          <w:p>
            <w:r/>
            <w:r>
              <w:rPr>
                <w:rFonts w:ascii="Aptos" w:hAnsi="Aptos"/>
                <w:b w:val="0"/>
                <w:sz w:val="15"/>
              </w:rPr>
              <w:t>ADHA architects/standards experts, SA digital architecture, product and clinical informatics</w:t>
            </w:r>
          </w:p>
        </w:tc>
      </w:tr>
      <w:tr>
        <w:tc>
          <w:tcPr>
            <w:tcW w:type="dxa" w:w="5112"/>
            <w:vAlign w:val="center"/>
          </w:tcPr>
          <w:p>
            <w:r/>
            <w:r>
              <w:rPr>
                <w:rFonts w:ascii="Aptos" w:hAnsi="Aptos"/>
                <w:b w:val="0"/>
                <w:sz w:val="15"/>
              </w:rPr>
              <w:t>Credential Trust Working Group</w:t>
            </w:r>
          </w:p>
        </w:tc>
        <w:tc>
          <w:tcPr>
            <w:tcW w:type="dxa" w:w="5112"/>
            <w:vAlign w:val="center"/>
          </w:tcPr>
          <w:p>
            <w:r/>
            <w:r>
              <w:rPr>
                <w:rFonts w:ascii="Aptos" w:hAnsi="Aptos"/>
                <w:b w:val="0"/>
                <w:sz w:val="15"/>
              </w:rPr>
              <w:t>Credentialling, clinical governance, Ahpra/college engagement as appropriate</w:t>
            </w:r>
          </w:p>
        </w:tc>
      </w:tr>
      <w:tr>
        <w:tc>
          <w:tcPr>
            <w:tcW w:type="dxa" w:w="5112"/>
            <w:vAlign w:val="center"/>
            <w:shd w:fill="F3F6FA"/>
          </w:tcPr>
          <w:p>
            <w:r/>
            <w:r>
              <w:rPr>
                <w:rFonts w:ascii="Aptos" w:hAnsi="Aptos"/>
                <w:b w:val="0"/>
                <w:sz w:val="15"/>
              </w:rPr>
              <w:t>Demonstrator Delivery Group</w:t>
            </w:r>
          </w:p>
        </w:tc>
        <w:tc>
          <w:tcPr>
            <w:tcW w:type="dxa" w:w="5112"/>
            <w:vAlign w:val="center"/>
            <w:shd w:fill="F3F6FA"/>
          </w:tcPr>
          <w:p>
            <w:r/>
            <w:r>
              <w:rPr>
                <w:rFonts w:ascii="Aptos" w:hAnsi="Aptos"/>
                <w:b w:val="0"/>
                <w:sz w:val="15"/>
              </w:rPr>
              <w:t>YNLHN/second LHN operational and technical implementation</w:t>
            </w:r>
          </w:p>
        </w:tc>
      </w:tr>
      <w:tr>
        <w:tc>
          <w:tcPr>
            <w:tcW w:type="dxa" w:w="5112"/>
            <w:vAlign w:val="center"/>
          </w:tcPr>
          <w:p>
            <w:r/>
            <w:r>
              <w:rPr>
                <w:rFonts w:ascii="Aptos" w:hAnsi="Aptos"/>
                <w:b w:val="0"/>
                <w:sz w:val="15"/>
              </w:rPr>
              <w:t>Evaluation Group</w:t>
            </w:r>
          </w:p>
        </w:tc>
        <w:tc>
          <w:tcPr>
            <w:tcW w:type="dxa" w:w="5112"/>
            <w:vAlign w:val="center"/>
          </w:tcPr>
          <w:p>
            <w:r/>
            <w:r>
              <w:rPr>
                <w:rFonts w:ascii="Aptos" w:hAnsi="Aptos"/>
                <w:b w:val="0"/>
                <w:sz w:val="15"/>
              </w:rPr>
              <w:t>Benefits, safety, interoperability and workforce outcomes</w:t>
            </w:r>
          </w:p>
        </w:tc>
      </w:tr>
    </w:tbl>
    <w:p/>
    <w:p>
      <w:pPr>
        <w:pStyle w:val="Heading1"/>
      </w:pPr>
      <w:r>
        <w:t>26. Decision requested</w:t>
      </w:r>
    </w:p>
    <w:tbl>
      <w:tblPr>
        <w:tblStyle w:val="TableGrid"/>
        <w:tblW w:type="auto" w:w="0"/>
        <w:tblLook w:firstColumn="1" w:firstRow="1" w:lastColumn="0" w:lastRow="0" w:noHBand="0" w:noVBand="1" w:val="04A0"/>
      </w:tblPr>
      <w:tblGrid>
        <w:gridCol w:w="10224"/>
      </w:tblGrid>
      <w:tr>
        <w:tc>
          <w:tcPr>
            <w:tcW w:type="dxa" w:w="10224"/>
            <w:shd w:fill="EAF0F8"/>
          </w:tcPr>
          <w:p>
            <w:r/>
            <w:r>
              <w:rPr>
                <w:rFonts w:ascii="Aptos" w:hAnsi="Aptos"/>
                <w:b/>
                <w:color w:val="17365D"/>
                <w:sz w:val="20"/>
              </w:rPr>
              <w:t>Partner with South Australia on a standards-led demonstrator that tests the missing interoperability layer between national provider identity and safe workforce mobilisation.</w:t>
            </w:r>
          </w:p>
        </w:tc>
      </w:tr>
    </w:tbl>
    <w:p/>
    <w:p>
      <w:r>
        <w:t>The immediate request is to establish a technical and strategic dialogue, nominate Agency contacts and hold the Architecture &amp; Standards Discovery Workshop. No commitment to product ownership, national deployment or a particular standards solution is required at this stage.</w:t>
      </w:r>
    </w:p>
    <w:p>
      <w:pPr>
        <w:pStyle w:val="Heading1"/>
      </w:pPr>
      <w:r>
        <w:t>Appendix A. Candidate canonical entities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ptos" w:hAnsi="Aptos"/>
                <w:b/>
                <w:color w:val="FFFFFF"/>
                <w:sz w:val="16"/>
              </w:rPr>
              <w:t>Entity</w:t>
            </w:r>
          </w:p>
        </w:tc>
        <w:tc>
          <w:tcPr>
            <w:tcW w:type="dxa" w:w="5112"/>
            <w:vAlign w:val="center"/>
            <w:shd w:fill="17365D"/>
          </w:tcPr>
          <w:p>
            <w:r/>
            <w:r>
              <w:rPr>
                <w:rFonts w:ascii="Aptos" w:hAnsi="Aptos"/>
                <w:b/>
                <w:color w:val="FFFFFF"/>
                <w:sz w:val="16"/>
              </w:rPr>
              <w:t>Key relationships</w:t>
            </w:r>
          </w:p>
        </w:tc>
      </w:tr>
      <w:tr>
        <w:tc>
          <w:tcPr>
            <w:tcW w:type="dxa" w:w="5112"/>
            <w:vAlign w:val="center"/>
          </w:tcPr>
          <w:p>
            <w:r/>
            <w:r>
              <w:rPr>
                <w:rFonts w:ascii="Aptos" w:hAnsi="Aptos"/>
                <w:b w:val="0"/>
                <w:sz w:val="15"/>
              </w:rPr>
              <w:t>Practitioner</w:t>
            </w:r>
          </w:p>
        </w:tc>
        <w:tc>
          <w:tcPr>
            <w:tcW w:type="dxa" w:w="5112"/>
            <w:vAlign w:val="center"/>
          </w:tcPr>
          <w:p>
            <w:r/>
            <w:r>
              <w:rPr>
                <w:rFonts w:ascii="Aptos" w:hAnsi="Aptos"/>
                <w:b w:val="0"/>
                <w:sz w:val="15"/>
              </w:rPr>
              <w:t>Identifiers, credentials, preferences, agency relationships</w:t>
            </w:r>
          </w:p>
        </w:tc>
      </w:tr>
      <w:tr>
        <w:tc>
          <w:tcPr>
            <w:tcW w:type="dxa" w:w="5112"/>
            <w:vAlign w:val="center"/>
            <w:shd w:fill="F3F6FA"/>
          </w:tcPr>
          <w:p>
            <w:r/>
            <w:r>
              <w:rPr>
                <w:rFonts w:ascii="Aptos" w:hAnsi="Aptos"/>
                <w:b w:val="0"/>
                <w:sz w:val="15"/>
              </w:rPr>
              <w:t>Credential</w:t>
            </w:r>
          </w:p>
        </w:tc>
        <w:tc>
          <w:tcPr>
            <w:tcW w:type="dxa" w:w="5112"/>
            <w:vAlign w:val="center"/>
            <w:shd w:fill="F3F6FA"/>
          </w:tcPr>
          <w:p>
            <w:r/>
            <w:r>
              <w:rPr>
                <w:rFonts w:ascii="Aptos" w:hAnsi="Aptos"/>
                <w:b w:val="0"/>
                <w:sz w:val="15"/>
              </w:rPr>
              <w:t>Practitioner, type, issuer, dates, evidence</w:t>
            </w:r>
          </w:p>
        </w:tc>
      </w:tr>
      <w:tr>
        <w:tc>
          <w:tcPr>
            <w:tcW w:type="dxa" w:w="5112"/>
            <w:vAlign w:val="center"/>
          </w:tcPr>
          <w:p>
            <w:r/>
            <w:r>
              <w:rPr>
                <w:rFonts w:ascii="Aptos" w:hAnsi="Aptos"/>
                <w:b w:val="0"/>
                <w:sz w:val="15"/>
              </w:rPr>
              <w:t>CredentialEvidence</w:t>
            </w:r>
          </w:p>
        </w:tc>
        <w:tc>
          <w:tcPr>
            <w:tcW w:type="dxa" w:w="5112"/>
            <w:vAlign w:val="center"/>
          </w:tcPr>
          <w:p>
            <w:r/>
            <w:r>
              <w:rPr>
                <w:rFonts w:ascii="Aptos" w:hAnsi="Aptos"/>
                <w:b w:val="0"/>
                <w:sz w:val="15"/>
              </w:rPr>
              <w:t>Credential, document/source, version/hash, access policy</w:t>
            </w:r>
          </w:p>
        </w:tc>
      </w:tr>
      <w:tr>
        <w:tc>
          <w:tcPr>
            <w:tcW w:type="dxa" w:w="5112"/>
            <w:vAlign w:val="center"/>
            <w:shd w:fill="F3F6FA"/>
          </w:tcPr>
          <w:p>
            <w:r/>
            <w:r>
              <w:rPr>
                <w:rFonts w:ascii="Aptos" w:hAnsi="Aptos"/>
                <w:b w:val="0"/>
                <w:sz w:val="15"/>
              </w:rPr>
              <w:t>Verification</w:t>
            </w:r>
          </w:p>
        </w:tc>
        <w:tc>
          <w:tcPr>
            <w:tcW w:type="dxa" w:w="5112"/>
            <w:vAlign w:val="center"/>
            <w:shd w:fill="F3F6FA"/>
          </w:tcPr>
          <w:p>
            <w:r/>
            <w:r>
              <w:rPr>
                <w:rFonts w:ascii="Aptos" w:hAnsi="Aptos"/>
                <w:b w:val="0"/>
                <w:sz w:val="15"/>
              </w:rPr>
              <w:t>Evidence, verifier, method, result, timestamp, policy/provenance</w:t>
            </w:r>
          </w:p>
        </w:tc>
      </w:tr>
      <w:tr>
        <w:tc>
          <w:tcPr>
            <w:tcW w:type="dxa" w:w="5112"/>
            <w:vAlign w:val="center"/>
          </w:tcPr>
          <w:p>
            <w:r/>
            <w:r>
              <w:rPr>
                <w:rFonts w:ascii="Aptos" w:hAnsi="Aptos"/>
                <w:b w:val="0"/>
                <w:sz w:val="15"/>
              </w:rPr>
              <w:t>Organisation</w:t>
            </w:r>
          </w:p>
        </w:tc>
        <w:tc>
          <w:tcPr>
            <w:tcW w:type="dxa" w:w="5112"/>
            <w:vAlign w:val="center"/>
          </w:tcPr>
          <w:p>
            <w:r/>
            <w:r>
              <w:rPr>
                <w:rFonts w:ascii="Aptos" w:hAnsi="Aptos"/>
                <w:b w:val="0"/>
                <w:sz w:val="15"/>
              </w:rPr>
              <w:t>Identifiers, facilities, services</w:t>
            </w:r>
          </w:p>
        </w:tc>
      </w:tr>
      <w:tr>
        <w:tc>
          <w:tcPr>
            <w:tcW w:type="dxa" w:w="5112"/>
            <w:vAlign w:val="center"/>
            <w:shd w:fill="F3F6FA"/>
          </w:tcPr>
          <w:p>
            <w:r/>
            <w:r>
              <w:rPr>
                <w:rFonts w:ascii="Aptos" w:hAnsi="Aptos"/>
                <w:b w:val="0"/>
                <w:sz w:val="15"/>
              </w:rPr>
              <w:t>ScopeGrant</w:t>
            </w:r>
          </w:p>
        </w:tc>
        <w:tc>
          <w:tcPr>
            <w:tcW w:type="dxa" w:w="5112"/>
            <w:vAlign w:val="center"/>
            <w:shd w:fill="F3F6FA"/>
          </w:tcPr>
          <w:p>
            <w:r/>
            <w:r>
              <w:rPr>
                <w:rFonts w:ascii="Aptos" w:hAnsi="Aptos"/>
                <w:b w:val="0"/>
                <w:sz w:val="15"/>
              </w:rPr>
              <w:t>Practitioner, organisation, facilities, activities/role, restrictions, dates, provenance</w:t>
            </w:r>
          </w:p>
        </w:tc>
      </w:tr>
      <w:tr>
        <w:tc>
          <w:tcPr>
            <w:tcW w:type="dxa" w:w="5112"/>
            <w:vAlign w:val="center"/>
          </w:tcPr>
          <w:p>
            <w:r/>
            <w:r>
              <w:rPr>
                <w:rFonts w:ascii="Aptos" w:hAnsi="Aptos"/>
                <w:b w:val="0"/>
                <w:sz w:val="15"/>
              </w:rPr>
              <w:t>RoleTemplate</w:t>
            </w:r>
          </w:p>
        </w:tc>
        <w:tc>
          <w:tcPr>
            <w:tcW w:type="dxa" w:w="5112"/>
            <w:vAlign w:val="center"/>
          </w:tcPr>
          <w:p>
            <w:r/>
            <w:r>
              <w:rPr>
                <w:rFonts w:ascii="Aptos" w:hAnsi="Aptos"/>
                <w:b w:val="0"/>
                <w:sz w:val="15"/>
              </w:rPr>
              <w:t>Organisation/service, requirements and matching rules</w:t>
            </w:r>
          </w:p>
        </w:tc>
      </w:tr>
      <w:tr>
        <w:tc>
          <w:tcPr>
            <w:tcW w:type="dxa" w:w="5112"/>
            <w:vAlign w:val="center"/>
            <w:shd w:fill="F3F6FA"/>
          </w:tcPr>
          <w:p>
            <w:r/>
            <w:r>
              <w:rPr>
                <w:rFonts w:ascii="Aptos" w:hAnsi="Aptos"/>
                <w:b w:val="0"/>
                <w:sz w:val="15"/>
              </w:rPr>
              <w:t>Requirement</w:t>
            </w:r>
          </w:p>
        </w:tc>
        <w:tc>
          <w:tcPr>
            <w:tcW w:type="dxa" w:w="5112"/>
            <w:vAlign w:val="center"/>
            <w:shd w:fill="F3F6FA"/>
          </w:tcPr>
          <w:p>
            <w:r/>
            <w:r>
              <w:rPr>
                <w:rFonts w:ascii="Aptos" w:hAnsi="Aptos"/>
                <w:b w:val="0"/>
                <w:sz w:val="15"/>
              </w:rPr>
              <w:t>Credential/scope/condition, assurance threshold, mandatory/optional</w:t>
            </w:r>
          </w:p>
        </w:tc>
      </w:tr>
      <w:tr>
        <w:tc>
          <w:tcPr>
            <w:tcW w:type="dxa" w:w="5112"/>
            <w:vAlign w:val="center"/>
          </w:tcPr>
          <w:p>
            <w:r/>
            <w:r>
              <w:rPr>
                <w:rFonts w:ascii="Aptos" w:hAnsi="Aptos"/>
                <w:b w:val="0"/>
                <w:sz w:val="15"/>
              </w:rPr>
              <w:t>EligibilityAssessment</w:t>
            </w:r>
          </w:p>
        </w:tc>
        <w:tc>
          <w:tcPr>
            <w:tcW w:type="dxa" w:w="5112"/>
            <w:vAlign w:val="center"/>
          </w:tcPr>
          <w:p>
            <w:r/>
            <w:r>
              <w:rPr>
                <w:rFonts w:ascii="Aptos" w:hAnsi="Aptos"/>
                <w:b w:val="0"/>
                <w:sz w:val="15"/>
              </w:rPr>
              <w:t>Practitioner, role/vacancy, time, requirement results, source versions</w:t>
            </w:r>
          </w:p>
        </w:tc>
      </w:tr>
      <w:tr>
        <w:tc>
          <w:tcPr>
            <w:tcW w:type="dxa" w:w="5112"/>
            <w:vAlign w:val="center"/>
            <w:shd w:fill="F3F6FA"/>
          </w:tcPr>
          <w:p>
            <w:r/>
            <w:r>
              <w:rPr>
                <w:rFonts w:ascii="Aptos" w:hAnsi="Aptos"/>
                <w:b w:val="0"/>
                <w:sz w:val="15"/>
              </w:rPr>
              <w:t>Vacancy</w:t>
            </w:r>
          </w:p>
        </w:tc>
        <w:tc>
          <w:tcPr>
            <w:tcW w:type="dxa" w:w="5112"/>
            <w:vAlign w:val="center"/>
            <w:shd w:fill="F3F6FA"/>
          </w:tcPr>
          <w:p>
            <w:r/>
            <w:r>
              <w:rPr>
                <w:rFonts w:ascii="Aptos" w:hAnsi="Aptos"/>
                <w:b w:val="0"/>
                <w:sz w:val="15"/>
              </w:rPr>
              <w:t>Role, site, dates, sourcing policy, rate/conditions</w:t>
            </w:r>
          </w:p>
        </w:tc>
      </w:tr>
      <w:tr>
        <w:tc>
          <w:tcPr>
            <w:tcW w:type="dxa" w:w="5112"/>
            <w:vAlign w:val="center"/>
          </w:tcPr>
          <w:p>
            <w:r/>
            <w:r>
              <w:rPr>
                <w:rFonts w:ascii="Aptos" w:hAnsi="Aptos"/>
                <w:b w:val="0"/>
                <w:sz w:val="15"/>
              </w:rPr>
              <w:t>Booking</w:t>
            </w:r>
          </w:p>
        </w:tc>
        <w:tc>
          <w:tcPr>
            <w:tcW w:type="dxa" w:w="5112"/>
            <w:vAlign w:val="center"/>
          </w:tcPr>
          <w:p>
            <w:r/>
            <w:r>
              <w:rPr>
                <w:rFonts w:ascii="Aptos" w:hAnsi="Aptos"/>
                <w:b w:val="0"/>
                <w:sz w:val="15"/>
              </w:rPr>
              <w:t>Vacancy, practitioner, source, approvals, cost snapshot</w:t>
            </w:r>
          </w:p>
        </w:tc>
      </w:tr>
    </w:tbl>
    <w:p/>
    <w:p>
      <w:pPr>
        <w:pStyle w:val="Heading1"/>
      </w:pPr>
      <w:r>
        <w:t>Appendix B. Candidate API domains</w:t>
      </w:r>
    </w:p>
    <w:p>
      <w:pPr>
        <w:pStyle w:val="ListBullet"/>
      </w:pPr>
      <w:r>
        <w:t>Identity resolution</w:t>
      </w:r>
    </w:p>
    <w:p>
      <w:pPr>
        <w:pStyle w:val="ListBullet"/>
      </w:pPr>
      <w:r>
        <w:t>Practitioner profile</w:t>
      </w:r>
    </w:p>
    <w:p>
      <w:pPr>
        <w:pStyle w:val="ListBullet"/>
      </w:pPr>
      <w:r>
        <w:t>Credential and evidence</w:t>
      </w:r>
    </w:p>
    <w:p>
      <w:pPr>
        <w:pStyle w:val="ListBullet"/>
      </w:pPr>
      <w:r>
        <w:t>Verification/provenance</w:t>
      </w:r>
    </w:p>
    <w:p>
      <w:pPr>
        <w:pStyle w:val="ListBullet"/>
      </w:pPr>
      <w:r>
        <w:t>Organisation scope</w:t>
      </w:r>
    </w:p>
    <w:p>
      <w:pPr>
        <w:pStyle w:val="ListBullet"/>
      </w:pPr>
      <w:r>
        <w:t>Role requirements</w:t>
      </w:r>
    </w:p>
    <w:p>
      <w:pPr>
        <w:pStyle w:val="ListBullet"/>
      </w:pPr>
      <w:r>
        <w:t>Eligibility evaluation</w:t>
      </w:r>
    </w:p>
    <w:p>
      <w:pPr>
        <w:pStyle w:val="ListBullet"/>
      </w:pPr>
      <w:r>
        <w:t>Vacancy and booking</w:t>
      </w:r>
    </w:p>
    <w:p>
      <w:pPr>
        <w:pStyle w:val="ListBullet"/>
      </w:pPr>
      <w:r>
        <w:t>Agency proposal</w:t>
      </w:r>
    </w:p>
    <w:p>
      <w:pPr>
        <w:pStyle w:val="ListBullet"/>
      </w:pPr>
      <w:r>
        <w:t>Timesheet approval</w:t>
      </w:r>
    </w:p>
    <w:p>
      <w:pPr>
        <w:pStyle w:val="ListBullet"/>
      </w:pPr>
      <w:r>
        <w:t>Audit/event subscription</w:t>
      </w:r>
    </w:p>
    <w:p>
      <w:pPr>
        <w:pStyle w:val="ListBullet"/>
      </w:pPr>
      <w:r>
        <w:t>Analytics export</w:t>
      </w:r>
    </w:p>
    <w:p>
      <w:pPr>
        <w:pStyle w:val="Heading1"/>
      </w:pPr>
      <w:r>
        <w:t>Appendix C. Current national references</w:t>
      </w:r>
    </w:p>
    <w:p>
      <w:r>
        <w:t>1. Australian Digital Health Agency. Connecting Australian Healthcare - National Healthcare Interoperability Plan 2023-2028.</w:t>
      </w:r>
    </w:p>
    <w:p>
      <w:r>
        <w:t>2. Australian Digital Health Agency. National Healthcare Identifiers Roadmap 2023-2028; page updated 20 July 2026.</w:t>
      </w:r>
    </w:p>
    <w:p>
      <w:r>
        <w:t>3. Australian Digital Health Agency. Provider Connect Australia FHIR Implementation Guide v26.1.0, active 26 May 2026, based on FHIR R4.</w:t>
      </w:r>
    </w:p>
    <w:p>
      <w:r>
        <w:t>4. Australian Digital Health Agency Digital Health Implementer Hub. PCA profiles include Practitioner, PractitionerRole, Organization, HealthcareService, Location and Provenance.</w:t>
      </w:r>
    </w:p>
    <w:p>
      <w:r>
        <w:t>5. Australian Commission on Safety and Quality in Health Care. Credentialing and defining scope of practice: guidance for health services and clinicians, 2026.</w:t>
      </w:r>
    </w:p>
    <w:p>
      <w:pPr>
        <w:pStyle w:val="Heading1"/>
      </w:pPr>
      <w:r>
        <w:t>Appendix D. Relationship to programme documents</w:t>
      </w:r>
    </w:p>
    <w:p>
      <w:pPr>
        <w:pStyle w:val="ListBullet"/>
      </w:pPr>
      <w:r>
        <w:t>Australian Medical Workforce Passport &amp; Exchange - Master Product &amp; Programme Specification v0.2</w:t>
      </w:r>
    </w:p>
    <w:p>
      <w:pPr>
        <w:pStyle w:val="ListBullet"/>
      </w:pPr>
      <w:r>
        <w:t>YNLHN Medical Locum Experience &amp; Workforce Platform - Pilot Business Case v0.2</w:t>
      </w:r>
    </w:p>
    <w:p>
      <w:pPr>
        <w:pStyle w:val="ListBullet"/>
      </w:pPr>
      <w:r>
        <w:t>YNLHN Medical Locum Experience &amp; Workforce Platform - Pilot Implementation &amp; Evaluation Plan v0.2</w:t>
      </w:r>
    </w:p>
    <w:p>
      <w:pPr>
        <w:pStyle w:val="ListBullet"/>
      </w:pPr>
      <w:r>
        <w:t>SA Health Medical Workforce Passport &amp; Exchange - Statewide Business Case v0.2</w:t>
      </w:r>
    </w:p>
    <w:p>
      <w:pPr>
        <w:pStyle w:val="ListBullet"/>
      </w:pPr>
      <w:r>
        <w:t>National Medical Workforce Passport &amp; Mobility Infrastructure - Commonwealth Partnership Proposal v0.2</w:t>
      </w:r>
    </w:p>
    <w:p>
      <w:pPr>
        <w:pStyle w:val="Heading1"/>
      </w:pPr>
      <w:r>
        <w:t>Appendix E. Version history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7365D"/>
          </w:tcPr>
          <w:p>
            <w:r/>
            <w:r>
              <w:rPr>
                <w:rFonts w:ascii="Aptos" w:hAnsi="Aptos"/>
                <w:b/>
                <w:color w:val="FFFFFF"/>
                <w:sz w:val="16"/>
              </w:rPr>
              <w:t>Version</w:t>
            </w:r>
          </w:p>
        </w:tc>
        <w:tc>
          <w:tcPr>
            <w:tcW w:type="dxa" w:w="2556"/>
            <w:vAlign w:val="center"/>
            <w:shd w:fill="17365D"/>
          </w:tcPr>
          <w:p>
            <w:r/>
            <w:r>
              <w:rPr>
                <w:rFonts w:ascii="Aptos" w:hAnsi="Aptos"/>
                <w:b/>
                <w:color w:val="FFFFFF"/>
                <w:sz w:val="16"/>
              </w:rPr>
              <w:t>Date</w:t>
            </w:r>
          </w:p>
        </w:tc>
        <w:tc>
          <w:tcPr>
            <w:tcW w:type="dxa" w:w="2556"/>
            <w:vAlign w:val="center"/>
            <w:shd w:fill="17365D"/>
          </w:tcPr>
          <w:p>
            <w:r/>
            <w:r>
              <w:rPr>
                <w:rFonts w:ascii="Aptos" w:hAnsi="Aptos"/>
                <w:b/>
                <w:color w:val="FFFFFF"/>
                <w:sz w:val="16"/>
              </w:rPr>
              <w:t>Status</w:t>
            </w:r>
          </w:p>
        </w:tc>
        <w:tc>
          <w:tcPr>
            <w:tcW w:type="dxa" w:w="2556"/>
            <w:vAlign w:val="center"/>
            <w:shd w:fill="17365D"/>
          </w:tcPr>
          <w:p>
            <w:r/>
            <w:r>
              <w:rPr>
                <w:rFonts w:ascii="Aptos" w:hAnsi="Aptos"/>
                <w:b/>
                <w:color w:val="FFFFFF"/>
                <w:sz w:val="16"/>
              </w:rPr>
              <w:t>Change</w:t>
            </w:r>
          </w:p>
        </w:tc>
      </w:tr>
      <w:tr>
        <w:tc>
          <w:tcPr>
            <w:tcW w:type="dxa" w:w="2556"/>
            <w:vAlign w:val="center"/>
          </w:tcPr>
          <w:p>
            <w:r/>
            <w:r>
              <w:rPr>
                <w:rFonts w:ascii="Aptos" w:hAnsi="Aptos"/>
                <w:b w:val="0"/>
                <w:sz w:val="15"/>
              </w:rPr>
              <w:t>0.1</w:t>
            </w:r>
          </w:p>
        </w:tc>
        <w:tc>
          <w:tcPr>
            <w:tcW w:type="dxa" w:w="2556"/>
            <w:vAlign w:val="center"/>
          </w:tcPr>
          <w:p>
            <w:r/>
            <w:r>
              <w:rPr>
                <w:rFonts w:ascii="Aptos" w:hAnsi="Aptos"/>
                <w:b w:val="0"/>
                <w:sz w:val="15"/>
              </w:rPr>
              <w:t>26 September 2026</w:t>
            </w:r>
          </w:p>
        </w:tc>
        <w:tc>
          <w:tcPr>
            <w:tcW w:type="dxa" w:w="2556"/>
            <w:vAlign w:val="center"/>
          </w:tcPr>
          <w:p>
            <w:r/>
            <w:r>
              <w:rPr>
                <w:rFonts w:ascii="Aptos" w:hAnsi="Aptos"/>
                <w:b w:val="0"/>
                <w:sz w:val="15"/>
              </w:rPr>
              <w:t>Draft</w:t>
            </w:r>
          </w:p>
        </w:tc>
        <w:tc>
          <w:tcPr>
            <w:tcW w:type="dxa" w:w="2556"/>
            <w:vAlign w:val="center"/>
          </w:tcPr>
          <w:p>
            <w:r/>
            <w:r>
              <w:rPr>
                <w:rFonts w:ascii="Aptos" w:hAnsi="Aptos"/>
                <w:b w:val="0"/>
                <w:sz w:val="15"/>
              </w:rPr>
              <w:t>Initial ADHA technical and strategic partnership proposal based on current national interoperability, HI Roadmap and PCA v26.1.0 architecture.</w:t>
            </w:r>
          </w:p>
        </w:tc>
      </w:tr>
    </w:tbl>
    <w:p/>
    <w:p>
      <w:r>
        <w:br w:type="page"/>
      </w:r>
    </w:p>
    <w:p>
      <w:pPr>
        <w:pStyle w:val="Heading1"/>
      </w:pPr>
      <w:r>
        <w:t>Extended strategic and technical opportunity map</w:t>
      </w:r>
    </w:p>
    <w:p>
      <w:r>
        <w:t>The demonstrator creates a standards test-bed for a broader clinical workforce trust layer. The architecture should therefore preserve future interoperability for scope, onboarding, workforce intelligence, emergency mobilisation and longitudinal professional records without assuming these belong inside a single national repository.</w:t>
      </w:r>
    </w:p>
    <w:tbl>
      <w:tblPr>
        <w:tblStyle w:val="TableGrid"/>
        <w:tblW w:type="auto" w:w="0"/>
        <w:tblLook w:firstColumn="1" w:firstRow="1" w:lastColumn="0" w:lastRow="0" w:noHBand="0" w:noVBand="1" w:val="04A0"/>
      </w:tblPr>
      <w:tblGrid>
        <w:gridCol w:w="5112"/>
        <w:gridCol w:w="5112"/>
      </w:tblGrid>
      <w:tr>
        <w:tc>
          <w:tcPr>
            <w:tcW w:type="dxa" w:w="5112"/>
            <w:shd w:fill="17365D"/>
          </w:tcPr>
          <w:p>
            <w:r/>
            <w:r>
              <w:rPr>
                <w:b/>
                <w:color w:val="FFFFFF"/>
                <w:sz w:val="16"/>
              </w:rPr>
              <w:t>Opportunity</w:t>
            </w:r>
          </w:p>
        </w:tc>
        <w:tc>
          <w:tcPr>
            <w:tcW w:type="dxa" w:w="5112"/>
            <w:shd w:fill="17365D"/>
          </w:tcPr>
          <w:p>
            <w:r/>
            <w:r>
              <w:rPr>
                <w:b/>
                <w:color w:val="FFFFFF"/>
                <w:sz w:val="16"/>
              </w:rPr>
              <w:t>Strategic implication</w:t>
            </w:r>
          </w:p>
        </w:tc>
      </w:tr>
      <w:tr>
        <w:tc>
          <w:tcPr>
            <w:tcW w:type="dxa" w:w="5112"/>
          </w:tcPr>
          <w:p>
            <w:r>
              <w:rPr>
                <w:sz w:val="15"/>
              </w:rPr>
              <w:t>Workforce Trust Network</w:t>
            </w:r>
          </w:p>
        </w:tc>
        <w:tc>
          <w:tcPr>
            <w:tcW w:type="dxa" w:w="5112"/>
          </w:tcPr>
          <w:p>
            <w:r>
              <w:rPr>
                <w:sz w:val="15"/>
              </w:rPr>
              <w:t>Turn each verified credential into a reusable, provenance-rich trust assertion. A receiving organisation can see who verified what, how, when, against which source and policy, then make its own trust decision rather than repeating work blindly.</w:t>
            </w:r>
          </w:p>
        </w:tc>
      </w:tr>
      <w:tr>
        <w:tc>
          <w:tcPr>
            <w:tcW w:type="dxa" w:w="5112"/>
            <w:shd w:fill="F4F7FA"/>
          </w:tcPr>
          <w:p>
            <w:r>
              <w:rPr>
                <w:sz w:val="15"/>
              </w:rPr>
              <w:t>Federated Scope of Practice Registry</w:t>
            </w:r>
          </w:p>
        </w:tc>
        <w:tc>
          <w:tcPr>
            <w:tcW w:type="dxa" w:w="5112"/>
            <w:shd w:fill="F4F7FA"/>
          </w:tcPr>
          <w:p>
            <w:r>
              <w:rPr>
                <w:sz w:val="15"/>
              </w:rPr>
              <w:t>Represent organisation-issued ScopeGrants in a consistent interoperable form across facilities and health services. The registry federates local authority rather than creating national automatic scope portability.</w:t>
            </w:r>
          </w:p>
        </w:tc>
      </w:tr>
      <w:tr>
        <w:tc>
          <w:tcPr>
            <w:tcW w:type="dxa" w:w="5112"/>
          </w:tcPr>
          <w:p>
            <w:r>
              <w:rPr>
                <w:sz w:val="15"/>
              </w:rPr>
              <w:t>Machine-enforceable scope</w:t>
            </w:r>
          </w:p>
        </w:tc>
        <w:tc>
          <w:tcPr>
            <w:tcW w:type="dxa" w:w="5112"/>
          </w:tcPr>
          <w:p>
            <w:r>
              <w:rPr>
                <w:sz w:val="15"/>
              </w:rPr>
              <w:t>Make current ScopeGrant status available to downstream systems so future integrations can support access reviews, procedural privileges, prescribing controls, theatre workflows and other clinical-governance safeguards.</w:t>
            </w:r>
          </w:p>
        </w:tc>
      </w:tr>
      <w:tr>
        <w:tc>
          <w:tcPr>
            <w:tcW w:type="dxa" w:w="5112"/>
            <w:shd w:fill="F4F7FA"/>
          </w:tcPr>
          <w:p>
            <w:r>
              <w:rPr>
                <w:sz w:val="15"/>
              </w:rPr>
              <w:t>Reusable onboarding passport</w:t>
            </w:r>
          </w:p>
        </w:tc>
        <w:tc>
          <w:tcPr>
            <w:tcW w:type="dxa" w:w="5112"/>
            <w:shd w:fill="F4F7FA"/>
          </w:tcPr>
          <w:p>
            <w:r>
              <w:rPr>
                <w:sz w:val="15"/>
              </w:rPr>
              <w:t>Extend the doctor-owned passport beyond clinical credentials to reusable employment and onboarding information such as mandatory training, occupational requirements and other repeatable administrative evidence, while preserving organisation-specific decisions.</w:t>
            </w:r>
          </w:p>
        </w:tc>
      </w:tr>
      <w:tr>
        <w:tc>
          <w:tcPr>
            <w:tcW w:type="dxa" w:w="5112"/>
          </w:tcPr>
          <w:p>
            <w:r>
              <w:rPr>
                <w:sz w:val="15"/>
              </w:rPr>
              <w:t>Workforce digital twin</w:t>
            </w:r>
          </w:p>
        </w:tc>
        <w:tc>
          <w:tcPr>
            <w:tcW w:type="dxa" w:w="5112"/>
          </w:tcPr>
          <w:p>
            <w:r>
              <w:rPr>
                <w:sz w:val="15"/>
              </w:rPr>
              <w:t>Combine structured vacancies, eligibility, scope, availability, preferences and sourcing data to show the real deployable workforce for a site, service, role and time period.</w:t>
            </w:r>
          </w:p>
        </w:tc>
      </w:tr>
      <w:tr>
        <w:tc>
          <w:tcPr>
            <w:tcW w:type="dxa" w:w="5112"/>
            <w:shd w:fill="F4F7FA"/>
          </w:tcPr>
          <w:p>
            <w:r>
              <w:rPr>
                <w:sz w:val="15"/>
              </w:rPr>
              <w:t>Predictive shortage management</w:t>
            </w:r>
          </w:p>
        </w:tc>
        <w:tc>
          <w:tcPr>
            <w:tcW w:type="dxa" w:w="5112"/>
            <w:shd w:fill="F4F7FA"/>
          </w:tcPr>
          <w:p>
            <w:r>
              <w:rPr>
                <w:sz w:val="15"/>
              </w:rPr>
              <w:t>Use longitudinal vacancy, fill, cancellation, availability and eligibility data to forecast workforce gaps early. Predictive analytics may support planning, but must not replace deterministic clinical eligibility or scope decisions.</w:t>
            </w:r>
          </w:p>
        </w:tc>
      </w:tr>
      <w:tr>
        <w:tc>
          <w:tcPr>
            <w:tcW w:type="dxa" w:w="5112"/>
          </w:tcPr>
          <w:p>
            <w:r>
              <w:rPr>
                <w:sz w:val="15"/>
              </w:rPr>
              <w:t>Rural workforce laboratory</w:t>
            </w:r>
          </w:p>
        </w:tc>
        <w:tc>
          <w:tcPr>
            <w:tcW w:type="dxa" w:w="5112"/>
          </w:tcPr>
          <w:p>
            <w:r>
              <w:rPr>
                <w:sz w:val="15"/>
              </w:rPr>
              <w:t>Link clinician experience, culture, support, accommodation, workload, rates and actual return behaviour to identify modifiable drivers of rural attraction and retention and evaluate interventions.</w:t>
            </w:r>
          </w:p>
        </w:tc>
      </w:tr>
      <w:tr>
        <w:tc>
          <w:tcPr>
            <w:tcW w:type="dxa" w:w="5112"/>
            <w:shd w:fill="F4F7FA"/>
          </w:tcPr>
          <w:p>
            <w:r>
              <w:rPr>
                <w:sz w:val="15"/>
              </w:rPr>
              <w:t>Emergency workforce mobilisation</w:t>
            </w:r>
          </w:p>
        </w:tc>
        <w:tc>
          <w:tcPr>
            <w:tcW w:type="dxa" w:w="5112"/>
            <w:shd w:fill="F4F7FA"/>
          </w:tcPr>
          <w:p>
            <w:r>
              <w:rPr>
                <w:sz w:val="15"/>
              </w:rPr>
              <w:t>Provide a controlled mechanism to identify clinicians who are currently eligible, available and willing to deploy during surge, disaster, pandemic or sudden service failure.</w:t>
            </w:r>
          </w:p>
        </w:tc>
      </w:tr>
      <w:tr>
        <w:tc>
          <w:tcPr>
            <w:tcW w:type="dxa" w:w="5112"/>
          </w:tcPr>
          <w:p>
            <w:r>
              <w:rPr>
                <w:sz w:val="15"/>
              </w:rPr>
              <w:t>Multi-professional extensibility</w:t>
            </w:r>
          </w:p>
        </w:tc>
        <w:tc>
          <w:tcPr>
            <w:tcW w:type="dxa" w:w="5112"/>
          </w:tcPr>
          <w:p>
            <w:r>
              <w:rPr>
                <w:sz w:val="15"/>
              </w:rPr>
              <w:t>Keep the canonical architecture profession-agnostic so the same trust and mobilisation pattern can later support nursing, midwifery, pharmacy, allied health and other regulated workforces, while the initial product remains deliberately medical.</w:t>
            </w:r>
          </w:p>
        </w:tc>
      </w:tr>
      <w:tr>
        <w:tc>
          <w:tcPr>
            <w:tcW w:type="dxa" w:w="5112"/>
            <w:shd w:fill="F4F7FA"/>
          </w:tcPr>
          <w:p>
            <w:r>
              <w:rPr>
                <w:sz w:val="15"/>
              </w:rPr>
              <w:t>Longitudinal Clinical Professional Passport</w:t>
            </w:r>
          </w:p>
        </w:tc>
        <w:tc>
          <w:tcPr>
            <w:tcW w:type="dxa" w:w="5112"/>
            <w:shd w:fill="F4F7FA"/>
          </w:tcPr>
          <w:p>
            <w:r>
              <w:rPr>
                <w:sz w:val="15"/>
              </w:rPr>
              <w:t>Architect for a future doctor-owned professional record incorporating verified work history, procedural activity, CPD, supervision, training, references and competency evidence, without expanding the YNLHN MVP into those domains now.</w:t>
            </w:r>
          </w:p>
        </w:tc>
      </w:tr>
    </w:tbl>
    <w:p/>
    <w:p>
      <w:pPr>
        <w:pStyle w:val="Heading2"/>
      </w:pPr>
      <w:r>
        <w:t>Platform boundary and sequencing</w:t>
      </w:r>
    </w:p>
    <w:tbl>
      <w:tblPr>
        <w:tblStyle w:val="TableGrid"/>
        <w:tblW w:type="auto" w:w="0"/>
        <w:tblLook w:firstColumn="1" w:firstRow="1" w:lastColumn="0" w:lastRow="0" w:noHBand="0" w:noVBand="1" w:val="04A0"/>
      </w:tblPr>
      <w:tblGrid>
        <w:gridCol w:w="5112"/>
        <w:gridCol w:w="5112"/>
      </w:tblGrid>
      <w:tr>
        <w:tc>
          <w:tcPr>
            <w:tcW w:type="dxa" w:w="5112"/>
            <w:shd w:fill="17365D"/>
          </w:tcPr>
          <w:p>
            <w:r/>
            <w:r>
              <w:rPr>
                <w:b/>
                <w:color w:val="FFFFFF"/>
                <w:sz w:val="16"/>
              </w:rPr>
              <w:t>Horizon</w:t>
            </w:r>
          </w:p>
        </w:tc>
        <w:tc>
          <w:tcPr>
            <w:tcW w:type="dxa" w:w="5112"/>
            <w:shd w:fill="17365D"/>
          </w:tcPr>
          <w:p>
            <w:r/>
            <w:r>
              <w:rPr>
                <w:b/>
                <w:color w:val="FFFFFF"/>
                <w:sz w:val="16"/>
              </w:rPr>
              <w:t>Position</w:t>
            </w:r>
          </w:p>
        </w:tc>
      </w:tr>
      <w:tr>
        <w:tc>
          <w:tcPr>
            <w:tcW w:type="dxa" w:w="5112"/>
          </w:tcPr>
          <w:p>
            <w:r>
              <w:rPr>
                <w:sz w:val="15"/>
              </w:rPr>
              <w:t>BUILD NOW</w:t>
            </w:r>
          </w:p>
        </w:tc>
        <w:tc>
          <w:tcPr>
            <w:tcW w:type="dxa" w:w="5112"/>
          </w:tcPr>
          <w:p>
            <w:r>
              <w:rPr>
                <w:sz w:val="15"/>
              </w:rPr>
              <w:t>Doctor credential wallet and expiry tracking; reusable credential sharing; YNLHN scope visibility; deterministic eligibility; vacancy workflow; approved-agency sourcing; booking/timesheets; clinician experience and culture feedback; auditable data foundation.</w:t>
            </w:r>
          </w:p>
        </w:tc>
      </w:tr>
      <w:tr>
        <w:tc>
          <w:tcPr>
            <w:tcW w:type="dxa" w:w="5112"/>
            <w:shd w:fill="F4F7FA"/>
          </w:tcPr>
          <w:p>
            <w:r>
              <w:rPr>
                <w:sz w:val="15"/>
              </w:rPr>
              <w:t>ARCHITECT FOR</w:t>
            </w:r>
          </w:p>
        </w:tc>
        <w:tc>
          <w:tcPr>
            <w:tcW w:type="dxa" w:w="5112"/>
            <w:shd w:fill="F4F7FA"/>
          </w:tcPr>
          <w:p>
            <w:r>
              <w:rPr>
                <w:sz w:val="15"/>
              </w:rPr>
              <w:t>Trust assertions and provenance; federated ScopeGrant exchange; reusable onboarding data; digital-twin analytics; emergency mobilisation; profession-agnostic identifiers and credential definitions; longitudinal professional record; downstream scope events.</w:t>
            </w:r>
          </w:p>
        </w:tc>
      </w:tr>
      <w:tr>
        <w:tc>
          <w:tcPr>
            <w:tcW w:type="dxa" w:w="5112"/>
          </w:tcPr>
          <w:p>
            <w:r>
              <w:rPr>
                <w:sz w:val="15"/>
              </w:rPr>
              <w:t>INVESTIGATE / PILOT LATER</w:t>
            </w:r>
          </w:p>
        </w:tc>
        <w:tc>
          <w:tcPr>
            <w:tcW w:type="dxa" w:w="5112"/>
          </w:tcPr>
          <w:p>
            <w:r>
              <w:rPr>
                <w:sz w:val="15"/>
              </w:rPr>
              <w:t>Cross-LHN verification reuse; national FHIR patterns; predictive shortage models; direct authoritative-source credential feeds; clinical-system enforcement of scope; multi-professional pilots; cross-jurisdiction trust.</w:t>
            </w:r>
          </w:p>
        </w:tc>
      </w:tr>
      <w:tr>
        <w:tc>
          <w:tcPr>
            <w:tcW w:type="dxa" w:w="5112"/>
            <w:shd w:fill="F4F7FA"/>
          </w:tcPr>
          <w:p>
            <w:r>
              <w:rPr>
                <w:sz w:val="15"/>
              </w:rPr>
              <w:t>DELIBERATELY EXCLUDE FROM EARLY MVP</w:t>
            </w:r>
          </w:p>
        </w:tc>
        <w:tc>
          <w:tcPr>
            <w:tcW w:type="dxa" w:w="5112"/>
            <w:shd w:fill="F4F7FA"/>
          </w:tcPr>
          <w:p>
            <w:r>
              <w:rPr>
                <w:sz w:val="15"/>
              </w:rPr>
              <w:t>Automatic portability of clinical scope; AI-based credential or scope approval; open marketplace displacing approved agency arrangements; national storage of every credential document; payroll replacement; multi-professional rollout before the medical model is proven.</w:t>
            </w:r>
          </w:p>
        </w:tc>
      </w:tr>
    </w:tbl>
    <w:p/>
    <w:p>
      <w:r>
        <w:rPr>
          <w:b/>
        </w:rPr>
        <w:t xml:space="preserve">Updated programme vision: </w:t>
      </w:r>
      <w:r>
        <w:t>A trusted digital infrastructure that enables clinicians to prove credentials once, allows health services to define and exchange clinical authority safely and enables appropriately authorised clinicians to be mobilised wherever they are needed.</w:t>
      </w:r>
    </w:p>
    <w:tbl>
      <w:tblPr>
        <w:tblStyle w:val="TableGrid"/>
        <w:tblW w:type="auto" w:w="0"/>
        <w:tblLook w:firstColumn="1" w:firstRow="1" w:lastColumn="0" w:lastRow="0" w:noHBand="0" w:noVBand="1" w:val="04A0"/>
      </w:tblPr>
      <w:tblGrid>
        <w:gridCol w:w="5112"/>
        <w:gridCol w:w="5112"/>
      </w:tblGrid>
      <w:tr>
        <w:tc>
          <w:tcPr>
            <w:tcW w:type="dxa" w:w="5112"/>
            <w:shd w:fill="17365D"/>
          </w:tcPr>
          <w:p>
            <w:r/>
            <w:r>
              <w:rPr>
                <w:b/>
                <w:color w:val="FFFFFF"/>
                <w:sz w:val="16"/>
              </w:rPr>
              <w:t>Product layer</w:t>
            </w:r>
          </w:p>
        </w:tc>
        <w:tc>
          <w:tcPr>
            <w:tcW w:type="dxa" w:w="5112"/>
            <w:shd w:fill="17365D"/>
          </w:tcPr>
          <w:p>
            <w:r/>
            <w:r>
              <w:rPr>
                <w:b/>
                <w:color w:val="FFFFFF"/>
                <w:sz w:val="16"/>
              </w:rPr>
              <w:t>Core question</w:t>
            </w:r>
          </w:p>
        </w:tc>
      </w:tr>
      <w:tr>
        <w:tc>
          <w:tcPr>
            <w:tcW w:type="dxa" w:w="5112"/>
          </w:tcPr>
          <w:p>
            <w:r>
              <w:rPr>
                <w:sz w:val="15"/>
              </w:rPr>
              <w:t>Passport</w:t>
            </w:r>
          </w:p>
        </w:tc>
        <w:tc>
          <w:tcPr>
            <w:tcW w:type="dxa" w:w="5112"/>
          </w:tcPr>
          <w:p>
            <w:r>
              <w:rPr>
                <w:sz w:val="15"/>
              </w:rPr>
              <w:t>What can I prove about myself?</w:t>
            </w:r>
          </w:p>
        </w:tc>
      </w:tr>
      <w:tr>
        <w:tc>
          <w:tcPr>
            <w:tcW w:type="dxa" w:w="5112"/>
            <w:shd w:fill="F4F7FA"/>
          </w:tcPr>
          <w:p>
            <w:r>
              <w:rPr>
                <w:sz w:val="15"/>
              </w:rPr>
              <w:t>Scope</w:t>
            </w:r>
          </w:p>
        </w:tc>
        <w:tc>
          <w:tcPr>
            <w:tcW w:type="dxa" w:w="5112"/>
            <w:shd w:fill="F4F7FA"/>
          </w:tcPr>
          <w:p>
            <w:r>
              <w:rPr>
                <w:sz w:val="15"/>
              </w:rPr>
              <w:t>What has this health service authorised me to do?</w:t>
            </w:r>
          </w:p>
        </w:tc>
      </w:tr>
      <w:tr>
        <w:tc>
          <w:tcPr>
            <w:tcW w:type="dxa" w:w="5112"/>
          </w:tcPr>
          <w:p>
            <w:r>
              <w:rPr>
                <w:sz w:val="15"/>
              </w:rPr>
              <w:t>Exchange</w:t>
            </w:r>
          </w:p>
        </w:tc>
        <w:tc>
          <w:tcPr>
            <w:tcW w:type="dxa" w:w="5112"/>
          </w:tcPr>
          <w:p>
            <w:r>
              <w:rPr>
                <w:sz w:val="15"/>
              </w:rPr>
              <w:t>Where can I work and where am I needed?</w:t>
            </w:r>
          </w:p>
        </w:tc>
      </w:tr>
      <w:tr>
        <w:tc>
          <w:tcPr>
            <w:tcW w:type="dxa" w:w="5112"/>
            <w:shd w:fill="F4F7FA"/>
          </w:tcPr>
          <w:p>
            <w:r>
              <w:rPr>
                <w:sz w:val="15"/>
              </w:rPr>
              <w:t>Intelligence</w:t>
            </w:r>
          </w:p>
        </w:tc>
        <w:tc>
          <w:tcPr>
            <w:tcW w:type="dxa" w:w="5112"/>
            <w:shd w:fill="F4F7FA"/>
          </w:tcPr>
          <w:p>
            <w:r>
              <w:rPr>
                <w:sz w:val="15"/>
              </w:rPr>
              <w:t>What should the system change to put the right workforce in the right place?</w:t>
            </w:r>
          </w:p>
        </w:tc>
      </w:tr>
    </w:tbl>
    <w:p/>
    <w:p>
      <w:pPr>
        <w:pStyle w:val="Heading2"/>
      </w:pPr>
      <w:r>
        <w:t>Additional standards questions for partnership</w:t>
      </w:r>
    </w:p>
    <w:p>
      <w:pPr>
        <w:pStyle w:val="ListBullet"/>
      </w:pPr>
      <w:r>
        <w:t>How should reusable credential verification assertions be represented and trusted across organisations?</w:t>
      </w:r>
    </w:p>
    <w:p>
      <w:pPr>
        <w:pStyle w:val="ListBullet"/>
      </w:pPr>
      <w:r>
        <w:t>How should organisation-issued ScopeGrant semantics be represented without implying reciprocity?</w:t>
      </w:r>
    </w:p>
    <w:p>
      <w:pPr>
        <w:pStyle w:val="ListBullet"/>
      </w:pPr>
      <w:r>
        <w:t>Which scope-status events are safe and appropriate for downstream clinical-system enforcement?</w:t>
      </w:r>
    </w:p>
    <w:p>
      <w:pPr>
        <w:pStyle w:val="ListBullet"/>
      </w:pPr>
      <w:r>
        <w:t>Which onboarding and professional-record artefacts belong in national infrastructure versus federated domain services?</w:t>
      </w:r>
    </w:p>
    <w:p>
      <w:pPr>
        <w:pStyle w:val="ListBullet"/>
      </w:pPr>
      <w:r>
        <w:t>How can workforce capability queries reference national provider and service identity without centralising sensitive workforce data?</w:t>
      </w:r>
    </w:p>
    <w:p>
      <w:pPr>
        <w:pStyle w:val="Heading2"/>
      </w:pPr>
      <w:r>
        <w:t>v0.2 revision note</w:t>
      </w:r>
    </w:p>
    <w:p>
      <w:r>
        <w:t>26 September 2026 - Expanded strategic horizon to include the workforce trust network, federated scope registry, machine-enforceable scope, reusable onboarding passport, workforce digital twin, predictive shortage management, rural workforce laboratory, emergency workforce mobilisation, multi-professional extensibility and longitudinal Clinical Professional Passport. Added explicit platform-boundary controls to protect the YNLHN MVP from scope creep.</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77777"/>
        <w:sz w:val="14"/>
      </w:rPr>
      <w:t>Draft v0.2 | September 2026 | Technical &amp; strategic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777777"/>
        <w:sz w:val="14"/>
      </w:rPr>
      <w:t>Medical Workforce Passport &amp; Credential Interoperability | ADHA Partnership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