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4"/>
        </w:rPr>
        <w:t>A NATIONAL MEDICAL WORKFORCE</w:t>
        <w:br/>
        <w:t>PASSPORT &amp; MOBILITY INFRASTRUCTURE</w:t>
      </w:r>
    </w:p>
    <w:p>
      <w:pPr>
        <w:jc w:val="center"/>
      </w:pPr>
      <w:r>
        <w:rPr>
          <w:color w:val="2F5597"/>
          <w:sz w:val="34"/>
        </w:rPr>
        <w:t>Commonwealth Partnership Proposal</w:t>
      </w:r>
    </w:p>
    <w:p>
      <w:pPr>
        <w:jc w:val="center"/>
      </w:pPr>
      <w:r>
        <w:rPr>
          <w:color w:val="666666"/>
          <w:sz w:val="20"/>
        </w:rPr>
        <w:t>South Australia as a national demonstrator | Version 0.2 | September 2026</w:t>
      </w:r>
    </w:p>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2"/>
              </w:rPr>
              <w:t>The proposition: make it easier for an appropriately credentialled doctor to work where Australia needs them, without asking them to repeatedly prove the same things to different health services.</w:t>
            </w:r>
          </w:p>
        </w:tc>
      </w:tr>
    </w:tbl>
    <w:p/>
    <w:p>
      <w:r>
        <w:t>A practical state-led demonstrator can test a missing layer of national health workforce infrastructure: reusable credential assurance, organisation-specific scope and rapid workforce mobilisation built on Australia's existing national provider identity and digital health foundations.</w:t>
      </w:r>
    </w:p>
    <w:p>
      <w:r>
        <w:br w:type="page"/>
      </w:r>
    </w:p>
    <w:p>
      <w:pPr>
        <w:pStyle w:val="Heading1"/>
      </w:pPr>
      <w:r>
        <w:t>The opportunity</w:t>
      </w:r>
    </w:p>
    <w:p>
      <w:r>
        <w:t>Australia has invested substantially in national practitioner registration, healthcare identifiers and digital health interoperability. Yet a doctor who moves between hospitals, health services or jurisdictions can still face repeated credential submissions, repeated verification and locally fragmented workforce processes.</w:t>
      </w:r>
    </w:p>
    <w:p>
      <w:r>
        <w:t>This friction matters most where workforce is scarce. Around one in four Australians lives in a rural or regional area. The Commonwealth already invests in programs intended to attract and retain clinicians outside metropolitan centres. Reducing avoidable administrative barriers to medical workforce mobility is a complementary system reform.</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2"/>
              </w:rPr>
              <w:t>Australia does not need another national identity system. It needs a trusted bridge between provider identity, credential assurance, local scope of practice and real workforce demand.</w:t>
            </w:r>
          </w:p>
        </w:tc>
      </w:tr>
    </w:tbl>
    <w:p/>
    <w:p>
      <w:pPr>
        <w:pStyle w:val="Heading1"/>
      </w:pPr>
      <w:r>
        <w:t>What we propose</w:t>
      </w:r>
    </w:p>
    <w:p>
      <w:r>
        <w:t>South Australia proposes to develop and evaluate a Medical Workforce Passport &amp; Exchange, beginning with a controlled regional health service pilot and progressing to cross-health-service credential portability. Subject to demonstrated value and appropriate governance, the model could then become a national demonstrator.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Component</w:t>
            </w:r>
          </w:p>
        </w:tc>
        <w:tc>
          <w:tcPr>
            <w:tcW w:type="dxa" w:w="5040"/>
            <w:vAlign w:val="center"/>
            <w:shd w:fill="17365D"/>
          </w:tcPr>
          <w:p>
            <w:r/>
            <w:r>
              <w:rPr>
                <w:rFonts w:ascii="Aptos" w:hAnsi="Aptos"/>
                <w:b/>
                <w:color w:val="FFFFFF"/>
                <w:sz w:val="17"/>
              </w:rPr>
              <w:t>Function</w:t>
            </w:r>
          </w:p>
        </w:tc>
      </w:tr>
      <w:tr>
        <w:tc>
          <w:tcPr>
            <w:tcW w:type="dxa" w:w="5040"/>
            <w:vAlign w:val="center"/>
          </w:tcPr>
          <w:p>
            <w:r/>
            <w:r>
              <w:rPr>
                <w:rFonts w:ascii="Aptos" w:hAnsi="Aptos"/>
                <w:b w:val="0"/>
                <w:sz w:val="17"/>
              </w:rPr>
              <w:t>Practitioner Passport</w:t>
            </w:r>
          </w:p>
        </w:tc>
        <w:tc>
          <w:tcPr>
            <w:tcW w:type="dxa" w:w="5040"/>
            <w:vAlign w:val="center"/>
          </w:tcPr>
          <w:p>
            <w:r/>
            <w:r>
              <w:rPr>
                <w:rFonts w:ascii="Aptos" w:hAnsi="Aptos"/>
                <w:b w:val="0"/>
                <w:sz w:val="17"/>
              </w:rPr>
              <w:t>A doctor-controlled structured portfolio of qualifications, registration, training, checks and supporting evidence.</w:t>
            </w:r>
          </w:p>
        </w:tc>
      </w:tr>
      <w:tr>
        <w:tc>
          <w:tcPr>
            <w:tcW w:type="dxa" w:w="5040"/>
            <w:vAlign w:val="center"/>
            <w:shd w:fill="F3F6FA"/>
          </w:tcPr>
          <w:p>
            <w:r/>
            <w:r>
              <w:rPr>
                <w:rFonts w:ascii="Aptos" w:hAnsi="Aptos"/>
                <w:b w:val="0"/>
                <w:sz w:val="17"/>
              </w:rPr>
              <w:t>Verification provenance</w:t>
            </w:r>
          </w:p>
        </w:tc>
        <w:tc>
          <w:tcPr>
            <w:tcW w:type="dxa" w:w="5040"/>
            <w:vAlign w:val="center"/>
            <w:shd w:fill="F3F6FA"/>
          </w:tcPr>
          <w:p>
            <w:r/>
            <w:r>
              <w:rPr>
                <w:rFonts w:ascii="Aptos" w:hAnsi="Aptos"/>
                <w:b w:val="0"/>
                <w:sz w:val="17"/>
              </w:rPr>
              <w:t>Records who verified evidence, against what source and when, allowing trusted verification to be reused rather than repeated.</w:t>
            </w:r>
          </w:p>
        </w:tc>
      </w:tr>
      <w:tr>
        <w:tc>
          <w:tcPr>
            <w:tcW w:type="dxa" w:w="5040"/>
            <w:vAlign w:val="center"/>
          </w:tcPr>
          <w:p>
            <w:r/>
            <w:r>
              <w:rPr>
                <w:rFonts w:ascii="Aptos" w:hAnsi="Aptos"/>
                <w:b w:val="0"/>
                <w:sz w:val="17"/>
              </w:rPr>
              <w:t>Organisation Scope</w:t>
            </w:r>
          </w:p>
        </w:tc>
        <w:tc>
          <w:tcPr>
            <w:tcW w:type="dxa" w:w="5040"/>
            <w:vAlign w:val="center"/>
          </w:tcPr>
          <w:p>
            <w:r/>
            <w:r>
              <w:rPr>
                <w:rFonts w:ascii="Aptos" w:hAnsi="Aptos"/>
                <w:b w:val="0"/>
                <w:sz w:val="17"/>
              </w:rPr>
              <w:t>Each hospital or health service retains responsibility for deciding the clinical scope it grants the practitioner.</w:t>
            </w:r>
          </w:p>
        </w:tc>
      </w:tr>
      <w:tr>
        <w:tc>
          <w:tcPr>
            <w:tcW w:type="dxa" w:w="5040"/>
            <w:vAlign w:val="center"/>
            <w:shd w:fill="F3F6FA"/>
          </w:tcPr>
          <w:p>
            <w:r/>
            <w:r>
              <w:rPr>
                <w:rFonts w:ascii="Aptos" w:hAnsi="Aptos"/>
                <w:b w:val="0"/>
                <w:sz w:val="17"/>
              </w:rPr>
              <w:t>Eligibility engine</w:t>
            </w:r>
          </w:p>
        </w:tc>
        <w:tc>
          <w:tcPr>
            <w:tcW w:type="dxa" w:w="5040"/>
            <w:vAlign w:val="center"/>
            <w:shd w:fill="F3F6FA"/>
          </w:tcPr>
          <w:p>
            <w:r/>
            <w:r>
              <w:rPr>
                <w:rFonts w:ascii="Aptos" w:hAnsi="Aptos"/>
                <w:b w:val="0"/>
                <w:sz w:val="17"/>
              </w:rPr>
              <w:t>Matches current credentials and local scope against the requirements of a particular role.</w:t>
            </w:r>
          </w:p>
        </w:tc>
      </w:tr>
      <w:tr>
        <w:tc>
          <w:tcPr>
            <w:tcW w:type="dxa" w:w="5040"/>
            <w:vAlign w:val="center"/>
          </w:tcPr>
          <w:p>
            <w:r/>
            <w:r>
              <w:rPr>
                <w:rFonts w:ascii="Aptos" w:hAnsi="Aptos"/>
                <w:b w:val="0"/>
                <w:sz w:val="17"/>
              </w:rPr>
              <w:t>Workforce Exchange</w:t>
            </w:r>
          </w:p>
        </w:tc>
        <w:tc>
          <w:tcPr>
            <w:tcW w:type="dxa" w:w="5040"/>
            <w:vAlign w:val="center"/>
          </w:tcPr>
          <w:p>
            <w:r/>
            <w:r>
              <w:rPr>
                <w:rFonts w:ascii="Aptos" w:hAnsi="Aptos"/>
                <w:b w:val="0"/>
                <w:sz w:val="17"/>
              </w:rPr>
              <w:t>Makes suitable vacancies visible to eligible doctors and supports controlled applications, bookings and timesheets.</w:t>
            </w:r>
          </w:p>
        </w:tc>
      </w:tr>
      <w:tr>
        <w:tc>
          <w:tcPr>
            <w:tcW w:type="dxa" w:w="5040"/>
            <w:vAlign w:val="center"/>
            <w:shd w:fill="F3F6FA"/>
          </w:tcPr>
          <w:p>
            <w:r/>
            <w:r>
              <w:rPr>
                <w:rFonts w:ascii="Aptos" w:hAnsi="Aptos"/>
                <w:b w:val="0"/>
                <w:sz w:val="17"/>
              </w:rPr>
              <w:t>Experience &amp; retention</w:t>
            </w:r>
          </w:p>
        </w:tc>
        <w:tc>
          <w:tcPr>
            <w:tcW w:type="dxa" w:w="5040"/>
            <w:vAlign w:val="center"/>
            <w:shd w:fill="F3F6FA"/>
          </w:tcPr>
          <w:p>
            <w:r/>
            <w:r>
              <w:rPr>
                <w:rFonts w:ascii="Aptos" w:hAnsi="Aptos"/>
                <w:b w:val="0"/>
                <w:sz w:val="17"/>
              </w:rPr>
              <w:t>Measures clinician experience, culture, support and actual return behaviour to identify modifiable rural workforce barriers.</w:t>
            </w:r>
          </w:p>
        </w:tc>
      </w:tr>
    </w:tbl>
    <w:p/>
    <w:p>
      <w:pPr>
        <w:pStyle w:val="Heading1"/>
      </w:pPr>
      <w:r>
        <w:t>The key governance principle</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2"/>
              </w:rPr>
              <w:t>Portable evidence is not portable clinical authority.</w:t>
            </w:r>
          </w:p>
        </w:tc>
      </w:tr>
    </w:tbl>
    <w:p/>
    <w:p>
      <w:r>
        <w:t>The proposal does not create a national licence to practise in any hospital. Ahpra registration, credential evidence and health-service scope remain distinct. A receiving organisation continues to make its own credentialling and scope decision. The innovation is that it can see trustworthy evidence and its verification history rather than requiring the practitioner and previous organisation to reconstruct the same evidence package.</w:t>
      </w:r>
    </w:p>
    <w:p>
      <w:r>
        <w:t>This model supports the direction of contemporary national credentialling guidance while preserving health-service accountability.</w:t>
      </w:r>
    </w:p>
    <w:p>
      <w:pPr>
        <w:pStyle w:val="Heading1"/>
      </w:pPr>
      <w:r>
        <w:t>Why now</w:t>
      </w:r>
    </w:p>
    <w:p>
      <w:r>
        <w:t>The national digital foundations required to make this credible are maturing. The Health Connect Australia Provider Directory is being developed as a trusted national provider directory, bringing together provider, organisation and service information from existing authoritative systems. It is designed around modern FHIR-based interoperability and will incorporate more than 970,000 providers from the Healthcare Identifiers Service.</w:t>
      </w:r>
    </w:p>
    <w:p>
      <w:r>
        <w:t>Provider Connect Australia already demonstrates the principle of maintaining information once and sharing it with authorised business partners. Practitioner self-service uses PRODA and HPI-I and supports practitioner credential documents. The proposed Passport should therefore complement and extend national infrastructure rather than duplicate it.</w:t>
      </w:r>
    </w:p>
    <w:p>
      <w:r>
        <w:t>The 2026-2031 National Health Reform Agreement also places explicit emphasis on shared stewardship and planning for the future health workforce. A workforce mobility demonstrator is directly aligned with that objective.</w:t>
      </w:r>
    </w:p>
    <w:p>
      <w:pPr>
        <w:pStyle w:val="Heading1"/>
      </w:pPr>
      <w:r>
        <w:t>Why South Australia</w:t>
      </w:r>
    </w:p>
    <w:p>
      <w:pPr>
        <w:pStyle w:val="ListBullet"/>
      </w:pPr>
      <w:r>
        <w:t>A single state can test interoperability across multiple autonomous Local Health Networks while operating within one public health system.</w:t>
      </w:r>
    </w:p>
    <w:p>
      <w:pPr>
        <w:pStyle w:val="ListBullet"/>
      </w:pPr>
      <w:r>
        <w:t>Regional and rural services provide a genuine workforce-mobility use case rather than an artificial technology demonstration.</w:t>
      </w:r>
    </w:p>
    <w:p>
      <w:pPr>
        <w:pStyle w:val="ListBullet"/>
      </w:pPr>
      <w:r>
        <w:t>The proposed YNLHN pilot can begin with doctors already credentialled to work, limiting clinical governance risk.</w:t>
      </w:r>
    </w:p>
    <w:p>
      <w:pPr>
        <w:pStyle w:val="ListBullet"/>
      </w:pPr>
      <w:r>
        <w:t>A second-LHN phase can then test the crucial question: can verified evidence be reused while the receiving LHN retains independent scope authority?</w:t>
      </w:r>
    </w:p>
    <w:p>
      <w:pPr>
        <w:pStyle w:val="ListBullet"/>
      </w:pPr>
      <w:r>
        <w:t>South Australia can generate implementation evidence before any national policy or technology commitment is sought.</w:t>
      </w:r>
    </w:p>
    <w:p>
      <w:pPr>
        <w:pStyle w:val="Heading1"/>
      </w:pPr>
      <w:r>
        <w:t>Proposed national demonstrator pathway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Phase</w:t>
            </w:r>
          </w:p>
        </w:tc>
        <w:tc>
          <w:tcPr>
            <w:tcW w:type="dxa" w:w="3360"/>
            <w:vAlign w:val="center"/>
            <w:shd w:fill="17365D"/>
          </w:tcPr>
          <w:p>
            <w:r/>
            <w:r>
              <w:rPr>
                <w:rFonts w:ascii="Aptos" w:hAnsi="Aptos"/>
                <w:b/>
                <w:color w:val="FFFFFF"/>
                <w:sz w:val="17"/>
              </w:rPr>
              <w:t>Demonstrator question</w:t>
            </w:r>
          </w:p>
        </w:tc>
        <w:tc>
          <w:tcPr>
            <w:tcW w:type="dxa" w:w="3360"/>
            <w:vAlign w:val="center"/>
            <w:shd w:fill="17365D"/>
          </w:tcPr>
          <w:p>
            <w:r/>
            <w:r>
              <w:rPr>
                <w:rFonts w:ascii="Aptos" w:hAnsi="Aptos"/>
                <w:b/>
                <w:color w:val="FFFFFF"/>
                <w:sz w:val="17"/>
              </w:rPr>
              <w:t>Outcome</w:t>
            </w:r>
          </w:p>
        </w:tc>
      </w:tr>
      <w:tr>
        <w:tc>
          <w:tcPr>
            <w:tcW w:type="dxa" w:w="3360"/>
            <w:vAlign w:val="center"/>
          </w:tcPr>
          <w:p>
            <w:r/>
            <w:r>
              <w:rPr>
                <w:rFonts w:ascii="Aptos" w:hAnsi="Aptos"/>
                <w:b w:val="0"/>
                <w:sz w:val="17"/>
              </w:rPr>
              <w:t>1. YNLHN</w:t>
            </w:r>
          </w:p>
        </w:tc>
        <w:tc>
          <w:tcPr>
            <w:tcW w:type="dxa" w:w="3360"/>
            <w:vAlign w:val="center"/>
          </w:tcPr>
          <w:p>
            <w:r/>
            <w:r>
              <w:rPr>
                <w:rFonts w:ascii="Aptos" w:hAnsi="Aptos"/>
                <w:b w:val="0"/>
                <w:sz w:val="17"/>
              </w:rPr>
              <w:t>Will doctors use a free credential wallet and does integrated workforce workflow reduce friction?</w:t>
            </w:r>
          </w:p>
        </w:tc>
        <w:tc>
          <w:tcPr>
            <w:tcW w:type="dxa" w:w="3360"/>
            <w:vAlign w:val="center"/>
          </w:tcPr>
          <w:p>
            <w:r/>
            <w:r>
              <w:rPr>
                <w:rFonts w:ascii="Aptos" w:hAnsi="Aptos"/>
                <w:b w:val="0"/>
                <w:sz w:val="17"/>
              </w:rPr>
              <w:t>Proof of practitioner utility and operational value</w:t>
            </w:r>
          </w:p>
        </w:tc>
      </w:tr>
      <w:tr>
        <w:tc>
          <w:tcPr>
            <w:tcW w:type="dxa" w:w="3360"/>
            <w:vAlign w:val="center"/>
            <w:shd w:fill="F3F6FA"/>
          </w:tcPr>
          <w:p>
            <w:r/>
            <w:r>
              <w:rPr>
                <w:rFonts w:ascii="Aptos" w:hAnsi="Aptos"/>
                <w:b w:val="0"/>
                <w:sz w:val="17"/>
              </w:rPr>
              <w:t>2. Second SA LHN</w:t>
            </w:r>
          </w:p>
        </w:tc>
        <w:tc>
          <w:tcPr>
            <w:tcW w:type="dxa" w:w="3360"/>
            <w:vAlign w:val="center"/>
            <w:shd w:fill="F3F6FA"/>
          </w:tcPr>
          <w:p>
            <w:r/>
            <w:r>
              <w:rPr>
                <w:rFonts w:ascii="Aptos" w:hAnsi="Aptos"/>
                <w:b w:val="0"/>
                <w:sz w:val="17"/>
              </w:rPr>
              <w:t>Can verified credential evidence be reused safely across organisational boundaries?</w:t>
            </w:r>
          </w:p>
        </w:tc>
        <w:tc>
          <w:tcPr>
            <w:tcW w:type="dxa" w:w="3360"/>
            <w:vAlign w:val="center"/>
            <w:shd w:fill="F3F6FA"/>
          </w:tcPr>
          <w:p>
            <w:r/>
            <w:r>
              <w:rPr>
                <w:rFonts w:ascii="Aptos" w:hAnsi="Aptos"/>
                <w:b w:val="0"/>
                <w:sz w:val="17"/>
              </w:rPr>
              <w:t>Proof of credential portability</w:t>
            </w:r>
          </w:p>
        </w:tc>
      </w:tr>
      <w:tr>
        <w:tc>
          <w:tcPr>
            <w:tcW w:type="dxa" w:w="3360"/>
            <w:vAlign w:val="center"/>
          </w:tcPr>
          <w:p>
            <w:r/>
            <w:r>
              <w:rPr>
                <w:rFonts w:ascii="Aptos" w:hAnsi="Aptos"/>
                <w:b w:val="0"/>
                <w:sz w:val="17"/>
              </w:rPr>
              <w:t>3. Statewide SA</w:t>
            </w:r>
          </w:p>
        </w:tc>
        <w:tc>
          <w:tcPr>
            <w:tcW w:type="dxa" w:w="3360"/>
            <w:vAlign w:val="center"/>
          </w:tcPr>
          <w:p>
            <w:r/>
            <w:r>
              <w:rPr>
                <w:rFonts w:ascii="Aptos" w:hAnsi="Aptos"/>
                <w:b w:val="0"/>
                <w:sz w:val="17"/>
              </w:rPr>
              <w:t>Can multiple health services and agencies operate through common standards while retaining local scope authority?</w:t>
            </w:r>
          </w:p>
        </w:tc>
        <w:tc>
          <w:tcPr>
            <w:tcW w:type="dxa" w:w="3360"/>
            <w:vAlign w:val="center"/>
          </w:tcPr>
          <w:p>
            <w:r/>
            <w:r>
              <w:rPr>
                <w:rFonts w:ascii="Aptos" w:hAnsi="Aptos"/>
                <w:b w:val="0"/>
                <w:sz w:val="17"/>
              </w:rPr>
              <w:t>Proof of jurisdiction-scale workforce exchange</w:t>
            </w:r>
          </w:p>
        </w:tc>
      </w:tr>
      <w:tr>
        <w:tc>
          <w:tcPr>
            <w:tcW w:type="dxa" w:w="3360"/>
            <w:vAlign w:val="center"/>
            <w:shd w:fill="F3F6FA"/>
          </w:tcPr>
          <w:p>
            <w:r/>
            <w:r>
              <w:rPr>
                <w:rFonts w:ascii="Aptos" w:hAnsi="Aptos"/>
                <w:b w:val="0"/>
                <w:sz w:val="17"/>
              </w:rPr>
              <w:t>4. Interstate demonstrator</w:t>
            </w:r>
          </w:p>
        </w:tc>
        <w:tc>
          <w:tcPr>
            <w:tcW w:type="dxa" w:w="3360"/>
            <w:vAlign w:val="center"/>
            <w:shd w:fill="F3F6FA"/>
          </w:tcPr>
          <w:p>
            <w:r/>
            <w:r>
              <w:rPr>
                <w:rFonts w:ascii="Aptos" w:hAnsi="Aptos"/>
                <w:b w:val="0"/>
                <w:sz w:val="17"/>
              </w:rPr>
              <w:t>Can the trust model work across jurisdictional policy boundaries?</w:t>
            </w:r>
          </w:p>
        </w:tc>
        <w:tc>
          <w:tcPr>
            <w:tcW w:type="dxa" w:w="3360"/>
            <w:vAlign w:val="center"/>
            <w:shd w:fill="F3F6FA"/>
          </w:tcPr>
          <w:p>
            <w:r/>
            <w:r>
              <w:rPr>
                <w:rFonts w:ascii="Aptos" w:hAnsi="Aptos"/>
                <w:b w:val="0"/>
                <w:sz w:val="17"/>
              </w:rPr>
              <w:t>Evidence for national standards</w:t>
            </w:r>
          </w:p>
        </w:tc>
      </w:tr>
      <w:tr>
        <w:tc>
          <w:tcPr>
            <w:tcW w:type="dxa" w:w="3360"/>
            <w:vAlign w:val="center"/>
          </w:tcPr>
          <w:p>
            <w:r/>
            <w:r>
              <w:rPr>
                <w:rFonts w:ascii="Aptos" w:hAnsi="Aptos"/>
                <w:b w:val="0"/>
                <w:sz w:val="17"/>
              </w:rPr>
              <w:t>5. National adoption</w:t>
            </w:r>
          </w:p>
        </w:tc>
        <w:tc>
          <w:tcPr>
            <w:tcW w:type="dxa" w:w="3360"/>
            <w:vAlign w:val="center"/>
          </w:tcPr>
          <w:p>
            <w:r/>
            <w:r>
              <w:rPr>
                <w:rFonts w:ascii="Aptos" w:hAnsi="Aptos"/>
                <w:b w:val="0"/>
                <w:sz w:val="17"/>
              </w:rPr>
              <w:t>Which components should become common national infrastructure, standards or federated services?</w:t>
            </w:r>
          </w:p>
        </w:tc>
        <w:tc>
          <w:tcPr>
            <w:tcW w:type="dxa" w:w="3360"/>
            <w:vAlign w:val="center"/>
          </w:tcPr>
          <w:p>
            <w:r/>
            <w:r>
              <w:rPr>
                <w:rFonts w:ascii="Aptos" w:hAnsi="Aptos"/>
                <w:b w:val="0"/>
                <w:sz w:val="17"/>
              </w:rPr>
              <w:t>Scalable national model</w:t>
            </w:r>
          </w:p>
        </w:tc>
      </w:tr>
    </w:tbl>
    <w:p/>
    <w:p>
      <w:pPr>
        <w:pStyle w:val="Heading1"/>
      </w:pPr>
      <w:r>
        <w:t>What we are asking of the Commonwealth</w:t>
      </w:r>
    </w:p>
    <w:p>
      <w:r>
        <w:t>At this stage, the proposal is for partnership rather than a commitment to a national platform.</w:t>
      </w:r>
    </w:p>
    <w:p>
      <w:pPr>
        <w:pStyle w:val="ListBullet"/>
      </w:pPr>
      <w:r>
        <w:t>Recognise South Australia as a potential national demonstrator for medical credential portability and workforce mobility.</w:t>
      </w:r>
    </w:p>
    <w:p>
      <w:pPr>
        <w:pStyle w:val="ListBullet"/>
      </w:pPr>
      <w:r>
        <w:t>Nominate Commonwealth health workforce and digital health representatives to participate in a national reference group alongside South Australia.</w:t>
      </w:r>
    </w:p>
    <w:p>
      <w:pPr>
        <w:pStyle w:val="ListBullet"/>
      </w:pPr>
      <w:r>
        <w:t>Support technical engagement with the Australian Digital Health Agency to align the demonstrator with HPI-I/HPI-O, Provider Connect Australia, the Health Connect Australia Provider Directory and national interoperability standards.</w:t>
      </w:r>
    </w:p>
    <w:p>
      <w:pPr>
        <w:pStyle w:val="ListBullet"/>
      </w:pPr>
      <w:r>
        <w:t>Explore co-investment in evaluation, interoperability and the cross-jurisdiction demonstrator once the South Australian proof-of-value is established.</w:t>
      </w:r>
    </w:p>
    <w:p>
      <w:pPr>
        <w:pStyle w:val="ListBullet"/>
      </w:pPr>
      <w:r>
        <w:t>Use the demonstrator to inform future national policy on reusable credential assurance and health workforce mobility.</w:t>
      </w:r>
    </w:p>
    <w:p>
      <w:pPr>
        <w:pStyle w:val="Heading1"/>
      </w:pPr>
      <w:r>
        <w:t>What we are not asking for</w:t>
      </w:r>
    </w:p>
    <w:p>
      <w:pPr>
        <w:pStyle w:val="ListBullet"/>
      </w:pPr>
      <w:r>
        <w:t>A national procurement of a new workforce platform now.</w:t>
      </w:r>
    </w:p>
    <w:p>
      <w:pPr>
        <w:pStyle w:val="ListBullet"/>
      </w:pPr>
      <w:r>
        <w:t>Removal of state, territory or health-service credentialling authority.</w:t>
      </w:r>
    </w:p>
    <w:p>
      <w:pPr>
        <w:pStyle w:val="ListBullet"/>
      </w:pPr>
      <w:r>
        <w:t>Automatic national portability of scope of clinical practice.</w:t>
      </w:r>
    </w:p>
    <w:p>
      <w:pPr>
        <w:pStyle w:val="ListBullet"/>
      </w:pPr>
      <w:r>
        <w:t>Replacement of Ahpra, healthcare identifiers or existing national provider directories.</w:t>
      </w:r>
    </w:p>
    <w:p>
      <w:pPr>
        <w:pStyle w:val="ListBullet"/>
      </w:pPr>
      <w:r>
        <w:t>A national mandate before the model has been tested.</w:t>
      </w:r>
    </w:p>
    <w:p>
      <w:pPr>
        <w:pStyle w:val="ListBullet"/>
      </w:pPr>
      <w:r>
        <w:t>A commitment to eliminate medical locum agencies.</w:t>
      </w:r>
    </w:p>
    <w:p>
      <w:pPr>
        <w:pStyle w:val="Heading1"/>
      </w:pPr>
      <w:r>
        <w:t>Potential Commonwealth value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National priority</w:t>
            </w:r>
          </w:p>
        </w:tc>
        <w:tc>
          <w:tcPr>
            <w:tcW w:type="dxa" w:w="5040"/>
            <w:vAlign w:val="center"/>
            <w:shd w:fill="17365D"/>
          </w:tcPr>
          <w:p>
            <w:r/>
            <w:r>
              <w:rPr>
                <w:rFonts w:ascii="Aptos" w:hAnsi="Aptos"/>
                <w:b/>
                <w:color w:val="FFFFFF"/>
                <w:sz w:val="17"/>
              </w:rPr>
              <w:t>Potential contribution</w:t>
            </w:r>
          </w:p>
        </w:tc>
      </w:tr>
      <w:tr>
        <w:tc>
          <w:tcPr>
            <w:tcW w:type="dxa" w:w="5040"/>
            <w:vAlign w:val="center"/>
          </w:tcPr>
          <w:p>
            <w:r/>
            <w:r>
              <w:rPr>
                <w:rFonts w:ascii="Aptos" w:hAnsi="Aptos"/>
                <w:b w:val="0"/>
                <w:sz w:val="17"/>
              </w:rPr>
              <w:t>Rural access</w:t>
            </w:r>
          </w:p>
        </w:tc>
        <w:tc>
          <w:tcPr>
            <w:tcW w:type="dxa" w:w="5040"/>
            <w:vAlign w:val="center"/>
          </w:tcPr>
          <w:p>
            <w:r/>
            <w:r>
              <w:rPr>
                <w:rFonts w:ascii="Aptos" w:hAnsi="Aptos"/>
                <w:b w:val="0"/>
                <w:sz w:val="17"/>
              </w:rPr>
              <w:t>Reduce friction for clinicians willing to move between services and regions.</w:t>
            </w:r>
          </w:p>
        </w:tc>
      </w:tr>
      <w:tr>
        <w:tc>
          <w:tcPr>
            <w:tcW w:type="dxa" w:w="5040"/>
            <w:vAlign w:val="center"/>
            <w:shd w:fill="F3F6FA"/>
          </w:tcPr>
          <w:p>
            <w:r/>
            <w:r>
              <w:rPr>
                <w:rFonts w:ascii="Aptos" w:hAnsi="Aptos"/>
                <w:b w:val="0"/>
                <w:sz w:val="17"/>
              </w:rPr>
              <w:t>Workforce productivity</w:t>
            </w:r>
          </w:p>
        </w:tc>
        <w:tc>
          <w:tcPr>
            <w:tcW w:type="dxa" w:w="5040"/>
            <w:vAlign w:val="center"/>
            <w:shd w:fill="F3F6FA"/>
          </w:tcPr>
          <w:p>
            <w:r/>
            <w:r>
              <w:rPr>
                <w:rFonts w:ascii="Aptos" w:hAnsi="Aptos"/>
                <w:b w:val="0"/>
                <w:sz w:val="17"/>
              </w:rPr>
              <w:t>Reduce repeated administrative work by practitioners and health services.</w:t>
            </w:r>
          </w:p>
        </w:tc>
      </w:tr>
      <w:tr>
        <w:tc>
          <w:tcPr>
            <w:tcW w:type="dxa" w:w="5040"/>
            <w:vAlign w:val="center"/>
          </w:tcPr>
          <w:p>
            <w:r/>
            <w:r>
              <w:rPr>
                <w:rFonts w:ascii="Aptos" w:hAnsi="Aptos"/>
                <w:b w:val="0"/>
                <w:sz w:val="17"/>
              </w:rPr>
              <w:t>Workforce planning</w:t>
            </w:r>
          </w:p>
        </w:tc>
        <w:tc>
          <w:tcPr>
            <w:tcW w:type="dxa" w:w="5040"/>
            <w:vAlign w:val="center"/>
          </w:tcPr>
          <w:p>
            <w:r/>
            <w:r>
              <w:rPr>
                <w:rFonts w:ascii="Aptos" w:hAnsi="Aptos"/>
                <w:b w:val="0"/>
                <w:sz w:val="17"/>
              </w:rPr>
              <w:t>Generate structured demand, supply, mobility and return data.</w:t>
            </w:r>
          </w:p>
        </w:tc>
      </w:tr>
      <w:tr>
        <w:tc>
          <w:tcPr>
            <w:tcW w:type="dxa" w:w="5040"/>
            <w:vAlign w:val="center"/>
            <w:shd w:fill="F3F6FA"/>
          </w:tcPr>
          <w:p>
            <w:r/>
            <w:r>
              <w:rPr>
                <w:rFonts w:ascii="Aptos" w:hAnsi="Aptos"/>
                <w:b w:val="0"/>
                <w:sz w:val="17"/>
              </w:rPr>
              <w:t>Digital interoperability</w:t>
            </w:r>
          </w:p>
        </w:tc>
        <w:tc>
          <w:tcPr>
            <w:tcW w:type="dxa" w:w="5040"/>
            <w:vAlign w:val="center"/>
            <w:shd w:fill="F3F6FA"/>
          </w:tcPr>
          <w:p>
            <w:r/>
            <w:r>
              <w:rPr>
                <w:rFonts w:ascii="Aptos" w:hAnsi="Aptos"/>
                <w:b w:val="0"/>
                <w:sz w:val="17"/>
              </w:rPr>
              <w:t>Demonstrate a workforce use case built on national provider identity and FHIR-based infrastructure.</w:t>
            </w:r>
          </w:p>
        </w:tc>
      </w:tr>
      <w:tr>
        <w:tc>
          <w:tcPr>
            <w:tcW w:type="dxa" w:w="5040"/>
            <w:vAlign w:val="center"/>
          </w:tcPr>
          <w:p>
            <w:r/>
            <w:r>
              <w:rPr>
                <w:rFonts w:ascii="Aptos" w:hAnsi="Aptos"/>
                <w:b w:val="0"/>
                <w:sz w:val="17"/>
              </w:rPr>
              <w:t>Regulatory efficiency</w:t>
            </w:r>
          </w:p>
        </w:tc>
        <w:tc>
          <w:tcPr>
            <w:tcW w:type="dxa" w:w="5040"/>
            <w:vAlign w:val="center"/>
          </w:tcPr>
          <w:p>
            <w:r/>
            <w:r>
              <w:rPr>
                <w:rFonts w:ascii="Aptos" w:hAnsi="Aptos"/>
                <w:b w:val="0"/>
                <w:sz w:val="17"/>
              </w:rPr>
              <w:t>Reuse trusted verification while preserving receiving-organisation accountability.</w:t>
            </w:r>
          </w:p>
        </w:tc>
      </w:tr>
      <w:tr>
        <w:tc>
          <w:tcPr>
            <w:tcW w:type="dxa" w:w="5040"/>
            <w:vAlign w:val="center"/>
            <w:shd w:fill="F3F6FA"/>
          </w:tcPr>
          <w:p>
            <w:r/>
            <w:r>
              <w:rPr>
                <w:rFonts w:ascii="Aptos" w:hAnsi="Aptos"/>
                <w:b w:val="0"/>
                <w:sz w:val="17"/>
              </w:rPr>
              <w:t>System stewardship</w:t>
            </w:r>
          </w:p>
        </w:tc>
        <w:tc>
          <w:tcPr>
            <w:tcW w:type="dxa" w:w="5040"/>
            <w:vAlign w:val="center"/>
            <w:shd w:fill="F3F6FA"/>
          </w:tcPr>
          <w:p>
            <w:r/>
            <w:r>
              <w:rPr>
                <w:rFonts w:ascii="Aptos" w:hAnsi="Aptos"/>
                <w:b w:val="0"/>
                <w:sz w:val="17"/>
              </w:rPr>
              <w:t>Provide practical shared infrastructure across Commonwealth, state and health-service boundaries.</w:t>
            </w:r>
          </w:p>
        </w:tc>
      </w:tr>
      <w:tr>
        <w:tc>
          <w:tcPr>
            <w:tcW w:type="dxa" w:w="5040"/>
            <w:vAlign w:val="center"/>
          </w:tcPr>
          <w:p>
            <w:r/>
            <w:r>
              <w:rPr>
                <w:rFonts w:ascii="Aptos" w:hAnsi="Aptos"/>
                <w:b w:val="0"/>
                <w:sz w:val="17"/>
              </w:rPr>
              <w:t>Clinician experience</w:t>
            </w:r>
          </w:p>
        </w:tc>
        <w:tc>
          <w:tcPr>
            <w:tcW w:type="dxa" w:w="5040"/>
            <w:vAlign w:val="center"/>
          </w:tcPr>
          <w:p>
            <w:r/>
            <w:r>
              <w:rPr>
                <w:rFonts w:ascii="Aptos" w:hAnsi="Aptos"/>
                <w:b w:val="0"/>
                <w:sz w:val="17"/>
              </w:rPr>
              <w:t>Give mobile clinicians a reusable professional asset and a mechanism to identify barriers to return.</w:t>
            </w:r>
          </w:p>
        </w:tc>
      </w:tr>
    </w:tbl>
    <w:p/>
    <w:p>
      <w:pPr>
        <w:pStyle w:val="Heading1"/>
      </w:pPr>
      <w:r>
        <w:t>A rural workforce intelligence opportunity</w:t>
      </w:r>
    </w:p>
    <w:p>
      <w:r>
        <w:t>The Exchange can provide information that current vacancy and payroll datasets cannot readily answer: whether a doctor was eligible for a rural role, whether they saw the opportunity, whether the rate and travel conditions were acceptable, whether they worked the shift, how they experienced the site and whether they subsequently returned.</w:t>
      </w:r>
    </w:p>
    <w:p>
      <w:r>
        <w:t>Over time, this can distinguish workforce problems caused by absolute supply from those caused by credential delay, short lead time, price, accommodation, orientation, clinical support or workplace culture. That creates a stronger evidence base for rural workforce investment.</w:t>
      </w:r>
    </w:p>
    <w:p>
      <w:pPr>
        <w:pStyle w:val="Heading1"/>
      </w:pPr>
      <w:r>
        <w:t>National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Existing national foundation</w:t>
            </w:r>
          </w:p>
        </w:tc>
        <w:tc>
          <w:tcPr>
            <w:tcW w:type="dxa" w:w="5040"/>
            <w:vAlign w:val="center"/>
            <w:shd w:fill="17365D"/>
          </w:tcPr>
          <w:p>
            <w:r/>
            <w:r>
              <w:rPr>
                <w:rFonts w:ascii="Aptos" w:hAnsi="Aptos"/>
                <w:b/>
                <w:color w:val="FFFFFF"/>
                <w:sz w:val="17"/>
              </w:rPr>
              <w:t>Demonstrator adds</w:t>
            </w:r>
          </w:p>
        </w:tc>
      </w:tr>
      <w:tr>
        <w:tc>
          <w:tcPr>
            <w:tcW w:type="dxa" w:w="5040"/>
            <w:vAlign w:val="center"/>
          </w:tcPr>
          <w:p>
            <w:r/>
            <w:r>
              <w:rPr>
                <w:rFonts w:ascii="Aptos" w:hAnsi="Aptos"/>
                <w:b w:val="0"/>
                <w:sz w:val="17"/>
              </w:rPr>
              <w:t>Ahpra registration</w:t>
            </w:r>
          </w:p>
        </w:tc>
        <w:tc>
          <w:tcPr>
            <w:tcW w:type="dxa" w:w="5040"/>
            <w:vAlign w:val="center"/>
          </w:tcPr>
          <w:p>
            <w:r/>
            <w:r>
              <w:rPr>
                <w:rFonts w:ascii="Aptos" w:hAnsi="Aptos"/>
                <w:b w:val="0"/>
                <w:sz w:val="17"/>
              </w:rPr>
              <w:t>Structured workforce credential evidence beyond registration</w:t>
            </w:r>
          </w:p>
        </w:tc>
      </w:tr>
      <w:tr>
        <w:tc>
          <w:tcPr>
            <w:tcW w:type="dxa" w:w="5040"/>
            <w:vAlign w:val="center"/>
            <w:shd w:fill="F3F6FA"/>
          </w:tcPr>
          <w:p>
            <w:r/>
            <w:r>
              <w:rPr>
                <w:rFonts w:ascii="Aptos" w:hAnsi="Aptos"/>
                <w:b w:val="0"/>
                <w:sz w:val="17"/>
              </w:rPr>
              <w:t>HPI-I / HPI-O</w:t>
            </w:r>
          </w:p>
        </w:tc>
        <w:tc>
          <w:tcPr>
            <w:tcW w:type="dxa" w:w="5040"/>
            <w:vAlign w:val="center"/>
            <w:shd w:fill="F3F6FA"/>
          </w:tcPr>
          <w:p>
            <w:r/>
            <w:r>
              <w:rPr>
                <w:rFonts w:ascii="Aptos" w:hAnsi="Aptos"/>
                <w:b w:val="0"/>
                <w:sz w:val="17"/>
              </w:rPr>
              <w:t>Credential and organisation linkage using national identifiers</w:t>
            </w:r>
          </w:p>
        </w:tc>
      </w:tr>
      <w:tr>
        <w:tc>
          <w:tcPr>
            <w:tcW w:type="dxa" w:w="5040"/>
            <w:vAlign w:val="center"/>
          </w:tcPr>
          <w:p>
            <w:r/>
            <w:r>
              <w:rPr>
                <w:rFonts w:ascii="Aptos" w:hAnsi="Aptos"/>
                <w:b w:val="0"/>
                <w:sz w:val="17"/>
              </w:rPr>
              <w:t>Provider Connect Australia</w:t>
            </w:r>
          </w:p>
        </w:tc>
        <w:tc>
          <w:tcPr>
            <w:tcW w:type="dxa" w:w="5040"/>
            <w:vAlign w:val="center"/>
          </w:tcPr>
          <w:p>
            <w:r/>
            <w:r>
              <w:rPr>
                <w:rFonts w:ascii="Aptos" w:hAnsi="Aptos"/>
                <w:b w:val="0"/>
                <w:sz w:val="17"/>
              </w:rPr>
              <w:t>Workforce-specific credential assurance and organisation scope</w:t>
            </w:r>
          </w:p>
        </w:tc>
      </w:tr>
      <w:tr>
        <w:tc>
          <w:tcPr>
            <w:tcW w:type="dxa" w:w="5040"/>
            <w:vAlign w:val="center"/>
            <w:shd w:fill="F3F6FA"/>
          </w:tcPr>
          <w:p>
            <w:r/>
            <w:r>
              <w:rPr>
                <w:rFonts w:ascii="Aptos" w:hAnsi="Aptos"/>
                <w:b w:val="0"/>
                <w:sz w:val="17"/>
              </w:rPr>
              <w:t>Health Connect Australia Provider Directory</w:t>
            </w:r>
          </w:p>
        </w:tc>
        <w:tc>
          <w:tcPr>
            <w:tcW w:type="dxa" w:w="5040"/>
            <w:vAlign w:val="center"/>
            <w:shd w:fill="F3F6FA"/>
          </w:tcPr>
          <w:p>
            <w:r/>
            <w:r>
              <w:rPr>
                <w:rFonts w:ascii="Aptos" w:hAnsi="Aptos"/>
                <w:b w:val="0"/>
                <w:sz w:val="17"/>
              </w:rPr>
              <w:t>Eligibility and mobilisation against real vacancies</w:t>
            </w:r>
          </w:p>
        </w:tc>
      </w:tr>
      <w:tr>
        <w:tc>
          <w:tcPr>
            <w:tcW w:type="dxa" w:w="5040"/>
            <w:vAlign w:val="center"/>
          </w:tcPr>
          <w:p>
            <w:r/>
            <w:r>
              <w:rPr>
                <w:rFonts w:ascii="Aptos" w:hAnsi="Aptos"/>
                <w:b w:val="0"/>
                <w:sz w:val="17"/>
              </w:rPr>
              <w:t>FHIR interoperability</w:t>
            </w:r>
          </w:p>
        </w:tc>
        <w:tc>
          <w:tcPr>
            <w:tcW w:type="dxa" w:w="5040"/>
            <w:vAlign w:val="center"/>
          </w:tcPr>
          <w:p>
            <w:r/>
            <w:r>
              <w:rPr>
                <w:rFonts w:ascii="Aptos" w:hAnsi="Aptos"/>
                <w:b w:val="0"/>
                <w:sz w:val="17"/>
              </w:rPr>
              <w:t>Workforce, credential, verification and scope implementation patterns</w:t>
            </w:r>
          </w:p>
        </w:tc>
      </w:tr>
      <w:tr>
        <w:tc>
          <w:tcPr>
            <w:tcW w:type="dxa" w:w="5040"/>
            <w:vAlign w:val="center"/>
            <w:shd w:fill="F3F6FA"/>
          </w:tcPr>
          <w:p>
            <w:r/>
            <w:r>
              <w:rPr>
                <w:rFonts w:ascii="Aptos" w:hAnsi="Aptos"/>
                <w:b w:val="0"/>
                <w:sz w:val="17"/>
              </w:rPr>
              <w:t>National workforce policy</w:t>
            </w:r>
          </w:p>
        </w:tc>
        <w:tc>
          <w:tcPr>
            <w:tcW w:type="dxa" w:w="5040"/>
            <w:vAlign w:val="center"/>
            <w:shd w:fill="F3F6FA"/>
          </w:tcPr>
          <w:p>
            <w:r/>
            <w:r>
              <w:rPr>
                <w:rFonts w:ascii="Aptos" w:hAnsi="Aptos"/>
                <w:b w:val="0"/>
                <w:sz w:val="17"/>
              </w:rPr>
              <w:t>Observed mobility, demand and retention data</w:t>
            </w:r>
          </w:p>
        </w:tc>
      </w:tr>
    </w:tbl>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2"/>
              </w:rPr>
              <w:t>The preferred national end-state is federated: authoritative national identity and provider data, reusable credential assurance and health-service-owned scope decisions connected through common standards.</w:t>
            </w:r>
          </w:p>
        </w:tc>
      </w:tr>
    </w:tbl>
    <w:p/>
    <w:p>
      <w:pPr>
        <w:pStyle w:val="Heading1"/>
      </w:pPr>
      <w:r>
        <w:t>Evaluation before scale</w:t>
      </w:r>
    </w:p>
    <w:p>
      <w:r>
        <w:t>The demonstrator would be explicitly evaluated before any recommendation for national scale. Measures would include practitioner adoption, credential reuse, time to credential decision, administrative effort, vacancy fill, agency cost and performance, rural response, clinician experience, eligible return, safety events and privacy or cyber issues.</w:t>
      </w:r>
    </w:p>
    <w:p>
      <w:r>
        <w:t>Financial benefits would be separated into cash-releasing savings, cost avoidance and productivity benefit. National expansion would proceed only if the evidence demonstrates that reduced friction does not weaken credentialling or clinical governance.</w:t>
      </w:r>
    </w:p>
    <w:p>
      <w:pPr>
        <w:pStyle w:val="Heading1"/>
      </w:pPr>
      <w:r>
        <w:t>Indicative partnership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Partner</w:t>
            </w:r>
          </w:p>
        </w:tc>
        <w:tc>
          <w:tcPr>
            <w:tcW w:type="dxa" w:w="5040"/>
            <w:vAlign w:val="center"/>
            <w:shd w:fill="17365D"/>
          </w:tcPr>
          <w:p>
            <w:r/>
            <w:r>
              <w:rPr>
                <w:rFonts w:ascii="Aptos" w:hAnsi="Aptos"/>
                <w:b/>
                <w:color w:val="FFFFFF"/>
                <w:sz w:val="17"/>
              </w:rPr>
              <w:t>Potential role</w:t>
            </w:r>
          </w:p>
        </w:tc>
      </w:tr>
      <w:tr>
        <w:tc>
          <w:tcPr>
            <w:tcW w:type="dxa" w:w="5040"/>
            <w:vAlign w:val="center"/>
          </w:tcPr>
          <w:p>
            <w:r/>
            <w:r>
              <w:rPr>
                <w:rFonts w:ascii="Aptos" w:hAnsi="Aptos"/>
                <w:b w:val="0"/>
                <w:sz w:val="17"/>
              </w:rPr>
              <w:t>South Australia / SA Health</w:t>
            </w:r>
          </w:p>
        </w:tc>
        <w:tc>
          <w:tcPr>
            <w:tcW w:type="dxa" w:w="5040"/>
            <w:vAlign w:val="center"/>
          </w:tcPr>
          <w:p>
            <w:r/>
            <w:r>
              <w:rPr>
                <w:rFonts w:ascii="Aptos" w:hAnsi="Aptos"/>
                <w:b w:val="0"/>
                <w:sz w:val="17"/>
              </w:rPr>
              <w:t>Lead demonstrator, operational environment, state governance and evaluation data</w:t>
            </w:r>
          </w:p>
        </w:tc>
      </w:tr>
      <w:tr>
        <w:tc>
          <w:tcPr>
            <w:tcW w:type="dxa" w:w="5040"/>
            <w:vAlign w:val="center"/>
            <w:shd w:fill="F3F6FA"/>
          </w:tcPr>
          <w:p>
            <w:r/>
            <w:r>
              <w:rPr>
                <w:rFonts w:ascii="Aptos" w:hAnsi="Aptos"/>
                <w:b w:val="0"/>
                <w:sz w:val="17"/>
              </w:rPr>
              <w:t>YNLHN</w:t>
            </w:r>
          </w:p>
        </w:tc>
        <w:tc>
          <w:tcPr>
            <w:tcW w:type="dxa" w:w="5040"/>
            <w:vAlign w:val="center"/>
            <w:shd w:fill="F3F6FA"/>
          </w:tcPr>
          <w:p>
            <w:r/>
            <w:r>
              <w:rPr>
                <w:rFonts w:ascii="Aptos" w:hAnsi="Aptos"/>
                <w:b w:val="0"/>
                <w:sz w:val="17"/>
              </w:rPr>
              <w:t>Initial regional proof-of-value</w:t>
            </w:r>
          </w:p>
        </w:tc>
      </w:tr>
      <w:tr>
        <w:tc>
          <w:tcPr>
            <w:tcW w:type="dxa" w:w="5040"/>
            <w:vAlign w:val="center"/>
          </w:tcPr>
          <w:p>
            <w:r/>
            <w:r>
              <w:rPr>
                <w:rFonts w:ascii="Aptos" w:hAnsi="Aptos"/>
                <w:b w:val="0"/>
                <w:sz w:val="17"/>
              </w:rPr>
              <w:t>Second SA LHN</w:t>
            </w:r>
          </w:p>
        </w:tc>
        <w:tc>
          <w:tcPr>
            <w:tcW w:type="dxa" w:w="5040"/>
            <w:vAlign w:val="center"/>
          </w:tcPr>
          <w:p>
            <w:r/>
            <w:r>
              <w:rPr>
                <w:rFonts w:ascii="Aptos" w:hAnsi="Aptos"/>
                <w:b w:val="0"/>
                <w:sz w:val="17"/>
              </w:rPr>
              <w:t>Cross-organisation portability test</w:t>
            </w:r>
          </w:p>
        </w:tc>
      </w:tr>
      <w:tr>
        <w:tc>
          <w:tcPr>
            <w:tcW w:type="dxa" w:w="5040"/>
            <w:vAlign w:val="center"/>
            <w:shd w:fill="F3F6FA"/>
          </w:tcPr>
          <w:p>
            <w:r/>
            <w:r>
              <w:rPr>
                <w:rFonts w:ascii="Aptos" w:hAnsi="Aptos"/>
                <w:b w:val="0"/>
                <w:sz w:val="17"/>
              </w:rPr>
              <w:t>Australian Government Department of Health, Disability and Ageing</w:t>
            </w:r>
          </w:p>
        </w:tc>
        <w:tc>
          <w:tcPr>
            <w:tcW w:type="dxa" w:w="5040"/>
            <w:vAlign w:val="center"/>
            <w:shd w:fill="F3F6FA"/>
          </w:tcPr>
          <w:p>
            <w:r/>
            <w:r>
              <w:rPr>
                <w:rFonts w:ascii="Aptos" w:hAnsi="Aptos"/>
                <w:b w:val="0"/>
                <w:sz w:val="17"/>
              </w:rPr>
              <w:t>Health workforce policy, national reform alignment and potential evaluation/co-investment</w:t>
            </w:r>
          </w:p>
        </w:tc>
      </w:tr>
      <w:tr>
        <w:tc>
          <w:tcPr>
            <w:tcW w:type="dxa" w:w="5040"/>
            <w:vAlign w:val="center"/>
          </w:tcPr>
          <w:p>
            <w:r/>
            <w:r>
              <w:rPr>
                <w:rFonts w:ascii="Aptos" w:hAnsi="Aptos"/>
                <w:b w:val="0"/>
                <w:sz w:val="17"/>
              </w:rPr>
              <w:t>Australian Digital Health Agency</w:t>
            </w:r>
          </w:p>
        </w:tc>
        <w:tc>
          <w:tcPr>
            <w:tcW w:type="dxa" w:w="5040"/>
            <w:vAlign w:val="center"/>
          </w:tcPr>
          <w:p>
            <w:r/>
            <w:r>
              <w:rPr>
                <w:rFonts w:ascii="Aptos" w:hAnsi="Aptos"/>
                <w:b w:val="0"/>
                <w:sz w:val="17"/>
              </w:rPr>
              <w:t>Identity, directory, interoperability and national architecture alignment</w:t>
            </w:r>
          </w:p>
        </w:tc>
      </w:tr>
      <w:tr>
        <w:tc>
          <w:tcPr>
            <w:tcW w:type="dxa" w:w="5040"/>
            <w:vAlign w:val="center"/>
            <w:shd w:fill="F3F6FA"/>
          </w:tcPr>
          <w:p>
            <w:r/>
            <w:r>
              <w:rPr>
                <w:rFonts w:ascii="Aptos" w:hAnsi="Aptos"/>
                <w:b w:val="0"/>
                <w:sz w:val="17"/>
              </w:rPr>
              <w:t>Other states/territories</w:t>
            </w:r>
          </w:p>
        </w:tc>
        <w:tc>
          <w:tcPr>
            <w:tcW w:type="dxa" w:w="5040"/>
            <w:vAlign w:val="center"/>
            <w:shd w:fill="F3F6FA"/>
          </w:tcPr>
          <w:p>
            <w:r/>
            <w:r>
              <w:rPr>
                <w:rFonts w:ascii="Aptos" w:hAnsi="Aptos"/>
                <w:b w:val="0"/>
                <w:sz w:val="17"/>
              </w:rPr>
              <w:t>Reference group and later cross-jurisdiction demonstrator</w:t>
            </w:r>
          </w:p>
        </w:tc>
      </w:tr>
      <w:tr>
        <w:tc>
          <w:tcPr>
            <w:tcW w:type="dxa" w:w="5040"/>
            <w:vAlign w:val="center"/>
          </w:tcPr>
          <w:p>
            <w:r/>
            <w:r>
              <w:rPr>
                <w:rFonts w:ascii="Aptos" w:hAnsi="Aptos"/>
                <w:b w:val="0"/>
                <w:sz w:val="17"/>
              </w:rPr>
              <w:t>Ahpra / National Boards</w:t>
            </w:r>
          </w:p>
        </w:tc>
        <w:tc>
          <w:tcPr>
            <w:tcW w:type="dxa" w:w="5040"/>
            <w:vAlign w:val="center"/>
          </w:tcPr>
          <w:p>
            <w:r/>
            <w:r>
              <w:rPr>
                <w:rFonts w:ascii="Aptos" w:hAnsi="Aptos"/>
                <w:b w:val="0"/>
                <w:sz w:val="17"/>
              </w:rPr>
              <w:t>Engagement on authoritative registration data and appropriate boundaries</w:t>
            </w:r>
          </w:p>
        </w:tc>
      </w:tr>
      <w:tr>
        <w:tc>
          <w:tcPr>
            <w:tcW w:type="dxa" w:w="5040"/>
            <w:vAlign w:val="center"/>
            <w:shd w:fill="F3F6FA"/>
          </w:tcPr>
          <w:p>
            <w:r/>
            <w:r>
              <w:rPr>
                <w:rFonts w:ascii="Aptos" w:hAnsi="Aptos"/>
                <w:b w:val="0"/>
                <w:sz w:val="17"/>
              </w:rPr>
              <w:t>Medical profession</w:t>
            </w:r>
          </w:p>
        </w:tc>
        <w:tc>
          <w:tcPr>
            <w:tcW w:type="dxa" w:w="5040"/>
            <w:vAlign w:val="center"/>
            <w:shd w:fill="F3F6FA"/>
          </w:tcPr>
          <w:p>
            <w:r/>
            <w:r>
              <w:rPr>
                <w:rFonts w:ascii="Aptos" w:hAnsi="Aptos"/>
                <w:b w:val="0"/>
                <w:sz w:val="17"/>
              </w:rPr>
              <w:t>Co-design, adoption, trust and evaluation</w:t>
            </w:r>
          </w:p>
        </w:tc>
      </w:tr>
    </w:tbl>
    <w:p/>
    <w:p>
      <w:pPr>
        <w:pStyle w:val="Heading1"/>
      </w:pPr>
      <w:r>
        <w:t>Indicative Commonwealth investment proposition</w:t>
      </w:r>
    </w:p>
    <w:p>
      <w:r>
        <w:t>No Commonwealth funding quantum is proposed until the YNLHN proof-of-value establishes delivery cost and measurable benefit. A later co-investment proposition could be deliberately limited to the components that create national public value rather than subsidising a state rostering system.</w:t>
      </w:r>
    </w:p>
    <w:p>
      <w:pPr>
        <w:pStyle w:val="ListBullet"/>
      </w:pPr>
      <w:r>
        <w:t>National interoperability and standards development</w:t>
      </w:r>
    </w:p>
    <w:p>
      <w:pPr>
        <w:pStyle w:val="ListBullet"/>
      </w:pPr>
      <w:r>
        <w:t>Cross-jurisdiction credential trust framework</w:t>
      </w:r>
    </w:p>
    <w:p>
      <w:pPr>
        <w:pStyle w:val="ListBullet"/>
      </w:pPr>
      <w:r>
        <w:t>Integration with national provider infrastructure</w:t>
      </w:r>
    </w:p>
    <w:p>
      <w:pPr>
        <w:pStyle w:val="ListBullet"/>
      </w:pPr>
      <w:r>
        <w:t>Independent evaluation</w:t>
      </w:r>
    </w:p>
    <w:p>
      <w:pPr>
        <w:pStyle w:val="ListBullet"/>
      </w:pPr>
      <w:r>
        <w:t>Rural workforce mobility demonstrator</w:t>
      </w:r>
    </w:p>
    <w:p>
      <w:pPr>
        <w:pStyle w:val="ListBullet"/>
      </w:pPr>
      <w:r>
        <w:t>Open implementation guidance and reusable national specifications</w:t>
      </w:r>
    </w:p>
    <w:p>
      <w:pPr>
        <w:pStyle w:val="Heading1"/>
      </w:pPr>
      <w:r>
        <w:t>Decision requested</w:t>
      </w:r>
    </w:p>
    <w:tbl>
      <w:tblPr>
        <w:tblStyle w:val="TableGrid"/>
        <w:tblW w:type="auto" w:w="0"/>
        <w:tblLook w:firstColumn="1" w:firstRow="1" w:lastColumn="0" w:lastRow="0" w:noHBand="0" w:noVBand="1" w:val="04A0"/>
      </w:tblPr>
      <w:tblGrid>
        <w:gridCol w:w="10080"/>
      </w:tblGrid>
      <w:tr>
        <w:tc>
          <w:tcPr>
            <w:tcW w:type="dxa" w:w="10080"/>
            <w:shd w:fill="EAF0F8"/>
          </w:tcPr>
          <w:p>
            <w:r/>
            <w:r>
              <w:rPr>
                <w:rFonts w:ascii="Aptos" w:hAnsi="Aptos"/>
                <w:b/>
                <w:color w:val="17365D"/>
                <w:sz w:val="22"/>
              </w:rPr>
              <w:t>Support a Commonwealth-South Australia partnership to test whether reusable credential assurance can make Australia's medical workforce more mobile without weakening local credentialling and scope governance.</w:t>
            </w:r>
          </w:p>
        </w:tc>
      </w:tr>
    </w:tbl>
    <w:p/>
    <w:p>
      <w:r>
        <w:t>The immediate next step would be a joint policy and technical workshop after the initial YNLHN pilot design is confirmed. The workshop would map the proposed demonstrator against Commonwealth workforce priorities, national digital health infrastructure and potential national interoperability requirements.</w:t>
      </w:r>
    </w:p>
    <w:p>
      <w:pPr>
        <w:pStyle w:val="Heading1"/>
      </w:pPr>
      <w:r>
        <w:t>Appendix: current national policy and digital context</w:t>
      </w:r>
    </w:p>
    <w:p>
      <w:r>
        <w:t>1. National Health Reform Agreement 2026-2031: shared stewardship includes planning for the future health workforce.</w:t>
      </w:r>
    </w:p>
    <w:p>
      <w:r>
        <w:t>2. Australian Government rural health workforce policy: approximately one in four Australians lives in a rural or regional area.</w:t>
      </w:r>
    </w:p>
    <w:p>
      <w:r>
        <w:t>3. Health Connect Australia Provider Directory: national trusted provider/service directory, with FHIR-based interfaces and more than 970,000 providers from the Healthcare Identifiers Service.</w:t>
      </w:r>
    </w:p>
    <w:p>
      <w:r>
        <w:t>4. Provider Connect Australia: supports maintain-once/share-many provider information and practitioner self-service using HPI-I/PRODA, including credential documents.</w:t>
      </w:r>
    </w:p>
    <w:p>
      <w:r>
        <w:t>5. Australian Commission on Safety and Quality in Health Care: 2026 credentialling and scope guidance provides the clinical governance context for the demonstrator.</w:t>
      </w:r>
    </w:p>
    <w:p>
      <w:pPr>
        <w:pStyle w:val="Heading1"/>
      </w:pPr>
      <w:r>
        <w:t>Version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rFonts w:ascii="Aptos" w:hAnsi="Aptos"/>
                <w:b/>
                <w:color w:val="FFFFFF"/>
                <w:sz w:val="17"/>
              </w:rPr>
              <w:t>Version</w:t>
            </w:r>
          </w:p>
        </w:tc>
        <w:tc>
          <w:tcPr>
            <w:tcW w:type="dxa" w:w="2520"/>
            <w:vAlign w:val="center"/>
            <w:shd w:fill="17365D"/>
          </w:tcPr>
          <w:p>
            <w:r/>
            <w:r>
              <w:rPr>
                <w:rFonts w:ascii="Aptos" w:hAnsi="Aptos"/>
                <w:b/>
                <w:color w:val="FFFFFF"/>
                <w:sz w:val="17"/>
              </w:rPr>
              <w:t>Date</w:t>
            </w:r>
          </w:p>
        </w:tc>
        <w:tc>
          <w:tcPr>
            <w:tcW w:type="dxa" w:w="2520"/>
            <w:vAlign w:val="center"/>
            <w:shd w:fill="17365D"/>
          </w:tcPr>
          <w:p>
            <w:r/>
            <w:r>
              <w:rPr>
                <w:rFonts w:ascii="Aptos" w:hAnsi="Aptos"/>
                <w:b/>
                <w:color w:val="FFFFFF"/>
                <w:sz w:val="17"/>
              </w:rPr>
              <w:t>Status</w:t>
            </w:r>
          </w:p>
        </w:tc>
        <w:tc>
          <w:tcPr>
            <w:tcW w:type="dxa" w:w="2520"/>
            <w:vAlign w:val="center"/>
            <w:shd w:fill="17365D"/>
          </w:tcPr>
          <w:p>
            <w:r/>
            <w:r>
              <w:rPr>
                <w:rFonts w:ascii="Aptos" w:hAnsi="Aptos"/>
                <w:b/>
                <w:color w:val="FFFFFF"/>
                <w:sz w:val="17"/>
              </w:rPr>
              <w:t>Change</w:t>
            </w:r>
          </w:p>
        </w:tc>
      </w:tr>
      <w:tr>
        <w:tc>
          <w:tcPr>
            <w:tcW w:type="dxa" w:w="2520"/>
            <w:vAlign w:val="center"/>
          </w:tcPr>
          <w:p>
            <w:r/>
            <w:r>
              <w:rPr>
                <w:rFonts w:ascii="Aptos" w:hAnsi="Aptos"/>
                <w:b w:val="0"/>
                <w:sz w:val="17"/>
              </w:rPr>
              <w:t>0.1</w:t>
            </w:r>
          </w:p>
        </w:tc>
        <w:tc>
          <w:tcPr>
            <w:tcW w:type="dxa" w:w="2520"/>
            <w:vAlign w:val="center"/>
          </w:tcPr>
          <w:p>
            <w:r/>
            <w:r>
              <w:rPr>
                <w:rFonts w:ascii="Aptos" w:hAnsi="Aptos"/>
                <w:b w:val="0"/>
                <w:sz w:val="17"/>
              </w:rPr>
              <w:t>26 September 2026</w:t>
            </w:r>
          </w:p>
        </w:tc>
        <w:tc>
          <w:tcPr>
            <w:tcW w:type="dxa" w:w="2520"/>
            <w:vAlign w:val="center"/>
          </w:tcPr>
          <w:p>
            <w:r/>
            <w:r>
              <w:rPr>
                <w:rFonts w:ascii="Aptos" w:hAnsi="Aptos"/>
                <w:b w:val="0"/>
                <w:sz w:val="17"/>
              </w:rPr>
              <w:t>Draft</w:t>
            </w:r>
          </w:p>
        </w:tc>
        <w:tc>
          <w:tcPr>
            <w:tcW w:type="dxa" w:w="2520"/>
            <w:vAlign w:val="center"/>
          </w:tcPr>
          <w:p>
            <w:r/>
            <w:r>
              <w:rPr>
                <w:rFonts w:ascii="Aptos" w:hAnsi="Aptos"/>
                <w:b w:val="0"/>
                <w:sz w:val="17"/>
              </w:rPr>
              <w:t>Initial Commonwealth partnership proposal following YNLHN pilot and SA Health statewide business-case development.</w:t>
            </w:r>
          </w:p>
        </w:tc>
      </w:tr>
    </w:tbl>
    <w:p/>
    <w:p>
      <w:r>
        <w:br w:type="page"/>
      </w:r>
    </w:p>
    <w:p>
      <w:pPr>
        <w:pStyle w:val="Heading1"/>
      </w:pPr>
      <w:r>
        <w:t>National opportunity map</w:t>
      </w:r>
    </w:p>
    <w:p>
      <w:r>
        <w:t>The national opportunity is broader than credential portability. A successful South Australian demonstrator could establish a reusable trust and mobilisation pattern that supports workforce productivity, rural access, emergency response and future multi-professional mobility while preserving jurisdictional and health-service authority.</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6"/>
              </w:rPr>
              <w:t>Opportunity</w:t>
            </w:r>
          </w:p>
        </w:tc>
        <w:tc>
          <w:tcPr>
            <w:tcW w:type="dxa" w:w="5040"/>
            <w:shd w:fill="17365D"/>
          </w:tcPr>
          <w:p>
            <w:r/>
            <w:r>
              <w:rPr>
                <w:b/>
                <w:color w:val="FFFFFF"/>
                <w:sz w:val="16"/>
              </w:rPr>
              <w:t>Strategic implication</w:t>
            </w:r>
          </w:p>
        </w:tc>
      </w:tr>
      <w:tr>
        <w:tc>
          <w:tcPr>
            <w:tcW w:type="dxa" w:w="5040"/>
          </w:tcPr>
          <w:p>
            <w:r>
              <w:rPr>
                <w:sz w:val="15"/>
              </w:rPr>
              <w:t>Workforce Trust Network</w:t>
            </w:r>
          </w:p>
        </w:tc>
        <w:tc>
          <w:tcPr>
            <w:tcW w:type="dxa" w:w="5040"/>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040"/>
            <w:shd w:fill="F4F7FA"/>
          </w:tcPr>
          <w:p>
            <w:r>
              <w:rPr>
                <w:sz w:val="15"/>
              </w:rPr>
              <w:t>Federated Scope of Practice Registry</w:t>
            </w:r>
          </w:p>
        </w:tc>
        <w:tc>
          <w:tcPr>
            <w:tcW w:type="dxa" w:w="5040"/>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040"/>
          </w:tcPr>
          <w:p>
            <w:r>
              <w:rPr>
                <w:sz w:val="15"/>
              </w:rPr>
              <w:t>Machine-enforceable scope</w:t>
            </w:r>
          </w:p>
        </w:tc>
        <w:tc>
          <w:tcPr>
            <w:tcW w:type="dxa" w:w="5040"/>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040"/>
            <w:shd w:fill="F4F7FA"/>
          </w:tcPr>
          <w:p>
            <w:r>
              <w:rPr>
                <w:sz w:val="15"/>
              </w:rPr>
              <w:t>Reusable onboarding passport</w:t>
            </w:r>
          </w:p>
        </w:tc>
        <w:tc>
          <w:tcPr>
            <w:tcW w:type="dxa" w:w="5040"/>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040"/>
          </w:tcPr>
          <w:p>
            <w:r>
              <w:rPr>
                <w:sz w:val="15"/>
              </w:rPr>
              <w:t>Workforce digital twin</w:t>
            </w:r>
          </w:p>
        </w:tc>
        <w:tc>
          <w:tcPr>
            <w:tcW w:type="dxa" w:w="5040"/>
          </w:tcPr>
          <w:p>
            <w:r>
              <w:rPr>
                <w:sz w:val="15"/>
              </w:rPr>
              <w:t>Combine structured vacancies, eligibility, scope, availability, preferences and sourcing data to show the real deployable workforce for a site, service, role and time period.</w:t>
            </w:r>
          </w:p>
        </w:tc>
      </w:tr>
      <w:tr>
        <w:tc>
          <w:tcPr>
            <w:tcW w:type="dxa" w:w="5040"/>
            <w:shd w:fill="F4F7FA"/>
          </w:tcPr>
          <w:p>
            <w:r>
              <w:rPr>
                <w:sz w:val="15"/>
              </w:rPr>
              <w:t>Predictive shortage management</w:t>
            </w:r>
          </w:p>
        </w:tc>
        <w:tc>
          <w:tcPr>
            <w:tcW w:type="dxa" w:w="5040"/>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040"/>
          </w:tcPr>
          <w:p>
            <w:r>
              <w:rPr>
                <w:sz w:val="15"/>
              </w:rPr>
              <w:t>Rural workforce laboratory</w:t>
            </w:r>
          </w:p>
        </w:tc>
        <w:tc>
          <w:tcPr>
            <w:tcW w:type="dxa" w:w="5040"/>
          </w:tcPr>
          <w:p>
            <w:r>
              <w:rPr>
                <w:sz w:val="15"/>
              </w:rPr>
              <w:t>Link clinician experience, culture, support, accommodation, workload, rates and actual return behaviour to identify modifiable drivers of rural attraction and retention and evaluate interventions.</w:t>
            </w:r>
          </w:p>
        </w:tc>
      </w:tr>
      <w:tr>
        <w:tc>
          <w:tcPr>
            <w:tcW w:type="dxa" w:w="5040"/>
            <w:shd w:fill="F4F7FA"/>
          </w:tcPr>
          <w:p>
            <w:r>
              <w:rPr>
                <w:sz w:val="15"/>
              </w:rPr>
              <w:t>Emergency workforce mobilisation</w:t>
            </w:r>
          </w:p>
        </w:tc>
        <w:tc>
          <w:tcPr>
            <w:tcW w:type="dxa" w:w="5040"/>
            <w:shd w:fill="F4F7FA"/>
          </w:tcPr>
          <w:p>
            <w:r>
              <w:rPr>
                <w:sz w:val="15"/>
              </w:rPr>
              <w:t>Provide a controlled mechanism to identify clinicians who are currently eligible, available and willing to deploy during surge, disaster, pandemic or sudden service failure.</w:t>
            </w:r>
          </w:p>
        </w:tc>
      </w:tr>
      <w:tr>
        <w:tc>
          <w:tcPr>
            <w:tcW w:type="dxa" w:w="5040"/>
          </w:tcPr>
          <w:p>
            <w:r>
              <w:rPr>
                <w:sz w:val="15"/>
              </w:rPr>
              <w:t>Multi-professional extensibility</w:t>
            </w:r>
          </w:p>
        </w:tc>
        <w:tc>
          <w:tcPr>
            <w:tcW w:type="dxa" w:w="5040"/>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040"/>
            <w:shd w:fill="F4F7FA"/>
          </w:tcPr>
          <w:p>
            <w:r>
              <w:rPr>
                <w:sz w:val="15"/>
              </w:rPr>
              <w:t>Longitudinal Clinical Professional Passport</w:t>
            </w:r>
          </w:p>
        </w:tc>
        <w:tc>
          <w:tcPr>
            <w:tcW w:type="dxa" w:w="5040"/>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6"/>
              </w:rPr>
              <w:t>Horizon</w:t>
            </w:r>
          </w:p>
        </w:tc>
        <w:tc>
          <w:tcPr>
            <w:tcW w:type="dxa" w:w="5040"/>
            <w:shd w:fill="17365D"/>
          </w:tcPr>
          <w:p>
            <w:r/>
            <w:r>
              <w:rPr>
                <w:b/>
                <w:color w:val="FFFFFF"/>
                <w:sz w:val="16"/>
              </w:rPr>
              <w:t>Position</w:t>
            </w:r>
          </w:p>
        </w:tc>
      </w:tr>
      <w:tr>
        <w:tc>
          <w:tcPr>
            <w:tcW w:type="dxa" w:w="5040"/>
          </w:tcPr>
          <w:p>
            <w:r>
              <w:rPr>
                <w:sz w:val="15"/>
              </w:rPr>
              <w:t>BUILD NOW</w:t>
            </w:r>
          </w:p>
        </w:tc>
        <w:tc>
          <w:tcPr>
            <w:tcW w:type="dxa" w:w="5040"/>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040"/>
            <w:shd w:fill="F4F7FA"/>
          </w:tcPr>
          <w:p>
            <w:r>
              <w:rPr>
                <w:sz w:val="15"/>
              </w:rPr>
              <w:t>ARCHITECT FOR</w:t>
            </w:r>
          </w:p>
        </w:tc>
        <w:tc>
          <w:tcPr>
            <w:tcW w:type="dxa" w:w="5040"/>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040"/>
          </w:tcPr>
          <w:p>
            <w:r>
              <w:rPr>
                <w:sz w:val="15"/>
              </w:rPr>
              <w:t>INVESTIGATE / PILOT LATER</w:t>
            </w:r>
          </w:p>
        </w:tc>
        <w:tc>
          <w:tcPr>
            <w:tcW w:type="dxa" w:w="5040"/>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040"/>
            <w:shd w:fill="F4F7FA"/>
          </w:tcPr>
          <w:p>
            <w:r>
              <w:rPr>
                <w:sz w:val="15"/>
              </w:rPr>
              <w:t>DELIBERATELY EXCLUDE FROM EARLY MVP</w:t>
            </w:r>
          </w:p>
        </w:tc>
        <w:tc>
          <w:tcPr>
            <w:tcW w:type="dxa" w:w="5040"/>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040"/>
        <w:gridCol w:w="5040"/>
      </w:tblGrid>
      <w:tr>
        <w:tc>
          <w:tcPr>
            <w:tcW w:type="dxa" w:w="5040"/>
            <w:shd w:fill="17365D"/>
          </w:tcPr>
          <w:p>
            <w:r/>
            <w:r>
              <w:rPr>
                <w:b/>
                <w:color w:val="FFFFFF"/>
                <w:sz w:val="16"/>
              </w:rPr>
              <w:t>Product layer</w:t>
            </w:r>
          </w:p>
        </w:tc>
        <w:tc>
          <w:tcPr>
            <w:tcW w:type="dxa" w:w="5040"/>
            <w:shd w:fill="17365D"/>
          </w:tcPr>
          <w:p>
            <w:r/>
            <w:r>
              <w:rPr>
                <w:b/>
                <w:color w:val="FFFFFF"/>
                <w:sz w:val="16"/>
              </w:rPr>
              <w:t>Core question</w:t>
            </w:r>
          </w:p>
        </w:tc>
      </w:tr>
      <w:tr>
        <w:tc>
          <w:tcPr>
            <w:tcW w:type="dxa" w:w="5040"/>
          </w:tcPr>
          <w:p>
            <w:r>
              <w:rPr>
                <w:sz w:val="15"/>
              </w:rPr>
              <w:t>Passport</w:t>
            </w:r>
          </w:p>
        </w:tc>
        <w:tc>
          <w:tcPr>
            <w:tcW w:type="dxa" w:w="5040"/>
          </w:tcPr>
          <w:p>
            <w:r>
              <w:rPr>
                <w:sz w:val="15"/>
              </w:rPr>
              <w:t>What can I prove about myself?</w:t>
            </w:r>
          </w:p>
        </w:tc>
      </w:tr>
      <w:tr>
        <w:tc>
          <w:tcPr>
            <w:tcW w:type="dxa" w:w="5040"/>
            <w:shd w:fill="F4F7FA"/>
          </w:tcPr>
          <w:p>
            <w:r>
              <w:rPr>
                <w:sz w:val="15"/>
              </w:rPr>
              <w:t>Scope</w:t>
            </w:r>
          </w:p>
        </w:tc>
        <w:tc>
          <w:tcPr>
            <w:tcW w:type="dxa" w:w="5040"/>
            <w:shd w:fill="F4F7FA"/>
          </w:tcPr>
          <w:p>
            <w:r>
              <w:rPr>
                <w:sz w:val="15"/>
              </w:rPr>
              <w:t>What has this health service authorised me to do?</w:t>
            </w:r>
          </w:p>
        </w:tc>
      </w:tr>
      <w:tr>
        <w:tc>
          <w:tcPr>
            <w:tcW w:type="dxa" w:w="5040"/>
          </w:tcPr>
          <w:p>
            <w:r>
              <w:rPr>
                <w:sz w:val="15"/>
              </w:rPr>
              <w:t>Exchange</w:t>
            </w:r>
          </w:p>
        </w:tc>
        <w:tc>
          <w:tcPr>
            <w:tcW w:type="dxa" w:w="5040"/>
          </w:tcPr>
          <w:p>
            <w:r>
              <w:rPr>
                <w:sz w:val="15"/>
              </w:rPr>
              <w:t>Where can I work and where am I needed?</w:t>
            </w:r>
          </w:p>
        </w:tc>
      </w:tr>
      <w:tr>
        <w:tc>
          <w:tcPr>
            <w:tcW w:type="dxa" w:w="5040"/>
            <w:shd w:fill="F4F7FA"/>
          </w:tcPr>
          <w:p>
            <w:r>
              <w:rPr>
                <w:sz w:val="15"/>
              </w:rPr>
              <w:t>Intelligence</w:t>
            </w:r>
          </w:p>
        </w:tc>
        <w:tc>
          <w:tcPr>
            <w:tcW w:type="dxa" w:w="5040"/>
            <w:shd w:fill="F4F7FA"/>
          </w:tcPr>
          <w:p>
            <w:r>
              <w:rPr>
                <w:sz w:val="15"/>
              </w:rPr>
              <w:t>What should the system change to put the right workforce in the right place?</w:t>
            </w:r>
          </w:p>
        </w:tc>
      </w:tr>
    </w:tbl>
    <w:p/>
    <w:p>
      <w:pPr>
        <w:pStyle w:val="Heading2"/>
      </w:pPr>
      <w:r>
        <w:t>Additional public-value proposition</w:t>
      </w:r>
    </w:p>
    <w:p>
      <w:r>
        <w:t>The resulting infrastructure could support a shift from retrospective workforce reporting to active workforce stewardship: understanding not simply how many clinicians exist, but who is currently authorised, deployable and willing to work in a particular service, and what modifiable factors influence whether they return.</w:t>
      </w:r>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4"/>
      </w:rPr>
      <w:t>Draft v0.2 | September 2026 | South Australia national demonstrator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4"/>
      </w:rPr>
      <w:t>National Medical Workforce Passport &amp; Mobility Infrastructure | Commonwealth Partnership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