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Information Requirements for a Conversational AI Agent Undertaking Preoperative Patient History</w:t>
      </w:r>
    </w:p>
    <w:p>
      <w:pPr>
        <w:jc w:val="center"/>
      </w:pPr>
      <w:r>
        <w:rPr>
          <w:b/>
          <w:sz w:val="28"/>
        </w:rPr>
        <w:t>Scoping Review Protocol and Requirements Specification</w:t>
      </w:r>
    </w:p>
    <w:p>
      <w:pPr>
        <w:jc w:val="center"/>
      </w:pPr>
      <w:r>
        <w:t>Working document | Version 0.1 | 26 September 2026</w:t>
      </w:r>
    </w:p>
    <w:p/>
    <w:p>
      <w:r>
        <w:rPr>
          <w:b/>
        </w:rPr>
        <w:t xml:space="preserve">Purpose. </w:t>
      </w:r>
      <w:r>
        <w:t>This document establishes a proposed scoping review methodology and translates the emerging evidence base into an initial clinical, conversational, safety and software requirements framework for a patient-facing AI agent that takes a preoperative history. The intended role is to collect, clarify, reconcile, structure and summarise patient-reported information for subsequent clinician review, not to replace clinician-led pre-anaesthesia assessment.</w:t>
      </w:r>
    </w:p>
    <w:p>
      <w:pPr>
        <w:pStyle w:val="Heading1"/>
      </w:pPr>
      <w:r>
        <w:t>1. Background and rationale</w:t>
      </w:r>
    </w:p>
    <w:p>
      <w:r>
        <w:t>Preoperative assessment requires a broad set of clinical, functional, medication, anaesthetic, psychosocial and patient-preference information. The published literature is heterogeneous: previous work has identified hundreds of candidate preoperative data items with limited agreement on a universal dataset. More recent reviews continue to show variation in how pre-anaesthesia assessment is organised and delivered.</w:t>
      </w:r>
    </w:p>
    <w:p>
      <w:r>
        <w:t>Conversational AI creates an opportunity to obtain this information dynamically rather than through a fixed questionnaire. However, emerging perioperative AI studies also demonstrate clinically important risks, particularly omission of significant information, unsupported assertions and reduced reliability as patient complexity increases. The design problem is therefore not simply whether an LLM can conduct a plausible interview, but how to ensure that mandatory information is reliably resolved, uncertainty is preserved, discrepancies are surfaced and clinicians remain responsible for assessment and decision-making.</w:t>
      </w:r>
    </w:p>
    <w:p>
      <w:r>
        <w:t>The proposed system should therefore be based on an evidence-derived clinical information model and deterministic completeness and safety rules, with an LLM used primarily for natural-language interaction.</w:t>
      </w:r>
    </w:p>
    <w:p>
      <w:pPr>
        <w:pStyle w:val="Heading1"/>
      </w:pPr>
      <w:r>
        <w:t>2. Review objectives</w:t>
      </w:r>
    </w:p>
    <w:p>
      <w:pPr>
        <w:pStyle w:val="Heading2"/>
      </w:pPr>
      <w:r>
        <w:t>2.1 Primary review question</w:t>
      </w:r>
    </w:p>
    <w:p>
      <w:r>
        <w:t>What patient-reported information should a conversational AI system systematically elicit to provide a safe, comprehensive and clinically useful preoperative history for adults undergoing surgery or procedures requiring anaesthesia or sedation?</w:t>
      </w:r>
    </w:p>
    <w:p>
      <w:pPr>
        <w:pStyle w:val="Heading2"/>
      </w:pPr>
      <w:r>
        <w:t>2.2 Secondary questions</w:t>
      </w:r>
    </w:p>
    <w:p>
      <w:pPr>
        <w:pStyle w:val="ListNumber"/>
      </w:pPr>
      <w:r>
        <w:t>Which information is universally required and which should be conditionally elicited?</w:t>
      </w:r>
    </w:p>
    <w:p>
      <w:pPr>
        <w:pStyle w:val="ListNumber"/>
      </w:pPr>
      <w:r>
        <w:t>Which validated perioperative screening or risk instruments can be derived from conversational history?</w:t>
      </w:r>
    </w:p>
    <w:p>
      <w:pPr>
        <w:pStyle w:val="ListNumber"/>
      </w:pPr>
      <w:r>
        <w:t>Which findings require immediate escalation, clinician review, optimisation or further investigation?</w:t>
      </w:r>
    </w:p>
    <w:p>
      <w:pPr>
        <w:pStyle w:val="ListNumber"/>
      </w:pPr>
      <w:r>
        <w:t>What safety, usability, governance and software requirements arise when history-taking is performed by conversational AI rather than a clinician or conventional questionnaire?</w:t>
      </w:r>
    </w:p>
    <w:p>
      <w:pPr>
        <w:pStyle w:val="Heading1"/>
      </w:pPr>
      <w:r>
        <w:t>3. Intended scope</w:t>
      </w:r>
    </w:p>
    <w:p>
      <w:r>
        <w:t>Initial scope: adults aged 18 years and older undergoing elective or semi-elective surgery or procedures requiring general anaesthesia, regional anaesthesia, monitored anaesthesia care or procedural sedation.</w:t>
      </w:r>
    </w:p>
    <w:p>
      <w:r>
        <w:t>Initial exclusions: paediatrics, obstetrics and immediate emergency surgery. These populations should be considered for subsequent dedicated modules because they introduce materially different clinical and communication requirements.</w:t>
      </w:r>
    </w:p>
    <w:p>
      <w:pPr>
        <w:pStyle w:val="Heading2"/>
      </w:pPr>
      <w:r>
        <w:t>3.1 Intended function</w:t>
      </w:r>
    </w:p>
    <w:p>
      <w:r>
        <w:t>A patient-facing conversational system for collection, clarification, reconciliation, structuring and summarisation of the preoperative history to support subsequent assessment and decision-making by appropriately qualified clinicians.</w:t>
      </w:r>
    </w:p>
    <w:p>
      <w:pPr>
        <w:pStyle w:val="Heading2"/>
      </w:pPr>
      <w:r>
        <w:t>3.2 Functions outside the initial intended use</w:t>
      </w:r>
    </w:p>
    <w:p>
      <w:pPr>
        <w:pStyle w:val="ListBullet"/>
      </w:pPr>
      <w:r>
        <w:t>Autonomous determination that a patient is fit or cleared for surgery.</w:t>
      </w:r>
    </w:p>
    <w:p>
      <w:pPr>
        <w:pStyle w:val="ListBullet"/>
      </w:pPr>
      <w:r>
        <w:t>Autonomous anaesthetic planning.</w:t>
      </w:r>
    </w:p>
    <w:p>
      <w:pPr>
        <w:pStyle w:val="ListBullet"/>
      </w:pPr>
      <w:r>
        <w:t>Autonomous ASA Physical Status classification.</w:t>
      </w:r>
    </w:p>
    <w:p>
      <w:pPr>
        <w:pStyle w:val="ListBullet"/>
      </w:pPr>
      <w:r>
        <w:t>Autonomous medication cessation or modification unless delivered through a separately governed deterministic protocol.</w:t>
      </w:r>
    </w:p>
    <w:p>
      <w:pPr>
        <w:pStyle w:val="ListBullet"/>
      </w:pPr>
      <w:r>
        <w:t>Replacement of physical examination.</w:t>
      </w:r>
    </w:p>
    <w:p>
      <w:pPr>
        <w:pStyle w:val="ListBullet"/>
      </w:pPr>
      <w:r>
        <w:t>Replacement of clinician-led consent or shared decision-making.</w:t>
      </w:r>
    </w:p>
    <w:p>
      <w:pPr>
        <w:pStyle w:val="Heading1"/>
      </w:pPr>
      <w:r>
        <w:t>4. Review methodology</w:t>
      </w:r>
    </w:p>
    <w:p>
      <w:r>
        <w:t>A PRISMA-ScR aligned scoping review is proposed because the objective is to map clinical concepts, information requirements, validated instruments, guidelines and implementation evidence rather than estimate a single intervention effect.</w:t>
      </w:r>
    </w:p>
    <w:p>
      <w:pPr>
        <w:pStyle w:val="Heading2"/>
      </w:pPr>
      <w:r>
        <w:t>4.1 Information sources</w:t>
      </w:r>
    </w:p>
    <w:p>
      <w:pPr>
        <w:pStyle w:val="ListBullet"/>
      </w:pPr>
      <w:r>
        <w:t>MEDLINE/PubMed</w:t>
      </w:r>
    </w:p>
    <w:p>
      <w:pPr>
        <w:pStyle w:val="ListBullet"/>
      </w:pPr>
      <w:r>
        <w:t>Embase</w:t>
      </w:r>
    </w:p>
    <w:p>
      <w:pPr>
        <w:pStyle w:val="ListBullet"/>
      </w:pPr>
      <w:r>
        <w:t>CINAHL</w:t>
      </w:r>
    </w:p>
    <w:p>
      <w:pPr>
        <w:pStyle w:val="ListBullet"/>
      </w:pPr>
      <w:r>
        <w:t>Cochrane Library</w:t>
      </w:r>
    </w:p>
    <w:p>
      <w:pPr>
        <w:pStyle w:val="ListBullet"/>
      </w:pPr>
      <w:r>
        <w:t>Scopus</w:t>
      </w:r>
    </w:p>
    <w:p>
      <w:pPr>
        <w:pStyle w:val="ListBullet"/>
      </w:pPr>
      <w:r>
        <w:t>Web of Science</w:t>
      </w:r>
    </w:p>
    <w:p>
      <w:pPr>
        <w:pStyle w:val="ListBullet"/>
      </w:pPr>
      <w:r>
        <w:t>IEEE Xplore and ACM Digital Library for conversational AI, clinical NLP and LLM literature</w:t>
      </w:r>
    </w:p>
    <w:p>
      <w:pPr>
        <w:pStyle w:val="ListBullet"/>
      </w:pPr>
      <w:r>
        <w:t>Grey literature and professional guidance from ANZCA, ASA, ESAIC, RCoA/CPOC, Association of Anaesthetists, ACC/AHA, Society of Anesthesia and Sleep Medicine, ERAS Society, ESPEN and relevant Australian safety and regulatory bodies</w:t>
      </w:r>
    </w:p>
    <w:p>
      <w:pPr>
        <w:pStyle w:val="Heading2"/>
      </w:pPr>
      <w:r>
        <w:t>4.2 Proposed date ranges</w:t>
      </w:r>
    </w:p>
    <w:p>
      <w:pPr>
        <w:pStyle w:val="ListBullet"/>
      </w:pPr>
      <w:r>
        <w:t>General preoperative assessment literature: 1995 to September 2026.</w:t>
      </w:r>
    </w:p>
    <w:p>
      <w:pPr>
        <w:pStyle w:val="ListBullet"/>
      </w:pPr>
      <w:r>
        <w:t>Conversational AI and LLM literature: 2018 to September 2026.</w:t>
      </w:r>
    </w:p>
    <w:p>
      <w:pPr>
        <w:pStyle w:val="ListBullet"/>
      </w:pPr>
      <w:r>
        <w:t>Earlier seminal studies identified through backward citation searching may be included.</w:t>
      </w:r>
    </w:p>
    <w:p>
      <w:pPr>
        <w:pStyle w:val="Heading2"/>
      </w:pPr>
      <w:r>
        <w:t>4.3 Search concepts</w:t>
      </w:r>
    </w:p>
    <w:p>
      <w:r>
        <w:t>The core search will combine preoperative/pre-anaesthetic terminology with assessment, evaluation, history-taking, screening, questionnaire and interview concepts, together with anaesthesia and surgery terms. Targeted searches will then address AI/conversational agents and individual clinical domains.</w:t>
      </w:r>
    </w:p>
    <w:p>
      <w:pPr>
        <w:pStyle w:val="ListBullet"/>
      </w:pPr>
      <w:r>
        <w:t>Artificial intelligence, conversational agent, chatbot, large language model, natural language processing, digital questionnaire and patient-reported assessment.</w:t>
      </w:r>
    </w:p>
    <w:p>
      <w:pPr>
        <w:pStyle w:val="ListBullet"/>
      </w:pPr>
      <w:r>
        <w:t>Cardiovascular disease and functional capacity.</w:t>
      </w:r>
    </w:p>
    <w:p>
      <w:pPr>
        <w:pStyle w:val="ListBullet"/>
      </w:pPr>
      <w:r>
        <w:t>Respiratory disease and obstructive sleep apnoea.</w:t>
      </w:r>
    </w:p>
    <w:p>
      <w:pPr>
        <w:pStyle w:val="ListBullet"/>
      </w:pPr>
      <w:r>
        <w:t>Frailty, cognition and delirium.</w:t>
      </w:r>
    </w:p>
    <w:p>
      <w:pPr>
        <w:pStyle w:val="ListBullet"/>
      </w:pPr>
      <w:r>
        <w:t>Nutrition and anaemia/patient blood management.</w:t>
      </w:r>
    </w:p>
    <w:p>
      <w:pPr>
        <w:pStyle w:val="ListBullet"/>
      </w:pPr>
      <w:r>
        <w:t>Diabetes and perioperative medication management.</w:t>
      </w:r>
    </w:p>
    <w:p>
      <w:pPr>
        <w:pStyle w:val="ListBullet"/>
      </w:pPr>
      <w:r>
        <w:t>Anticoagulation, antiplatelet therapy and bleeding.</w:t>
      </w:r>
    </w:p>
    <w:p>
      <w:pPr>
        <w:pStyle w:val="ListBullet"/>
      </w:pPr>
      <w:r>
        <w:t>Allergy and previous perioperative hypersensitivity.</w:t>
      </w:r>
    </w:p>
    <w:p>
      <w:pPr>
        <w:pStyle w:val="ListBullet"/>
      </w:pPr>
      <w:r>
        <w:t>Previous anaesthesia, difficult airway and malignant hyperthermia.</w:t>
      </w:r>
    </w:p>
    <w:p>
      <w:pPr>
        <w:pStyle w:val="ListBullet"/>
      </w:pPr>
      <w:r>
        <w:t>Smoking, alcohol and other substances.</w:t>
      </w:r>
    </w:p>
    <w:p>
      <w:pPr>
        <w:pStyle w:val="ListBullet"/>
      </w:pPr>
      <w:r>
        <w:t>Chronic pain and opioid use.</w:t>
      </w:r>
    </w:p>
    <w:p>
      <w:pPr>
        <w:pStyle w:val="ListBullet"/>
      </w:pPr>
      <w:r>
        <w:t>Shared decision-making, goals of care and discharge planning.</w:t>
      </w:r>
    </w:p>
    <w:p>
      <w:pPr>
        <w:pStyle w:val="Heading1"/>
      </w:pPr>
      <w:r>
        <w:t>5. Evidence hierarchy</w:t>
      </w:r>
    </w:p>
    <w:p>
      <w:r>
        <w:t>Each requirement should retain evidence provenance. A proposed hierarchy is:</w:t>
      </w:r>
    </w:p>
    <w:tbl>
      <w:tblPr>
        <w:tblStyle w:val="TableGrid"/>
        <w:tblW w:type="auto" w:w="0"/>
        <w:jc w:val="center"/>
        <w:tblLook w:firstColumn="1" w:firstRow="1" w:lastColumn="0" w:lastRow="0" w:noHBand="0" w:noVBand="1" w:val="04A0"/>
      </w:tblPr>
      <w:tblGrid>
        <w:gridCol w:w="4968"/>
        <w:gridCol w:w="4968"/>
      </w:tblGrid>
      <w:tr>
        <w:tc>
          <w:tcPr>
            <w:tcW w:type="dxa" w:w="4968"/>
          </w:tcPr>
          <w:p>
            <w:r>
              <w:t>Level</w:t>
            </w:r>
          </w:p>
        </w:tc>
        <w:tc>
          <w:tcPr>
            <w:tcW w:type="dxa" w:w="4968"/>
          </w:tcPr>
          <w:p>
            <w:r>
              <w:t>Evidence source</w:t>
            </w:r>
          </w:p>
        </w:tc>
      </w:tr>
      <w:tr>
        <w:tc>
          <w:tcPr>
            <w:tcW w:type="dxa" w:w="4968"/>
          </w:tcPr>
          <w:p>
            <w:r>
              <w:t>A</w:t>
            </w:r>
          </w:p>
        </w:tc>
        <w:tc>
          <w:tcPr>
            <w:tcW w:type="dxa" w:w="4968"/>
          </w:tcPr>
          <w:p>
            <w:r>
              <w:t>Regulatory or professional requirement, e.g. ANZCA, ASA, TGA, NSQHS</w:t>
            </w:r>
          </w:p>
        </w:tc>
      </w:tr>
      <w:tr>
        <w:tc>
          <w:tcPr>
            <w:tcW w:type="dxa" w:w="4968"/>
          </w:tcPr>
          <w:p>
            <w:r>
              <w:t>B</w:t>
            </w:r>
          </w:p>
        </w:tc>
        <w:tc>
          <w:tcPr>
            <w:tcW w:type="dxa" w:w="4968"/>
          </w:tcPr>
          <w:p>
            <w:r>
              <w:t>Evidence-based clinical guideline, e.g. ESAIC, ACC/AHA, SASM, ESPEN, CPOC</w:t>
            </w:r>
          </w:p>
        </w:tc>
      </w:tr>
      <w:tr>
        <w:tc>
          <w:tcPr>
            <w:tcW w:type="dxa" w:w="4968"/>
          </w:tcPr>
          <w:p>
            <w:r>
              <w:t>C</w:t>
            </w:r>
          </w:p>
        </w:tc>
        <w:tc>
          <w:tcPr>
            <w:tcW w:type="dxa" w:w="4968"/>
          </w:tcPr>
          <w:p>
            <w:r>
              <w:t>Validated clinical instrument, e.g. DASI, STOP-Bang, AUDIT-C</w:t>
            </w:r>
          </w:p>
        </w:tc>
      </w:tr>
      <w:tr>
        <w:tc>
          <w:tcPr>
            <w:tcW w:type="dxa" w:w="4968"/>
          </w:tcPr>
          <w:p>
            <w:r>
              <w:t>D</w:t>
            </w:r>
          </w:p>
        </w:tc>
        <w:tc>
          <w:tcPr>
            <w:tcW w:type="dxa" w:w="4968"/>
          </w:tcPr>
          <w:p>
            <w:r>
              <w:t>Systematic review or meta-analysis</w:t>
            </w:r>
          </w:p>
        </w:tc>
      </w:tr>
      <w:tr>
        <w:tc>
          <w:tcPr>
            <w:tcW w:type="dxa" w:w="4968"/>
          </w:tcPr>
          <w:p>
            <w:r>
              <w:t>E</w:t>
            </w:r>
          </w:p>
        </w:tc>
        <w:tc>
          <w:tcPr>
            <w:tcW w:type="dxa" w:w="4968"/>
          </w:tcPr>
          <w:p>
            <w:r>
              <w:t>Primary clinical study</w:t>
            </w:r>
          </w:p>
        </w:tc>
      </w:tr>
      <w:tr>
        <w:tc>
          <w:tcPr>
            <w:tcW w:type="dxa" w:w="4968"/>
          </w:tcPr>
          <w:p>
            <w:r>
              <w:t>F</w:t>
            </w:r>
          </w:p>
        </w:tc>
        <w:tc>
          <w:tcPr>
            <w:tcW w:type="dxa" w:w="4968"/>
          </w:tcPr>
          <w:p>
            <w:r>
              <w:t>Expert consensus or established clinical practice</w:t>
            </w:r>
          </w:p>
        </w:tc>
      </w:tr>
      <w:tr>
        <w:tc>
          <w:tcPr>
            <w:tcW w:type="dxa" w:w="4968"/>
          </w:tcPr>
          <w:p>
            <w:r>
              <w:t>G</w:t>
            </w:r>
          </w:p>
        </w:tc>
        <w:tc>
          <w:tcPr>
            <w:tcW w:type="dxa" w:w="4968"/>
          </w:tcPr>
          <w:p>
            <w:r>
              <w:t>Design or safety requirement derived during system engineering</w:t>
            </w:r>
          </w:p>
        </w:tc>
      </w:tr>
    </w:tbl>
    <w:p>
      <w:pPr>
        <w:pStyle w:val="Heading1"/>
      </w:pPr>
      <w:r>
        <w:t>6. Proposed clinical information model</w:t>
      </w:r>
    </w:p>
    <w:p>
      <w:r>
        <w:t>The review should extract every candidate concept into a master clinical dataset. The patient-facing conversation may be short and adaptive, while the underlying dataset can contain several hundred atomic concepts.</w:t>
      </w:r>
    </w:p>
    <w:tbl>
      <w:tblPr>
        <w:tblStyle w:val="TableGrid"/>
        <w:tblW w:type="auto" w:w="0"/>
        <w:jc w:val="center"/>
        <w:tblLook w:firstColumn="1" w:firstRow="1" w:lastColumn="0" w:lastRow="0" w:noHBand="0" w:noVBand="1" w:val="04A0"/>
      </w:tblPr>
      <w:tblGrid>
        <w:gridCol w:w="4968"/>
        <w:gridCol w:w="4968"/>
      </w:tblGrid>
      <w:tr>
        <w:tc>
          <w:tcPr>
            <w:tcW w:type="dxa" w:w="4968"/>
          </w:tcPr>
          <w:p>
            <w:r>
              <w:t>Domain</w:t>
            </w:r>
          </w:p>
        </w:tc>
        <w:tc>
          <w:tcPr>
            <w:tcW w:type="dxa" w:w="4968"/>
          </w:tcPr>
          <w:p>
            <w:r>
              <w:t>Examples</w:t>
            </w:r>
          </w:p>
        </w:tc>
      </w:tr>
      <w:tr>
        <w:tc>
          <w:tcPr>
            <w:tcW w:type="dxa" w:w="4968"/>
          </w:tcPr>
          <w:p>
            <w:r>
              <w:t>Patient and context</w:t>
            </w:r>
          </w:p>
        </w:tc>
        <w:tc>
          <w:tcPr>
            <w:tcW w:type="dxa" w:w="4968"/>
          </w:tcPr>
          <w:p>
            <w:r>
              <w:t>Identity, communication needs, procedure, indication, site/laterality, timing and source of history</w:t>
            </w:r>
          </w:p>
        </w:tc>
      </w:tr>
      <w:tr>
        <w:tc>
          <w:tcPr>
            <w:tcW w:type="dxa" w:w="4968"/>
          </w:tcPr>
          <w:p>
            <w:r>
              <w:t>Patient concerns and priorities</w:t>
            </w:r>
          </w:p>
        </w:tc>
        <w:tc>
          <w:tcPr>
            <w:tcW w:type="dxa" w:w="4968"/>
          </w:tcPr>
          <w:p>
            <w:r>
              <w:t>Patient-identified concerns, expectations and information needs</w:t>
            </w:r>
          </w:p>
        </w:tc>
      </w:tr>
      <w:tr>
        <w:tc>
          <w:tcPr>
            <w:tcW w:type="dxa" w:w="4968"/>
          </w:tcPr>
          <w:p>
            <w:r>
              <w:t>Present health</w:t>
            </w:r>
          </w:p>
        </w:tc>
        <w:tc>
          <w:tcPr>
            <w:tcW w:type="dxa" w:w="4968"/>
          </w:tcPr>
          <w:p>
            <w:r>
              <w:t>Current illness, recent deterioration, infection and recent hospitalisation</w:t>
            </w:r>
          </w:p>
        </w:tc>
      </w:tr>
      <w:tr>
        <w:tc>
          <w:tcPr>
            <w:tcW w:type="dxa" w:w="4968"/>
          </w:tcPr>
          <w:p>
            <w:r>
              <w:t>Cardiovascular</w:t>
            </w:r>
          </w:p>
        </w:tc>
        <w:tc>
          <w:tcPr>
            <w:tcW w:type="dxa" w:w="4968"/>
          </w:tcPr>
          <w:p>
            <w:r>
              <w:t>Hypertension, IHD, heart failure, arrhythmia, valvular disease, devices and symptoms</w:t>
            </w:r>
          </w:p>
        </w:tc>
      </w:tr>
      <w:tr>
        <w:tc>
          <w:tcPr>
            <w:tcW w:type="dxa" w:w="4968"/>
          </w:tcPr>
          <w:p>
            <w:r>
              <w:t>Functional capacity</w:t>
            </w:r>
          </w:p>
        </w:tc>
        <w:tc>
          <w:tcPr>
            <w:tcW w:type="dxa" w:w="4968"/>
          </w:tcPr>
          <w:p>
            <w:r>
              <w:t>Activities, exertional limitation and DASI-compatible inputs</w:t>
            </w:r>
          </w:p>
        </w:tc>
      </w:tr>
      <w:tr>
        <w:tc>
          <w:tcPr>
            <w:tcW w:type="dxa" w:w="4968"/>
          </w:tcPr>
          <w:p>
            <w:r>
              <w:t>Respiratory</w:t>
            </w:r>
          </w:p>
        </w:tc>
        <w:tc>
          <w:tcPr>
            <w:tcW w:type="dxa" w:w="4968"/>
          </w:tcPr>
          <w:p>
            <w:r>
              <w:t>Asthma, COPD, respiratory infection, oxygen therapy and current symptoms</w:t>
            </w:r>
          </w:p>
        </w:tc>
      </w:tr>
      <w:tr>
        <w:tc>
          <w:tcPr>
            <w:tcW w:type="dxa" w:w="4968"/>
          </w:tcPr>
          <w:p>
            <w:r>
              <w:t>Sleep</w:t>
            </w:r>
          </w:p>
        </w:tc>
        <w:tc>
          <w:tcPr>
            <w:tcW w:type="dxa" w:w="4968"/>
          </w:tcPr>
          <w:p>
            <w:r>
              <w:t>OSA diagnosis, PAP therapy and STOP-Bang-compatible inputs</w:t>
            </w:r>
          </w:p>
        </w:tc>
      </w:tr>
      <w:tr>
        <w:tc>
          <w:tcPr>
            <w:tcW w:type="dxa" w:w="4968"/>
          </w:tcPr>
          <w:p>
            <w:r>
              <w:t>Neurological</w:t>
            </w:r>
          </w:p>
        </w:tc>
        <w:tc>
          <w:tcPr>
            <w:tcW w:type="dxa" w:w="4968"/>
          </w:tcPr>
          <w:p>
            <w:r>
              <w:t>Stroke/TIA, epilepsy, neuromuscular disease, deficits and cognitive disease</w:t>
            </w:r>
          </w:p>
        </w:tc>
      </w:tr>
      <w:tr>
        <w:tc>
          <w:tcPr>
            <w:tcW w:type="dxa" w:w="4968"/>
          </w:tcPr>
          <w:p>
            <w:r>
              <w:t>Renal</w:t>
            </w:r>
          </w:p>
        </w:tc>
        <w:tc>
          <w:tcPr>
            <w:tcW w:type="dxa" w:w="4968"/>
          </w:tcPr>
          <w:p>
            <w:r>
              <w:t>CKD, dialysis, AKI and relevant fluid/electrolyte issues</w:t>
            </w:r>
          </w:p>
        </w:tc>
      </w:tr>
      <w:tr>
        <w:tc>
          <w:tcPr>
            <w:tcW w:type="dxa" w:w="4968"/>
          </w:tcPr>
          <w:p>
            <w:r>
              <w:t>Endocrine/metabolic</w:t>
            </w:r>
          </w:p>
        </w:tc>
        <w:tc>
          <w:tcPr>
            <w:tcW w:type="dxa" w:w="4968"/>
          </w:tcPr>
          <w:p>
            <w:r>
              <w:t>Diabetes, insulin/devices, thyroid, adrenal and chronic steroid exposure</w:t>
            </w:r>
          </w:p>
        </w:tc>
      </w:tr>
      <w:tr>
        <w:tc>
          <w:tcPr>
            <w:tcW w:type="dxa" w:w="4968"/>
          </w:tcPr>
          <w:p>
            <w:r>
              <w:t>Gastrointestinal/hepatic</w:t>
            </w:r>
          </w:p>
        </w:tc>
        <w:tc>
          <w:tcPr>
            <w:tcW w:type="dxa" w:w="4968"/>
          </w:tcPr>
          <w:p>
            <w:r>
              <w:t>Reflux, dysphagia, aspiration risk, gastroparesis and liver disease</w:t>
            </w:r>
          </w:p>
        </w:tc>
      </w:tr>
      <w:tr>
        <w:tc>
          <w:tcPr>
            <w:tcW w:type="dxa" w:w="4968"/>
          </w:tcPr>
          <w:p>
            <w:r>
              <w:t>Haematological</w:t>
            </w:r>
          </w:p>
        </w:tc>
        <w:tc>
          <w:tcPr>
            <w:tcW w:type="dxa" w:w="4968"/>
          </w:tcPr>
          <w:p>
            <w:r>
              <w:t>Anaemia, bleeding, thrombosis, transfusion and blood-product preferences</w:t>
            </w:r>
          </w:p>
        </w:tc>
      </w:tr>
      <w:tr>
        <w:tc>
          <w:tcPr>
            <w:tcW w:type="dxa" w:w="4968"/>
          </w:tcPr>
          <w:p>
            <w:r>
              <w:t>Previous surgery and anaesthesia</w:t>
            </w:r>
          </w:p>
        </w:tc>
        <w:tc>
          <w:tcPr>
            <w:tcW w:type="dxa" w:w="4968"/>
          </w:tcPr>
          <w:p>
            <w:r>
              <w:t>Prior techniques, difficult airway, PONV, awareness, delayed emergence and complications</w:t>
            </w:r>
          </w:p>
        </w:tc>
      </w:tr>
      <w:tr>
        <w:tc>
          <w:tcPr>
            <w:tcW w:type="dxa" w:w="4968"/>
          </w:tcPr>
          <w:p>
            <w:r>
              <w:t>Family anaesthetic history</w:t>
            </w:r>
          </w:p>
        </w:tc>
        <w:tc>
          <w:tcPr>
            <w:tcW w:type="dxa" w:w="4968"/>
          </w:tcPr>
          <w:p>
            <w:r>
              <w:t>Malignant hyperthermia, prolonged paralysis/apnoea and unexplained peri-anaesthetic death</w:t>
            </w:r>
          </w:p>
        </w:tc>
      </w:tr>
      <w:tr>
        <w:tc>
          <w:tcPr>
            <w:tcW w:type="dxa" w:w="4968"/>
          </w:tcPr>
          <w:p>
            <w:r>
              <w:t>Airway and dental</w:t>
            </w:r>
          </w:p>
        </w:tc>
        <w:tc>
          <w:tcPr>
            <w:tcW w:type="dxa" w:w="4968"/>
          </w:tcPr>
          <w:p>
            <w:r>
              <w:t>Prior airway difficulty, mouth/neck/jaw issues and vulnerable dentition</w:t>
            </w:r>
          </w:p>
        </w:tc>
      </w:tr>
      <w:tr>
        <w:tc>
          <w:tcPr>
            <w:tcW w:type="dxa" w:w="4968"/>
          </w:tcPr>
          <w:p>
            <w:r>
              <w:t>Medication</w:t>
            </w:r>
          </w:p>
        </w:tc>
        <w:tc>
          <w:tcPr>
            <w:tcW w:type="dxa" w:w="4968"/>
          </w:tcPr>
          <w:p>
            <w:r>
              <w:t>Complete reconciliation including prescription, OTC, supplements and high-risk classes</w:t>
            </w:r>
          </w:p>
        </w:tc>
      </w:tr>
      <w:tr>
        <w:tc>
          <w:tcPr>
            <w:tcW w:type="dxa" w:w="4968"/>
          </w:tcPr>
          <w:p>
            <w:r>
              <w:t>Allergy/adverse reaction</w:t>
            </w:r>
          </w:p>
        </w:tc>
        <w:tc>
          <w:tcPr>
            <w:tcW w:type="dxa" w:w="4968"/>
          </w:tcPr>
          <w:p>
            <w:r>
              <w:t>Agent, reaction phenotype, severity, timing, treatment and subsequent exposure</w:t>
            </w:r>
          </w:p>
        </w:tc>
      </w:tr>
      <w:tr>
        <w:tc>
          <w:tcPr>
            <w:tcW w:type="dxa" w:w="4968"/>
          </w:tcPr>
          <w:p>
            <w:r>
              <w:t>Physiological reserve</w:t>
            </w:r>
          </w:p>
        </w:tc>
        <w:tc>
          <w:tcPr>
            <w:tcW w:type="dxa" w:w="4968"/>
          </w:tcPr>
          <w:p>
            <w:r>
              <w:t>Nutrition, frailty, cognition, mobility and functional independence</w:t>
            </w:r>
          </w:p>
        </w:tc>
      </w:tr>
      <w:tr>
        <w:tc>
          <w:tcPr>
            <w:tcW w:type="dxa" w:w="4968"/>
          </w:tcPr>
          <w:p>
            <w:r>
              <w:t>Lifestyle and psychosocial</w:t>
            </w:r>
          </w:p>
        </w:tc>
        <w:tc>
          <w:tcPr>
            <w:tcW w:type="dxa" w:w="4968"/>
          </w:tcPr>
          <w:p>
            <w:r>
              <w:t>Smoking/vaping, alcohol, other substances, mental health and anxiety</w:t>
            </w:r>
          </w:p>
        </w:tc>
      </w:tr>
      <w:tr>
        <w:tc>
          <w:tcPr>
            <w:tcW w:type="dxa" w:w="4968"/>
          </w:tcPr>
          <w:p>
            <w:r>
              <w:t>Pain</w:t>
            </w:r>
          </w:p>
        </w:tc>
        <w:tc>
          <w:tcPr>
            <w:tcW w:type="dxa" w:w="4968"/>
          </w:tcPr>
          <w:p>
            <w:r>
              <w:t>Chronic pain, analgesics, opioid exposure and previous postoperative pain problems</w:t>
            </w:r>
          </w:p>
        </w:tc>
      </w:tr>
      <w:tr>
        <w:tc>
          <w:tcPr>
            <w:tcW w:type="dxa" w:w="4968"/>
          </w:tcPr>
          <w:p>
            <w:r>
              <w:t>Social and recovery</w:t>
            </w:r>
          </w:p>
        </w:tc>
        <w:tc>
          <w:tcPr>
            <w:tcW w:type="dxa" w:w="4968"/>
          </w:tcPr>
          <w:p>
            <w:r>
              <w:t>Home environment, carers, transport, escort, supports and discharge barriers</w:t>
            </w:r>
          </w:p>
        </w:tc>
      </w:tr>
      <w:tr>
        <w:tc>
          <w:tcPr>
            <w:tcW w:type="dxa" w:w="4968"/>
          </w:tcPr>
          <w:p>
            <w:r>
              <w:t>Goals and preferences</w:t>
            </w:r>
          </w:p>
        </w:tc>
        <w:tc>
          <w:tcPr>
            <w:tcW w:type="dxa" w:w="4968"/>
          </w:tcPr>
          <w:p>
            <w:r>
              <w:t>What matters to the patient, advance care planning and treatment limitations</w:t>
            </w:r>
          </w:p>
        </w:tc>
      </w:tr>
      <w:tr>
        <w:tc>
          <w:tcPr>
            <w:tcW w:type="dxa" w:w="4968"/>
          </w:tcPr>
          <w:p>
            <w:r>
              <w:t>Reproductive considerations</w:t>
            </w:r>
          </w:p>
        </w:tc>
        <w:tc>
          <w:tcPr>
            <w:tcW w:type="dxa" w:w="4968"/>
          </w:tcPr>
          <w:p>
            <w:r>
              <w:t>Pregnancy possibility, breastfeeding and relevant reproductive therapies where clinically appropriate</w:t>
            </w:r>
          </w:p>
        </w:tc>
      </w:tr>
    </w:tbl>
    <w:p>
      <w:pPr>
        <w:pStyle w:val="Heading1"/>
      </w:pPr>
      <w:r>
        <w:t>7. Atomic concept specification</w:t>
      </w:r>
    </w:p>
    <w:p>
      <w:r>
        <w:t>Each clinical concept should be represented as an individually testable requirement rather than merely a field name. Example:</w:t>
      </w:r>
    </w:p>
    <w:tbl>
      <w:tblPr>
        <w:tblStyle w:val="TableGrid"/>
        <w:tblW w:type="auto" w:w="0"/>
        <w:tblLook w:firstColumn="1" w:firstRow="1" w:lastColumn="0" w:lastRow="0" w:noHBand="0" w:noVBand="1" w:val="04A0"/>
      </w:tblPr>
      <w:tblGrid>
        <w:gridCol w:w="4968"/>
        <w:gridCol w:w="4968"/>
      </w:tblGrid>
      <w:tr>
        <w:tc>
          <w:tcPr>
            <w:tcW w:type="dxa" w:w="4968"/>
          </w:tcPr>
          <w:p>
            <w:r>
              <w:t>Property</w:t>
            </w:r>
          </w:p>
        </w:tc>
        <w:tc>
          <w:tcPr>
            <w:tcW w:type="dxa" w:w="4968"/>
          </w:tcPr>
          <w:p>
            <w:r>
              <w:t>Example: Heart failure</w:t>
            </w:r>
          </w:p>
        </w:tc>
      </w:tr>
      <w:tr>
        <w:tc>
          <w:tcPr>
            <w:tcW w:type="dxa" w:w="4968"/>
          </w:tcPr>
          <w:p>
            <w:r>
              <w:t>Concept ID</w:t>
            </w:r>
          </w:p>
        </w:tc>
        <w:tc>
          <w:tcPr>
            <w:tcW w:type="dxa" w:w="4968"/>
          </w:tcPr>
          <w:p>
            <w:r>
              <w:t>CV-014</w:t>
            </w:r>
          </w:p>
        </w:tc>
      </w:tr>
      <w:tr>
        <w:tc>
          <w:tcPr>
            <w:tcW w:type="dxa" w:w="4968"/>
          </w:tcPr>
          <w:p>
            <w:r>
              <w:t>Domain</w:t>
            </w:r>
          </w:p>
        </w:tc>
        <w:tc>
          <w:tcPr>
            <w:tcW w:type="dxa" w:w="4968"/>
          </w:tcPr>
          <w:p>
            <w:r>
              <w:t>Cardiovascular</w:t>
            </w:r>
          </w:p>
        </w:tc>
      </w:tr>
      <w:tr>
        <w:tc>
          <w:tcPr>
            <w:tcW w:type="dxa" w:w="4968"/>
          </w:tcPr>
          <w:p>
            <w:r>
              <w:t>Universal question?</w:t>
            </w:r>
          </w:p>
        </w:tc>
        <w:tc>
          <w:tcPr>
            <w:tcW w:type="dxa" w:w="4968"/>
          </w:tcPr>
          <w:p>
            <w:r>
              <w:t>Yes</w:t>
            </w:r>
          </w:p>
        </w:tc>
      </w:tr>
      <w:tr>
        <w:tc>
          <w:tcPr>
            <w:tcW w:type="dxa" w:w="4968"/>
          </w:tcPr>
          <w:p>
            <w:r>
              <w:t>Trigger</w:t>
            </w:r>
          </w:p>
        </w:tc>
        <w:tc>
          <w:tcPr>
            <w:tcW w:type="dxa" w:w="4968"/>
          </w:tcPr>
          <w:p>
            <w:r>
              <w:t>All patients</w:t>
            </w:r>
          </w:p>
        </w:tc>
      </w:tr>
      <w:tr>
        <w:tc>
          <w:tcPr>
            <w:tcW w:type="dxa" w:w="4968"/>
          </w:tcPr>
          <w:p>
            <w:r>
              <w:t>Initial wording</w:t>
            </w:r>
          </w:p>
        </w:tc>
        <w:tc>
          <w:tcPr>
            <w:tcW w:type="dxa" w:w="4968"/>
          </w:tcPr>
          <w:p>
            <w:r>
              <w:t>Have you ever been told you have heart failure or a weak heart?</w:t>
            </w:r>
          </w:p>
        </w:tc>
      </w:tr>
      <w:tr>
        <w:tc>
          <w:tcPr>
            <w:tcW w:type="dxa" w:w="4968"/>
          </w:tcPr>
          <w:p>
            <w:r>
              <w:t>Recognised lay terms</w:t>
            </w:r>
          </w:p>
        </w:tc>
        <w:tc>
          <w:tcPr>
            <w:tcW w:type="dxa" w:w="4968"/>
          </w:tcPr>
          <w:p>
            <w:r>
              <w:t>Cardiac failure, CHF, weak heart</w:t>
            </w:r>
          </w:p>
        </w:tc>
      </w:tr>
      <w:tr>
        <w:tc>
          <w:tcPr>
            <w:tcW w:type="dxa" w:w="4968"/>
          </w:tcPr>
          <w:p>
            <w:r>
              <w:t>Positive follow-up</w:t>
            </w:r>
          </w:p>
        </w:tc>
        <w:tc>
          <w:tcPr>
            <w:tcW w:type="dxa" w:w="4968"/>
          </w:tcPr>
          <w:p>
            <w:r>
              <w:t>Diagnosis, timing, cause and treatment</w:t>
            </w:r>
          </w:p>
        </w:tc>
      </w:tr>
      <w:tr>
        <w:tc>
          <w:tcPr>
            <w:tcW w:type="dxa" w:w="4968"/>
          </w:tcPr>
          <w:p>
            <w:r>
              <w:t>Severity</w:t>
            </w:r>
          </w:p>
        </w:tc>
        <w:tc>
          <w:tcPr>
            <w:tcW w:type="dxa" w:w="4968"/>
          </w:tcPr>
          <w:p>
            <w:r>
              <w:t>LVEF if known</w:t>
            </w:r>
          </w:p>
        </w:tc>
      </w:tr>
      <w:tr>
        <w:tc>
          <w:tcPr>
            <w:tcW w:type="dxa" w:w="4968"/>
          </w:tcPr>
          <w:p>
            <w:r>
              <w:t>Current status</w:t>
            </w:r>
          </w:p>
        </w:tc>
        <w:tc>
          <w:tcPr>
            <w:tcW w:type="dxa" w:w="4968"/>
          </w:tcPr>
          <w:p>
            <w:r>
              <w:t>Stable, improving or worsening</w:t>
            </w:r>
          </w:p>
        </w:tc>
      </w:tr>
      <w:tr>
        <w:tc>
          <w:tcPr>
            <w:tcW w:type="dxa" w:w="4968"/>
          </w:tcPr>
          <w:p>
            <w:r>
              <w:t>Symptoms</w:t>
            </w:r>
          </w:p>
        </w:tc>
        <w:tc>
          <w:tcPr>
            <w:tcW w:type="dxa" w:w="4968"/>
          </w:tcPr>
          <w:p>
            <w:r>
              <w:t>Exertional dyspnoea, orthopnoea, PND and oedema</w:t>
            </w:r>
          </w:p>
        </w:tc>
      </w:tr>
      <w:tr>
        <w:tc>
          <w:tcPr>
            <w:tcW w:type="dxa" w:w="4968"/>
          </w:tcPr>
          <w:p>
            <w:r>
              <w:t>Recent events</w:t>
            </w:r>
          </w:p>
        </w:tc>
        <w:tc>
          <w:tcPr>
            <w:tcW w:type="dxa" w:w="4968"/>
          </w:tcPr>
          <w:p>
            <w:r>
              <w:t>Admission or decompensation</w:t>
            </w:r>
          </w:p>
        </w:tc>
      </w:tr>
      <w:tr>
        <w:tc>
          <w:tcPr>
            <w:tcW w:type="dxa" w:w="4968"/>
          </w:tcPr>
          <w:p>
            <w:r>
              <w:t>Source</w:t>
            </w:r>
          </w:p>
        </w:tc>
        <w:tc>
          <w:tcPr>
            <w:tcW w:type="dxa" w:w="4968"/>
          </w:tcPr>
          <w:p>
            <w:r>
              <w:t>Patient, carer, EMR, medication record or previous anaesthetic record</w:t>
            </w:r>
          </w:p>
        </w:tc>
      </w:tr>
      <w:tr>
        <w:tc>
          <w:tcPr>
            <w:tcW w:type="dxa" w:w="4968"/>
          </w:tcPr>
          <w:p>
            <w:r>
              <w:t>Information state</w:t>
            </w:r>
          </w:p>
        </w:tc>
        <w:tc>
          <w:tcPr>
            <w:tcW w:type="dxa" w:w="4968"/>
          </w:tcPr>
          <w:p>
            <w:r>
              <w:t>Confirmed, uncertain, incomplete, conflicting etc.</w:t>
            </w:r>
          </w:p>
        </w:tc>
      </w:tr>
      <w:tr>
        <w:tc>
          <w:tcPr>
            <w:tcW w:type="dxa" w:w="4968"/>
          </w:tcPr>
          <w:p>
            <w:r>
              <w:t>Escalation</w:t>
            </w:r>
          </w:p>
        </w:tc>
        <w:tc>
          <w:tcPr>
            <w:tcW w:type="dxa" w:w="4968"/>
          </w:tcPr>
          <w:p>
            <w:r>
              <w:t>Active or worsening symptoms require clinician review</w:t>
            </w:r>
          </w:p>
        </w:tc>
      </w:tr>
      <w:tr>
        <w:tc>
          <w:tcPr>
            <w:tcW w:type="dxa" w:w="4968"/>
          </w:tcPr>
          <w:p>
            <w:r>
              <w:t>AI inference permitted?</w:t>
            </w:r>
          </w:p>
        </w:tc>
        <w:tc>
          <w:tcPr>
            <w:tcW w:type="dxa" w:w="4968"/>
          </w:tcPr>
          <w:p>
            <w:r>
              <w:t>No autonomous diagnostic inference</w:t>
            </w:r>
          </w:p>
        </w:tc>
      </w:tr>
      <w:tr>
        <w:tc>
          <w:tcPr>
            <w:tcW w:type="dxa" w:w="4968"/>
          </w:tcPr>
          <w:p>
            <w:r>
              <w:t>Clinician verification</w:t>
            </w:r>
          </w:p>
        </w:tc>
        <w:tc>
          <w:tcPr>
            <w:tcW w:type="dxa" w:w="4968"/>
          </w:tcPr>
          <w:p>
            <w:r>
              <w:t>Required if positive</w:t>
            </w:r>
          </w:p>
        </w:tc>
      </w:tr>
      <w:tr>
        <w:tc>
          <w:tcPr>
            <w:tcW w:type="dxa" w:w="4968"/>
          </w:tcPr>
          <w:p>
            <w:r>
              <w:t>Evidence</w:t>
            </w:r>
          </w:p>
        </w:tc>
        <w:tc>
          <w:tcPr>
            <w:tcW w:type="dxa" w:w="4968"/>
          </w:tcPr>
          <w:p>
            <w:r>
              <w:t>Linked guideline/study references</w:t>
            </w:r>
          </w:p>
        </w:tc>
      </w:tr>
    </w:tbl>
    <w:p>
      <w:pPr>
        <w:pStyle w:val="Heading1"/>
      </w:pPr>
      <w:r>
        <w:t>8. Mandatory core and conditional branching</w:t>
      </w:r>
    </w:p>
    <w:p>
      <w:r>
        <w:t>Every data item should be classified according to when it must be resolved:</w:t>
      </w:r>
    </w:p>
    <w:tbl>
      <w:tblPr>
        <w:tblStyle w:val="TableGrid"/>
        <w:tblW w:type="auto" w:w="0"/>
        <w:tblLook w:firstColumn="1" w:firstRow="1" w:lastColumn="0" w:lastRow="0" w:noHBand="0" w:noVBand="1" w:val="04A0"/>
      </w:tblPr>
      <w:tblGrid>
        <w:gridCol w:w="4968"/>
        <w:gridCol w:w="4968"/>
      </w:tblGrid>
      <w:tr>
        <w:tc>
          <w:tcPr>
            <w:tcW w:type="dxa" w:w="4968"/>
          </w:tcPr>
          <w:p>
            <w:r>
              <w:t>Class</w:t>
            </w:r>
          </w:p>
        </w:tc>
        <w:tc>
          <w:tcPr>
            <w:tcW w:type="dxa" w:w="4968"/>
          </w:tcPr>
          <w:p>
            <w:r>
              <w:t>Definition</w:t>
            </w:r>
          </w:p>
        </w:tc>
      </w:tr>
      <w:tr>
        <w:tc>
          <w:tcPr>
            <w:tcW w:type="dxa" w:w="4968"/>
          </w:tcPr>
          <w:p>
            <w:r>
              <w:t>M0</w:t>
            </w:r>
          </w:p>
        </w:tc>
        <w:tc>
          <w:tcPr>
            <w:tcW w:type="dxa" w:w="4968"/>
          </w:tcPr>
          <w:p>
            <w:r>
              <w:t>Mandatory universal: must be resolved in every interview.</w:t>
            </w:r>
          </w:p>
        </w:tc>
      </w:tr>
      <w:tr>
        <w:tc>
          <w:tcPr>
            <w:tcW w:type="dxa" w:w="4968"/>
          </w:tcPr>
          <w:p>
            <w:r>
              <w:t>M1</w:t>
            </w:r>
          </w:p>
        </w:tc>
        <w:tc>
          <w:tcPr>
            <w:tcW w:type="dxa" w:w="4968"/>
          </w:tcPr>
          <w:p>
            <w:r>
              <w:t>Mandatory where applicable, e.g. reproductive or age-related screening.</w:t>
            </w:r>
          </w:p>
        </w:tc>
      </w:tr>
      <w:tr>
        <w:tc>
          <w:tcPr>
            <w:tcW w:type="dxa" w:w="4968"/>
          </w:tcPr>
          <w:p>
            <w:r>
              <w:t>C1</w:t>
            </w:r>
          </w:p>
        </w:tc>
        <w:tc>
          <w:tcPr>
            <w:tcW w:type="dxa" w:w="4968"/>
          </w:tcPr>
          <w:p>
            <w:r>
              <w:t>Condition-triggered, e.g. heart failure activates symptom and severity questions.</w:t>
            </w:r>
          </w:p>
        </w:tc>
      </w:tr>
      <w:tr>
        <w:tc>
          <w:tcPr>
            <w:tcW w:type="dxa" w:w="4968"/>
          </w:tcPr>
          <w:p>
            <w:r>
              <w:t>C2</w:t>
            </w:r>
          </w:p>
        </w:tc>
        <w:tc>
          <w:tcPr>
            <w:tcW w:type="dxa" w:w="4968"/>
          </w:tcPr>
          <w:p>
            <w:r>
              <w:t>Procedure-triggered, e.g. higher-risk surgery activates additional assessment.</w:t>
            </w:r>
          </w:p>
        </w:tc>
      </w:tr>
      <w:tr>
        <w:tc>
          <w:tcPr>
            <w:tcW w:type="dxa" w:w="4968"/>
          </w:tcPr>
          <w:p>
            <w:r>
              <w:t>C3</w:t>
            </w:r>
          </w:p>
        </w:tc>
        <w:tc>
          <w:tcPr>
            <w:tcW w:type="dxa" w:w="4968"/>
          </w:tcPr>
          <w:p>
            <w:r>
              <w:t>Medication-triggered, e.g. an SGLT2 inhibitor activates diabetes/medication logic.</w:t>
            </w:r>
          </w:p>
        </w:tc>
      </w:tr>
      <w:tr>
        <w:tc>
          <w:tcPr>
            <w:tcW w:type="dxa" w:w="4968"/>
          </w:tcPr>
          <w:p>
            <w:r>
              <w:t>C4</w:t>
            </w:r>
          </w:p>
        </w:tc>
        <w:tc>
          <w:tcPr>
            <w:tcW w:type="dxa" w:w="4968"/>
          </w:tcPr>
          <w:p>
            <w:r>
              <w:t>Demographic or risk-triggered, e.g. age/frailty activates cognition and delirium screening.</w:t>
            </w:r>
          </w:p>
        </w:tc>
      </w:tr>
      <w:tr>
        <w:tc>
          <w:tcPr>
            <w:tcW w:type="dxa" w:w="4968"/>
          </w:tcPr>
          <w:p>
            <w:r>
              <w:t>O</w:t>
            </w:r>
          </w:p>
        </w:tc>
        <w:tc>
          <w:tcPr>
            <w:tcW w:type="dxa" w:w="4968"/>
          </w:tcPr>
          <w:p>
            <w:r>
              <w:t>Optional or contextual.</w:t>
            </w:r>
          </w:p>
        </w:tc>
      </w:tr>
    </w:tbl>
    <w:p>
      <w:pPr>
        <w:pStyle w:val="Heading1"/>
      </w:pPr>
      <w:r>
        <w:t>9. Validated instruments</w:t>
      </w:r>
    </w:p>
    <w:p>
      <w:r>
        <w:t>Where possible, the system should collect inputs for established instruments rather than create novel AI-derived scores. Candidate instruments include STOP-Bang, DASI, AUDIT-C, Clinical Frailty Scale or alternative validated frailty tools, Mini-Cog where appropriate, validated nutritional screening, Apfel PONV score, RCRI inputs, ARISCAT inputs and oral morphine equivalent calculations.</w:t>
      </w:r>
    </w:p>
    <w:p>
      <w:r>
        <w:t>Collection of score inputs should be distinguished from authority to interpret or act upon the resulting score. A system may collect and calculate a score while still requiring clinician interpretation.</w:t>
      </w:r>
    </w:p>
    <w:p>
      <w:pPr>
        <w:pStyle w:val="Heading1"/>
      </w:pPr>
      <w:r>
        <w:t>10. Proposed system architecture</w:t>
      </w:r>
    </w:p>
    <w:p>
      <w:r>
        <w:t>A hybrid architecture is recommended. The LLM should control natural-language understanding and how questions are phrased, while a deterministic clinical state and requirements engine controls which information must be resolved.</w:t>
      </w:r>
    </w:p>
    <w:p>
      <w:pPr>
        <w:jc w:val="center"/>
      </w:pPr>
      <w:r>
        <w:rPr>
          <w:b/>
        </w:rPr>
        <w:t>Patient</w:t>
      </w:r>
    </w:p>
    <w:p>
      <w:pPr>
        <w:jc w:val="center"/>
      </w:pPr>
      <w:r>
        <w:rPr>
          <w:b w:val="0"/>
        </w:rPr>
        <w:t>↓</w:t>
      </w:r>
    </w:p>
    <w:p>
      <w:pPr>
        <w:jc w:val="center"/>
      </w:pPr>
      <w:r>
        <w:rPr>
          <w:b w:val="0"/>
        </w:rPr>
        <w:t>Conversational interface</w:t>
      </w:r>
    </w:p>
    <w:p>
      <w:pPr>
        <w:jc w:val="center"/>
      </w:pPr>
      <w:r>
        <w:rPr>
          <w:b w:val="0"/>
        </w:rPr>
        <w:t>↓</w:t>
      </w:r>
    </w:p>
    <w:p>
      <w:pPr>
        <w:jc w:val="center"/>
      </w:pPr>
      <w:r>
        <w:rPr>
          <w:b w:val="0"/>
        </w:rPr>
        <w:t>LLM layer: understanding and natural dialogue</w:t>
      </w:r>
    </w:p>
    <w:p>
      <w:pPr>
        <w:jc w:val="center"/>
      </w:pPr>
      <w:r>
        <w:rPr>
          <w:b w:val="0"/>
        </w:rPr>
        <w:t>↓</w:t>
      </w:r>
    </w:p>
    <w:p>
      <w:pPr>
        <w:jc w:val="center"/>
      </w:pPr>
      <w:r>
        <w:rPr>
          <w:b/>
        </w:rPr>
        <w:t>Clinical state engine ↔ EMR reconciliation</w:t>
      </w:r>
    </w:p>
    <w:p>
      <w:pPr>
        <w:jc w:val="center"/>
      </w:pPr>
      <w:r>
        <w:rPr>
          <w:b w:val="0"/>
        </w:rPr>
        <w:t>↓</w:t>
      </w:r>
    </w:p>
    <w:p>
      <w:pPr>
        <w:jc w:val="center"/>
      </w:pPr>
      <w:r>
        <w:rPr>
          <w:b/>
        </w:rPr>
        <w:t>Requirements engine: missing data | conflicts | trigger rules</w:t>
      </w:r>
    </w:p>
    <w:p>
      <w:pPr>
        <w:jc w:val="center"/>
      </w:pPr>
      <w:r>
        <w:rPr>
          <w:b w:val="0"/>
        </w:rPr>
        <w:t>↓</w:t>
      </w:r>
    </w:p>
    <w:p>
      <w:pPr>
        <w:jc w:val="center"/>
      </w:pPr>
      <w:r>
        <w:rPr>
          <w:b/>
        </w:rPr>
        <w:t>Safety engine</w:t>
      </w:r>
    </w:p>
    <w:p>
      <w:pPr>
        <w:jc w:val="center"/>
      </w:pPr>
      <w:r>
        <w:rPr>
          <w:b w:val="0"/>
        </w:rPr>
        <w:t>↓</w:t>
      </w:r>
    </w:p>
    <w:p>
      <w:pPr>
        <w:jc w:val="center"/>
      </w:pPr>
      <w:r>
        <w:rPr>
          <w:b w:val="0"/>
        </w:rPr>
        <w:t>Structured clinical dataset</w:t>
      </w:r>
    </w:p>
    <w:p>
      <w:pPr>
        <w:jc w:val="center"/>
      </w:pPr>
      <w:r>
        <w:rPr>
          <w:b w:val="0"/>
        </w:rPr>
        <w:t>↓</w:t>
      </w:r>
    </w:p>
    <w:p>
      <w:pPr>
        <w:jc w:val="center"/>
      </w:pPr>
      <w:r>
        <w:rPr>
          <w:b w:val="0"/>
        </w:rPr>
        <w:t>Clinician-facing summary</w:t>
      </w:r>
    </w:p>
    <w:p>
      <w:pPr>
        <w:jc w:val="center"/>
      </w:pPr>
      <w:r>
        <w:rPr>
          <w:b w:val="0"/>
        </w:rPr>
        <w:t>↓</w:t>
      </w:r>
    </w:p>
    <w:p>
      <w:pPr>
        <w:jc w:val="center"/>
      </w:pPr>
      <w:r>
        <w:rPr>
          <w:b/>
        </w:rPr>
        <w:t>Clinician</w:t>
      </w:r>
    </w:p>
    <w:p>
      <w:pPr>
        <w:pStyle w:val="Heading1"/>
      </w:pPr>
      <w:r>
        <w:t>11. Information-state model</w:t>
      </w:r>
    </w:p>
    <w:p>
      <w:r>
        <w:t>No clinical concept should be represented simply as yes/no. Each should retain value, status, source, timestamp, confidence and verification status.</w:t>
      </w:r>
    </w:p>
    <w:p>
      <w:pPr>
        <w:pStyle w:val="ListBullet"/>
      </w:pPr>
      <w:r>
        <w:t>CONFIRMED_PRESENT</w:t>
      </w:r>
    </w:p>
    <w:p>
      <w:pPr>
        <w:pStyle w:val="ListBullet"/>
      </w:pPr>
      <w:r>
        <w:t>CONFIRMED_ABSENT</w:t>
      </w:r>
    </w:p>
    <w:p>
      <w:pPr>
        <w:pStyle w:val="ListBullet"/>
      </w:pPr>
      <w:r>
        <w:t>PATIENT_UNSURE</w:t>
      </w:r>
    </w:p>
    <w:p>
      <w:pPr>
        <w:pStyle w:val="ListBullet"/>
      </w:pPr>
      <w:r>
        <w:t>NOT_KNOWN</w:t>
      </w:r>
    </w:p>
    <w:p>
      <w:pPr>
        <w:pStyle w:val="ListBullet"/>
      </w:pPr>
      <w:r>
        <w:t>NOT_ASKED</w:t>
      </w:r>
    </w:p>
    <w:p>
      <w:pPr>
        <w:pStyle w:val="ListBullet"/>
      </w:pPr>
      <w:r>
        <w:t>NOT_APPLICABLE</w:t>
      </w:r>
    </w:p>
    <w:p>
      <w:pPr>
        <w:pStyle w:val="ListBullet"/>
      </w:pPr>
      <w:r>
        <w:t>INCOMPLETE</w:t>
      </w:r>
    </w:p>
    <w:p>
      <w:pPr>
        <w:pStyle w:val="ListBullet"/>
      </w:pPr>
      <w:r>
        <w:t>CONFLICTING</w:t>
      </w:r>
    </w:p>
    <w:p>
      <w:pPr>
        <w:pStyle w:val="ListBullet"/>
      </w:pPr>
      <w:r>
        <w:t>DECLINED</w:t>
      </w:r>
    </w:p>
    <w:p>
      <w:pPr>
        <w:pStyle w:val="ListBullet"/>
      </w:pPr>
      <w:r>
        <w:t>REQUIRES_CLINICIAN_REVIEW</w:t>
      </w:r>
    </w:p>
    <w:p>
      <w:r>
        <w:t>Key safety principle: 'patient does not know', 'not mentioned' and 'not asked' must never be converted into a negative finding.</w:t>
      </w:r>
    </w:p>
    <w:p>
      <w:pPr>
        <w:pStyle w:val="Heading1"/>
      </w:pPr>
      <w:r>
        <w:t>12. Core safety requirements</w:t>
      </w:r>
    </w:p>
    <w:p>
      <w:r>
        <w:rPr>
          <w:b/>
        </w:rPr>
        <w:t xml:space="preserve">REQ-SAF-001: </w:t>
      </w:r>
      <w:r>
        <w:t>The system SHALL NOT generate a negative clinical assertion unless the underlying concept has been explicitly resolved by patient response or another identified authoritative source.</w:t>
      </w:r>
    </w:p>
    <w:p>
      <w:r>
        <w:rPr>
          <w:b/>
        </w:rPr>
        <w:t xml:space="preserve">REQ-SAF-002: </w:t>
      </w:r>
      <w:r>
        <w:t>The system SHALL retain contradictory clinical information rather than silently reconcile it.</w:t>
      </w:r>
    </w:p>
    <w:p>
      <w:r>
        <w:rPr>
          <w:b/>
        </w:rPr>
        <w:t xml:space="preserve">REQ-SAF-003: </w:t>
      </w:r>
      <w:r>
        <w:t>The system SHALL retain provenance for clinically relevant assertions.</w:t>
      </w:r>
    </w:p>
    <w:p>
      <w:r>
        <w:rPr>
          <w:b/>
        </w:rPr>
        <w:t xml:space="preserve">REQ-SAF-004: </w:t>
      </w:r>
      <w:r>
        <w:t>The system SHALL identify mandatory high-risk concepts that remain incomplete before interview completion.</w:t>
      </w:r>
    </w:p>
    <w:p>
      <w:r>
        <w:rPr>
          <w:b/>
        </w:rPr>
        <w:t xml:space="preserve">REQ-SAF-005: </w:t>
      </w:r>
      <w:r>
        <w:t>The system SHALL support explicit patient uncertainty and refusal without coercing a binary response.</w:t>
      </w:r>
    </w:p>
    <w:p>
      <w:r>
        <w:rPr>
          <w:b/>
        </w:rPr>
        <w:t xml:space="preserve">REQ-SAF-006: </w:t>
      </w:r>
      <w:r>
        <w:t>The system SHALL require clinician review before the output is treated as a completed pre-anaesthetic assessment.</w:t>
      </w:r>
    </w:p>
    <w:p>
      <w:pPr>
        <w:pStyle w:val="Heading1"/>
      </w:pPr>
      <w:r>
        <w:t>13. Contradiction handling</w:t>
      </w:r>
    </w:p>
    <w:p>
      <w:r>
        <w:t>The system should surface rather than resolve discrepancies. Example: if a patient reports no cardiac disease while an existing record documents dilated cardiomyopathy with reduced LVEF, both assertions should be retained with their sources and a clinician-verification flag generated.</w:t>
      </w:r>
    </w:p>
    <w:p>
      <w:pPr>
        <w:pStyle w:val="Heading1"/>
      </w:pPr>
      <w:r>
        <w:t>14. Medication reconciliation subsystem</w:t>
      </w:r>
    </w:p>
    <w:p>
      <w:r>
        <w:t>Medication collection should progressively establish name, active ingredient, dose, formulation, route, frequency, indication, last dose, adherence, recent changes and source. The system should deliberately probe for commonly omitted therapies including insulin, injections, inhalers, patches, anticoagulants, antiplatelets, steroids, biologics, chemotherapy, contraceptives/HRT, supplements, herbal products, over-the-counter medicines and weight-loss therapies.</w:t>
      </w:r>
    </w:p>
    <w:p>
      <w:r>
        <w:t>Perioperative medication knowledge and management rules should be versioned separately from the LLM. The LLM should not act as the authoritative source for medication cessation or continuation instructions.</w:t>
      </w:r>
    </w:p>
    <w:p>
      <w:pPr>
        <w:pStyle w:val="Heading1"/>
      </w:pPr>
      <w:r>
        <w:t>15. Escalation framework</w:t>
      </w:r>
    </w:p>
    <w:p>
      <w:r>
        <w:t>Escalation criteria should be explicit, version-controlled and auditable rather than generated through unconstrained LLM reasoning.</w:t>
      </w:r>
    </w:p>
    <w:p>
      <w:pPr>
        <w:pStyle w:val="Heading2"/>
      </w:pPr>
      <w:r>
        <w:t>15.1 Red: potentially prompt clinician assessment</w:t>
      </w:r>
    </w:p>
    <w:p>
      <w:pPr>
        <w:pStyle w:val="ListBullet"/>
      </w:pPr>
      <w:r>
        <w:t>Current or rest chest pain.</w:t>
      </w:r>
    </w:p>
    <w:p>
      <w:pPr>
        <w:pStyle w:val="ListBullet"/>
      </w:pPr>
      <w:r>
        <w:t>Severe or new dyspnoea.</w:t>
      </w:r>
    </w:p>
    <w:p>
      <w:pPr>
        <w:pStyle w:val="ListBullet"/>
      </w:pPr>
      <w:r>
        <w:t>Recent concerning syncope.</w:t>
      </w:r>
    </w:p>
    <w:p>
      <w:pPr>
        <w:pStyle w:val="ListBullet"/>
      </w:pPr>
      <w:r>
        <w:t>Recent stroke or TIA.</w:t>
      </w:r>
    </w:p>
    <w:p>
      <w:pPr>
        <w:pStyle w:val="ListBullet"/>
      </w:pPr>
      <w:r>
        <w:t>Severe uncontrolled respiratory symptoms.</w:t>
      </w:r>
    </w:p>
    <w:p>
      <w:pPr>
        <w:pStyle w:val="ListBullet"/>
      </w:pPr>
      <w:r>
        <w:t>Current serious infection or major recent deterioration.</w:t>
      </w:r>
    </w:p>
    <w:p>
      <w:pPr>
        <w:pStyle w:val="ListBullet"/>
      </w:pPr>
      <w:r>
        <w:t>History suggesting severe perioperative hypersensitivity or malignant hyperthermia susceptibility.</w:t>
      </w:r>
    </w:p>
    <w:p>
      <w:pPr>
        <w:pStyle w:val="ListBullet"/>
      </w:pPr>
      <w:r>
        <w:t>Potentially unsafe anticoagulant or antiplatelet issue.</w:t>
      </w:r>
    </w:p>
    <w:p>
      <w:pPr>
        <w:pStyle w:val="ListBullet"/>
      </w:pPr>
      <w:r>
        <w:t>Inability to establish essential medication or clinical information.</w:t>
      </w:r>
    </w:p>
    <w:p>
      <w:pPr>
        <w:pStyle w:val="Heading2"/>
      </w:pPr>
      <w:r>
        <w:t>15.2 Amber: clinician review or optimisation</w:t>
      </w:r>
    </w:p>
    <w:p>
      <w:pPr>
        <w:pStyle w:val="ListBullet"/>
      </w:pPr>
      <w:r>
        <w:t>Poor functional capacity.</w:t>
      </w:r>
    </w:p>
    <w:p>
      <w:pPr>
        <w:pStyle w:val="ListBullet"/>
      </w:pPr>
      <w:r>
        <w:t>Suspected obstructive sleep apnoea.</w:t>
      </w:r>
    </w:p>
    <w:p>
      <w:pPr>
        <w:pStyle w:val="ListBullet"/>
      </w:pPr>
      <w:r>
        <w:t>Anaemia.</w:t>
      </w:r>
    </w:p>
    <w:p>
      <w:pPr>
        <w:pStyle w:val="ListBullet"/>
      </w:pPr>
      <w:r>
        <w:t>Frailty, cognitive vulnerability or malnutrition.</w:t>
      </w:r>
    </w:p>
    <w:p>
      <w:pPr>
        <w:pStyle w:val="ListBullet"/>
      </w:pPr>
      <w:r>
        <w:t>Poorly controlled diabetes.</w:t>
      </w:r>
    </w:p>
    <w:p>
      <w:pPr>
        <w:pStyle w:val="ListBullet"/>
      </w:pPr>
      <w:r>
        <w:t>Chronic opioid use.</w:t>
      </w:r>
    </w:p>
    <w:p>
      <w:pPr>
        <w:pStyle w:val="ListBullet"/>
      </w:pPr>
      <w:r>
        <w:t>Recent respiratory infection.</w:t>
      </w:r>
    </w:p>
    <w:p>
      <w:pPr>
        <w:pStyle w:val="ListBullet"/>
      </w:pPr>
      <w:r>
        <w:t>Problematic alcohol use.</w:t>
      </w:r>
    </w:p>
    <w:p>
      <w:pPr>
        <w:pStyle w:val="ListBullet"/>
      </w:pPr>
      <w:r>
        <w:t>Previous severe postoperative nausea and vomiting.</w:t>
      </w:r>
    </w:p>
    <w:p>
      <w:pPr>
        <w:pStyle w:val="ListBullet"/>
      </w:pPr>
      <w:r>
        <w:t>Social or discharge barriers.</w:t>
      </w:r>
    </w:p>
    <w:p>
      <w:pPr>
        <w:pStyle w:val="Heading1"/>
      </w:pPr>
      <w:r>
        <w:t>16. Conversational requirements</w:t>
      </w:r>
    </w:p>
    <w:p>
      <w:pPr>
        <w:pStyle w:val="ListBullet"/>
      </w:pPr>
      <w:r>
        <w:t>Begin with an open-ended invitation and allow the patient to identify concerns.</w:t>
      </w:r>
    </w:p>
    <w:p>
      <w:pPr>
        <w:pStyle w:val="ListBullet"/>
      </w:pPr>
      <w:r>
        <w:t>Ask one concept at a time where practical.</w:t>
      </w:r>
    </w:p>
    <w:p>
      <w:pPr>
        <w:pStyle w:val="ListBullet"/>
      </w:pPr>
      <w:r>
        <w:t>Recognise common lay terminology and explain unfamiliar medical terms.</w:t>
      </w:r>
    </w:p>
    <w:p>
      <w:pPr>
        <w:pStyle w:val="ListBullet"/>
      </w:pPr>
      <w:r>
        <w:t>Avoid unnecessary jargon and judgemental wording.</w:t>
      </w:r>
    </w:p>
    <w:p>
      <w:pPr>
        <w:pStyle w:val="ListBullet"/>
      </w:pPr>
      <w:r>
        <w:t>Allow 'I don't know', uncertainty and refusal.</w:t>
      </w:r>
    </w:p>
    <w:p>
      <w:pPr>
        <w:pStyle w:val="ListBullet"/>
      </w:pPr>
      <w:r>
        <w:t>Avoid repeatedly asking information already supplied.</w:t>
      </w:r>
    </w:p>
    <w:p>
      <w:pPr>
        <w:pStyle w:val="ListBullet"/>
      </w:pPr>
      <w:r>
        <w:t>Use sensitive transitions for alcohol, drugs, mental health and reproductive questions.</w:t>
      </w:r>
    </w:p>
    <w:p>
      <w:pPr>
        <w:pStyle w:val="ListBullet"/>
      </w:pPr>
      <w:r>
        <w:t>Distinguish patient, proxy and imported-source information.</w:t>
      </w:r>
    </w:p>
    <w:p>
      <w:pPr>
        <w:pStyle w:val="ListBullet"/>
      </w:pPr>
      <w:r>
        <w:t>Support interpreter, accessibility and communication needs.</w:t>
      </w:r>
    </w:p>
    <w:p>
      <w:pPr>
        <w:pStyle w:val="ListBullet"/>
      </w:pPr>
      <w:r>
        <w:t>Recognise when conversational interaction is failing and provide an alternative pathway.</w:t>
      </w:r>
    </w:p>
    <w:p>
      <w:pPr>
        <w:pStyle w:val="ListBullet"/>
      </w:pPr>
      <w:r>
        <w:t>Periodically summarise and allow correction.</w:t>
      </w:r>
    </w:p>
    <w:p>
      <w:pPr>
        <w:pStyle w:val="ListBullet"/>
      </w:pPr>
      <w:r>
        <w:t>Conclude with a patient confirmation step and a final open question about anything important not yet discussed.</w:t>
      </w:r>
    </w:p>
    <w:p>
      <w:pPr>
        <w:pStyle w:val="Heading1"/>
      </w:pPr>
      <w:r>
        <w:t>17. Patient confirmation</w:t>
      </w:r>
    </w:p>
    <w:p>
      <w:r>
        <w:t>Before completion, the agent should present a concise patient-readable summary and ask the patient to correct misunderstandings. A final open-ended question should invite disclosure of any important health, medication, surgery or anaesthesia information not already covered.</w:t>
      </w:r>
    </w:p>
    <w:p>
      <w:pPr>
        <w:pStyle w:val="Heading1"/>
      </w:pPr>
      <w:r>
        <w:t>18. Clinician-facing output</w:t>
      </w:r>
    </w:p>
    <w:p>
      <w:r>
        <w:t>The default clinician view should be a structured summary rather than a transcript. It should prioritise perioperative issues, incomplete or conflicting information and provenance.</w:t>
      </w:r>
    </w:p>
    <w:p>
      <w:pPr>
        <w:pStyle w:val="ListBullet"/>
      </w:pPr>
      <w:r>
        <w:t>Procedure and context.</w:t>
      </w:r>
    </w:p>
    <w:p>
      <w:pPr>
        <w:pStyle w:val="ListBullet"/>
      </w:pPr>
      <w:r>
        <w:t>Key perioperative issues and escalation flags.</w:t>
      </w:r>
    </w:p>
    <w:p>
      <w:pPr>
        <w:pStyle w:val="ListBullet"/>
      </w:pPr>
      <w:r>
        <w:t>System-based medical history and current stability.</w:t>
      </w:r>
    </w:p>
    <w:p>
      <w:pPr>
        <w:pStyle w:val="ListBullet"/>
      </w:pPr>
      <w:r>
        <w:t>Functional capacity and relevant validated instrument inputs/scores.</w:t>
      </w:r>
    </w:p>
    <w:p>
      <w:pPr>
        <w:pStyle w:val="ListBullet"/>
      </w:pPr>
      <w:r>
        <w:t>Previous anaesthetic and family anaesthetic history.</w:t>
      </w:r>
    </w:p>
    <w:p>
      <w:pPr>
        <w:pStyle w:val="ListBullet"/>
      </w:pPr>
      <w:r>
        <w:t>Medication and allergy reconciliation.</w:t>
      </w:r>
    </w:p>
    <w:p>
      <w:pPr>
        <w:pStyle w:val="ListBullet"/>
      </w:pPr>
      <w:r>
        <w:t>Frailty, cognition, nutrition, pain and psychosocial factors where relevant.</w:t>
      </w:r>
    </w:p>
    <w:p>
      <w:pPr>
        <w:pStyle w:val="ListBullet"/>
      </w:pPr>
      <w:r>
        <w:t>Social/discharge issues.</w:t>
      </w:r>
    </w:p>
    <w:p>
      <w:pPr>
        <w:pStyle w:val="ListBullet"/>
      </w:pPr>
      <w:r>
        <w:t>Patient priorities and goals.</w:t>
      </w:r>
    </w:p>
    <w:p>
      <w:pPr>
        <w:pStyle w:val="ListBullet"/>
      </w:pPr>
      <w:r>
        <w:t>Explicit incomplete, uncertain or conflicting data.</w:t>
      </w:r>
    </w:p>
    <w:p>
      <w:pPr>
        <w:pStyle w:val="ListBullet"/>
      </w:pPr>
      <w:r>
        <w:t>Data provenance and interview timestamp.</w:t>
      </w:r>
    </w:p>
    <w:p>
      <w:pPr>
        <w:pStyle w:val="ListBullet"/>
      </w:pPr>
      <w:r>
        <w:t>Access to the full transcript/audit trail when required.</w:t>
      </w:r>
    </w:p>
    <w:p>
      <w:pPr>
        <w:pStyle w:val="Heading1"/>
      </w:pPr>
      <w:r>
        <w:t>19. AI-specific safety constraints</w:t>
      </w:r>
    </w:p>
    <w:p>
      <w:r>
        <w:rPr>
          <w:b/>
        </w:rPr>
        <w:t xml:space="preserve">SAF-01: </w:t>
      </w:r>
      <w:r>
        <w:t>No autonomous clearance for surgery.</w:t>
      </w:r>
    </w:p>
    <w:p>
      <w:r>
        <w:rPr>
          <w:b/>
        </w:rPr>
        <w:t xml:space="preserve">SAF-02: </w:t>
      </w:r>
      <w:r>
        <w:t>No autonomous anaesthetic plan.</w:t>
      </w:r>
    </w:p>
    <w:p>
      <w:r>
        <w:rPr>
          <w:b/>
        </w:rPr>
        <w:t xml:space="preserve">SAF-03: </w:t>
      </w:r>
      <w:r>
        <w:t>No autonomous medication cessation/change unless delivered by a separately governed deterministic protocol.</w:t>
      </w:r>
    </w:p>
    <w:p>
      <w:r>
        <w:rPr>
          <w:b/>
        </w:rPr>
        <w:t xml:space="preserve">SAF-04: </w:t>
      </w:r>
      <w:r>
        <w:t>Mandatory clinician review.</w:t>
      </w:r>
    </w:p>
    <w:p>
      <w:r>
        <w:rPr>
          <w:b/>
        </w:rPr>
        <w:t xml:space="preserve">SAF-05: </w:t>
      </w:r>
      <w:r>
        <w:t>Mandatory high-risk dataset completion check.</w:t>
      </w:r>
    </w:p>
    <w:p>
      <w:r>
        <w:rPr>
          <w:b/>
        </w:rPr>
        <w:t xml:space="preserve">SAF-06: </w:t>
      </w:r>
      <w:r>
        <w:t>Explicit representation of missing data.</w:t>
      </w:r>
    </w:p>
    <w:p>
      <w:r>
        <w:rPr>
          <w:b/>
        </w:rPr>
        <w:t xml:space="preserve">SAF-07: </w:t>
      </w:r>
      <w:r>
        <w:t>Source provenance.</w:t>
      </w:r>
    </w:p>
    <w:p>
      <w:r>
        <w:rPr>
          <w:b/>
        </w:rPr>
        <w:t xml:space="preserve">SAF-08: </w:t>
      </w:r>
      <w:r>
        <w:t>Contradiction preservation.</w:t>
      </w:r>
    </w:p>
    <w:p>
      <w:r>
        <w:rPr>
          <w:b/>
        </w:rPr>
        <w:t xml:space="preserve">SAF-09: </w:t>
      </w:r>
      <w:r>
        <w:t>Full audit trail.</w:t>
      </w:r>
    </w:p>
    <w:p>
      <w:r>
        <w:rPr>
          <w:b/>
        </w:rPr>
        <w:t xml:space="preserve">SAF-10: </w:t>
      </w:r>
      <w:r>
        <w:t>Model and knowledge-base version logging.</w:t>
      </w:r>
    </w:p>
    <w:p>
      <w:r>
        <w:rPr>
          <w:b/>
        </w:rPr>
        <w:t xml:space="preserve">SAF-11: </w:t>
      </w:r>
      <w:r>
        <w:t>Deterministic escalation rules.</w:t>
      </w:r>
    </w:p>
    <w:p>
      <w:r>
        <w:rPr>
          <w:b/>
        </w:rPr>
        <w:t xml:space="preserve">SAF-12: </w:t>
      </w:r>
      <w:r>
        <w:t>Fail-safe behaviour when the LLM or integration is unavailable.</w:t>
      </w:r>
    </w:p>
    <w:p>
      <w:r>
        <w:rPr>
          <w:b/>
        </w:rPr>
        <w:t xml:space="preserve">SAF-13: </w:t>
      </w:r>
      <w:r>
        <w:t>No unlabelled diagnostic inference from ambiguous patient language.</w:t>
      </w:r>
    </w:p>
    <w:p>
      <w:r>
        <w:rPr>
          <w:b/>
        </w:rPr>
        <w:t xml:space="preserve">SAF-14: </w:t>
      </w:r>
      <w:r>
        <w:t>Patient correction mechanism.</w:t>
      </w:r>
    </w:p>
    <w:p>
      <w:r>
        <w:rPr>
          <w:b/>
        </w:rPr>
        <w:t xml:space="preserve">SAF-15: </w:t>
      </w:r>
      <w:r>
        <w:t>Clinician override with reason capture.</w:t>
      </w:r>
    </w:p>
    <w:p>
      <w:pPr>
        <w:pStyle w:val="Heading1"/>
      </w:pPr>
      <w:r>
        <w:t>20. Australian clinical governance and regulatory considerations</w:t>
      </w:r>
    </w:p>
    <w:p>
      <w:r>
        <w:t>Clinical implementation should occur within the organisation's clinical governance, digital health, privacy, cybersecurity, safety and quality frameworks. The intended use and claims made for the software will materially influence whether it falls within Australian medical device regulation. The narrow initial function should therefore remain collection, clarification, structuring, flagging and summarisation with clinician verification.</w:t>
      </w:r>
    </w:p>
    <w:p>
      <w:r>
        <w:t>Development should include formal clinical risk assessment, software lifecycle controls, model and prompt/version management, change control, validation after material updates, auditability, privacy-by-design, cybersecurity review, equity/accessibility assessment and defined accountability for clinical content.</w:t>
      </w:r>
    </w:p>
    <w:p>
      <w:pPr>
        <w:pStyle w:val="Heading1"/>
      </w:pPr>
      <w:r>
        <w:t>21. Evaluation framework</w:t>
      </w:r>
    </w:p>
    <w:p>
      <w:r>
        <w:t>The primary evaluation outcome should focus on safety and clinical completeness rather than usability alone.</w:t>
      </w:r>
    </w:p>
    <w:p>
      <w:r>
        <w:rPr>
          <w:b/>
        </w:rPr>
        <w:t xml:space="preserve">Proposed primary outcome: </w:t>
      </w:r>
      <w:r>
        <w:t>Proportion of clinically important preoperative information captured compared with a reference-standard clinician assessment, with separate analysis of critical omissions.</w:t>
      </w:r>
    </w:p>
    <w:p>
      <w:pPr>
        <w:pStyle w:val="Heading2"/>
      </w:pPr>
      <w:r>
        <w:t>21.1 Secondary outcomes</w:t>
      </w:r>
    </w:p>
    <w:p>
      <w:pPr>
        <w:pStyle w:val="ListBullet"/>
      </w:pPr>
      <w:r>
        <w:t>Critical omission rate.</w:t>
      </w:r>
    </w:p>
    <w:p>
      <w:pPr>
        <w:pStyle w:val="ListBullet"/>
      </w:pPr>
      <w:r>
        <w:t>False-positive clinical assertions.</w:t>
      </w:r>
    </w:p>
    <w:p>
      <w:pPr>
        <w:pStyle w:val="ListBullet"/>
      </w:pPr>
      <w:r>
        <w:t>Unsupported negative assertions.</w:t>
      </w:r>
    </w:p>
    <w:p>
      <w:pPr>
        <w:pStyle w:val="ListBullet"/>
      </w:pPr>
      <w:r>
        <w:t>Contradiction detection performance.</w:t>
      </w:r>
    </w:p>
    <w:p>
      <w:pPr>
        <w:pStyle w:val="ListBullet"/>
      </w:pPr>
      <w:r>
        <w:t>Medication reconciliation completeness.</w:t>
      </w:r>
    </w:p>
    <w:p>
      <w:pPr>
        <w:pStyle w:val="ListBullet"/>
      </w:pPr>
      <w:r>
        <w:t>Allergy characterisation completeness.</w:t>
      </w:r>
    </w:p>
    <w:p>
      <w:pPr>
        <w:pStyle w:val="ListBullet"/>
      </w:pPr>
      <w:r>
        <w:t>Validated-score input completeness.</w:t>
      </w:r>
    </w:p>
    <w:p>
      <w:pPr>
        <w:pStyle w:val="ListBullet"/>
      </w:pPr>
      <w:r>
        <w:t>Interview duration and abandonment rate.</w:t>
      </w:r>
    </w:p>
    <w:p>
      <w:pPr>
        <w:pStyle w:val="ListBullet"/>
      </w:pPr>
      <w:r>
        <w:t>Clinician review time.</w:t>
      </w:r>
    </w:p>
    <w:p>
      <w:pPr>
        <w:pStyle w:val="ListBullet"/>
      </w:pPr>
      <w:r>
        <w:t>Number and type of clinician corrections.</w:t>
      </w:r>
    </w:p>
    <w:p>
      <w:pPr>
        <w:pStyle w:val="ListBullet"/>
      </w:pPr>
      <w:r>
        <w:t>Patient and clinician acceptability.</w:t>
      </w:r>
    </w:p>
    <w:p>
      <w:pPr>
        <w:pStyle w:val="ListBullet"/>
      </w:pPr>
      <w:r>
        <w:t>Patient comprehension.</w:t>
      </w:r>
    </w:p>
    <w:p>
      <w:pPr>
        <w:pStyle w:val="ListBullet"/>
      </w:pPr>
      <w:r>
        <w:t>Accessibility and equity.</w:t>
      </w:r>
    </w:p>
    <w:p>
      <w:pPr>
        <w:pStyle w:val="ListBullet"/>
      </w:pPr>
      <w:r>
        <w:t>Performance stratified by age, language, health literacy, frailty, clinical complexity/ASA class and surgical specialty.</w:t>
      </w:r>
    </w:p>
    <w:p>
      <w:pPr>
        <w:pStyle w:val="Heading1"/>
      </w:pPr>
      <w:r>
        <w:t>22. Proposed development outputs</w:t>
      </w:r>
    </w:p>
    <w:tbl>
      <w:tblPr>
        <w:tblStyle w:val="TableGrid"/>
        <w:tblW w:type="auto" w:w="0"/>
        <w:tblLook w:firstColumn="1" w:firstRow="1" w:lastColumn="0" w:lastRow="0" w:noHBand="0" w:noVBand="1" w:val="04A0"/>
      </w:tblPr>
      <w:tblGrid>
        <w:gridCol w:w="4968"/>
        <w:gridCol w:w="4968"/>
      </w:tblGrid>
      <w:tr>
        <w:tc>
          <w:tcPr>
            <w:tcW w:type="dxa" w:w="4968"/>
          </w:tcPr>
          <w:p>
            <w:r>
              <w:t>Output</w:t>
            </w:r>
          </w:p>
        </w:tc>
        <w:tc>
          <w:tcPr>
            <w:tcW w:type="dxa" w:w="4968"/>
          </w:tcPr>
          <w:p>
            <w:r>
              <w:t>Purpose</w:t>
            </w:r>
          </w:p>
        </w:tc>
      </w:tr>
      <w:tr>
        <w:tc>
          <w:tcPr>
            <w:tcW w:type="dxa" w:w="4968"/>
          </w:tcPr>
          <w:p>
            <w:r>
              <w:t>A. Scoping Review</w:t>
            </w:r>
          </w:p>
        </w:tc>
        <w:tc>
          <w:tcPr>
            <w:tcW w:type="dxa" w:w="4968"/>
          </w:tcPr>
          <w:p>
            <w:r>
              <w:t>Academic evidence synthesis using PRISMA-ScR methodology.</w:t>
            </w:r>
          </w:p>
        </w:tc>
      </w:tr>
      <w:tr>
        <w:tc>
          <w:tcPr>
            <w:tcW w:type="dxa" w:w="4968"/>
          </w:tcPr>
          <w:p>
            <w:r>
              <w:t>B. Evidence Matrix</w:t>
            </w:r>
          </w:p>
        </w:tc>
        <w:tc>
          <w:tcPr>
            <w:tcW w:type="dxa" w:w="4968"/>
          </w:tcPr>
          <w:p>
            <w:r>
              <w:t>Source × clinical domain × recommendation × evidence strength.</w:t>
            </w:r>
          </w:p>
        </w:tc>
      </w:tr>
      <w:tr>
        <w:tc>
          <w:tcPr>
            <w:tcW w:type="dxa" w:w="4968"/>
          </w:tcPr>
          <w:p>
            <w:r>
              <w:t>C. Perioperative Clinical Dataset v1.0</w:t>
            </w:r>
          </w:p>
        </w:tc>
        <w:tc>
          <w:tcPr>
            <w:tcW w:type="dxa" w:w="4968"/>
          </w:tcPr>
          <w:p>
            <w:r>
              <w:t>Atomic data elements, definitions, provenance, mandatory status and evidence.</w:t>
            </w:r>
          </w:p>
        </w:tc>
      </w:tr>
      <w:tr>
        <w:tc>
          <w:tcPr>
            <w:tcW w:type="dxa" w:w="4968"/>
          </w:tcPr>
          <w:p>
            <w:r>
              <w:t>D. Conversational Clinical Logic Specification</w:t>
            </w:r>
          </w:p>
        </w:tc>
        <w:tc>
          <w:tcPr>
            <w:tcW w:type="dxa" w:w="4968"/>
          </w:tcPr>
          <w:p>
            <w:r>
              <w:t>Question triggers, branching, clarification, completion criteria, contradiction handling and escalation.</w:t>
            </w:r>
          </w:p>
        </w:tc>
      </w:tr>
      <w:tr>
        <w:tc>
          <w:tcPr>
            <w:tcW w:type="dxa" w:w="4968"/>
          </w:tcPr>
          <w:p>
            <w:r>
              <w:t>E. Clinical Safety and Software Requirements Specification</w:t>
            </w:r>
          </w:p>
        </w:tc>
        <w:tc>
          <w:tcPr>
            <w:tcW w:type="dxa" w:w="4968"/>
          </w:tcPr>
          <w:p>
            <w:r>
              <w:t>Functional and non-functional requirements, AI constraints, human oversight, auditability, security, validation and governance.</w:t>
            </w:r>
          </w:p>
        </w:tc>
      </w:tr>
    </w:tbl>
    <w:p>
      <w:pPr>
        <w:pStyle w:val="Heading1"/>
      </w:pPr>
      <w:r>
        <w:t>23. Proposed development pathway</w:t>
      </w:r>
    </w:p>
    <w:p>
      <w:pPr>
        <w:jc w:val="center"/>
      </w:pPr>
      <w:r>
        <w:rPr>
          <w:b/>
        </w:rPr>
        <w:t>Literature search and scoping review</w:t>
      </w:r>
    </w:p>
    <w:p>
      <w:pPr>
        <w:jc w:val="center"/>
      </w:pPr>
      <w:r>
        <w:t>↓</w:t>
      </w:r>
    </w:p>
    <w:p>
      <w:pPr>
        <w:jc w:val="center"/>
      </w:pPr>
      <w:r>
        <w:rPr>
          <w:b/>
        </w:rPr>
        <w:t>Evidence matrix</w:t>
      </w:r>
    </w:p>
    <w:p>
      <w:pPr>
        <w:jc w:val="center"/>
      </w:pPr>
      <w:r>
        <w:t>↓</w:t>
      </w:r>
    </w:p>
    <w:p>
      <w:pPr>
        <w:jc w:val="center"/>
      </w:pPr>
      <w:r>
        <w:rPr>
          <w:b/>
        </w:rPr>
        <w:t>Clinical Dataset v1.0</w:t>
      </w:r>
    </w:p>
    <w:p>
      <w:pPr>
        <w:jc w:val="center"/>
      </w:pPr>
      <w:r>
        <w:t>↓</w:t>
      </w:r>
    </w:p>
    <w:p>
      <w:pPr>
        <w:jc w:val="center"/>
      </w:pPr>
      <w:r>
        <w:rPr>
          <w:b/>
        </w:rPr>
        <w:t>Conversation logic and safety rules</w:t>
      </w:r>
    </w:p>
    <w:p>
      <w:pPr>
        <w:jc w:val="center"/>
      </w:pPr>
      <w:r>
        <w:t>↓</w:t>
      </w:r>
    </w:p>
    <w:p>
      <w:pPr>
        <w:jc w:val="center"/>
      </w:pPr>
      <w:r>
        <w:rPr>
          <w:b/>
        </w:rPr>
        <w:t>Requirements specification</w:t>
      </w:r>
    </w:p>
    <w:p>
      <w:pPr>
        <w:jc w:val="center"/>
      </w:pPr>
      <w:r>
        <w:t>↓</w:t>
      </w:r>
    </w:p>
    <w:p>
      <w:pPr>
        <w:jc w:val="center"/>
      </w:pPr>
      <w:r>
        <w:rPr>
          <w:b/>
        </w:rPr>
        <w:t>Prototype</w:t>
      </w:r>
    </w:p>
    <w:p>
      <w:pPr>
        <w:jc w:val="center"/>
      </w:pPr>
      <w:r>
        <w:t>↓</w:t>
      </w:r>
    </w:p>
    <w:p>
      <w:pPr>
        <w:jc w:val="center"/>
      </w:pPr>
      <w:r>
        <w:rPr>
          <w:b/>
        </w:rPr>
        <w:t>Retrospective/simulated validation</w:t>
      </w:r>
    </w:p>
    <w:p>
      <w:pPr>
        <w:jc w:val="center"/>
      </w:pPr>
      <w:r>
        <w:t>↓</w:t>
      </w:r>
    </w:p>
    <w:p>
      <w:pPr>
        <w:jc w:val="center"/>
      </w:pPr>
      <w:r>
        <w:rPr>
          <w:b/>
        </w:rPr>
        <w:t>Prospective silent trial</w:t>
      </w:r>
    </w:p>
    <w:p>
      <w:pPr>
        <w:jc w:val="center"/>
      </w:pPr>
      <w:r>
        <w:t>↓</w:t>
      </w:r>
    </w:p>
    <w:p>
      <w:pPr>
        <w:jc w:val="center"/>
      </w:pPr>
      <w:r>
        <w:rPr>
          <w:b/>
        </w:rPr>
        <w:t>Clinician-supervised patient pilot</w:t>
      </w:r>
    </w:p>
    <w:p>
      <w:pPr>
        <w:pStyle w:val="Heading1"/>
      </w:pPr>
      <w:r>
        <w:t>24. Immediate next work package</w:t>
      </w:r>
    </w:p>
    <w:p>
      <w:r>
        <w:t>The next work package should develop the full review protocol and extraction framework. This should include database-specific search strategies, inclusion and exclusion criteria, screening rules, PRISMA-ScR reporting plan, critical appraisal approach where appropriate and a structured extraction table designed to translate each source into atomic clinical and software requirements.</w:t>
      </w:r>
    </w:p>
    <w:p>
      <w:r>
        <w:t>Following protocol finalisation, searches should be conducted domain by domain and used to populate the Perioperative Conversational AI Clinical Dataset v1.0. This approach provides a traceable pathway from published evidence to conversation logic, safety controls, prototype design and subsequent clinical validation.</w:t>
      </w:r>
    </w:p>
    <w:p>
      <w:pPr>
        <w:pStyle w:val="Heading1"/>
      </w:pPr>
      <w:r>
        <w:t>25. Key sources identified in preliminary review</w:t>
      </w:r>
    </w:p>
    <w:p>
      <w:pPr>
        <w:pStyle w:val="ListBullet"/>
      </w:pPr>
      <w:r>
        <w:t>Australian and New Zealand College of Anaesthetists (ANZCA). PG07: Guideline on pre-anaesthesia consultation and patient preparation. 2024.</w:t>
      </w:r>
    </w:p>
    <w:p>
      <w:pPr>
        <w:pStyle w:val="ListBullet"/>
      </w:pPr>
      <w:r>
        <w:t>American Society of Anesthesiologists. Basic Standards for Preanesthesia Care.</w:t>
      </w:r>
    </w:p>
    <w:p>
      <w:pPr>
        <w:pStyle w:val="ListBullet"/>
      </w:pPr>
      <w:r>
        <w:t>Recent scoping review of adult pre-anaesthesia assessment models and processes (2026).</w:t>
      </w:r>
    </w:p>
    <w:p>
      <w:pPr>
        <w:pStyle w:val="ListBullet"/>
      </w:pPr>
      <w:r>
        <w:t>Systematic review of preoperative assessment data items identifying substantial heterogeneity in reported datasets.</w:t>
      </w:r>
    </w:p>
    <w:p>
      <w:pPr>
        <w:pStyle w:val="ListBullet"/>
      </w:pPr>
      <w:r>
        <w:t>Consensus work defining a core preoperative dataset.</w:t>
      </w:r>
    </w:p>
    <w:p>
      <w:pPr>
        <w:pStyle w:val="ListBullet"/>
      </w:pPr>
      <w:r>
        <w:t>Society of Anesthesia and Sleep Medicine guideline on preoperative screening and assessment of obstructive sleep apnoea.</w:t>
      </w:r>
    </w:p>
    <w:p>
      <w:pPr>
        <w:pStyle w:val="ListBullet"/>
      </w:pPr>
      <w:r>
        <w:t>2024 ACC/AHA guideline for perioperative cardiovascular management for noncardiac surgery.</w:t>
      </w:r>
    </w:p>
    <w:p>
      <w:pPr>
        <w:pStyle w:val="ListBullet"/>
      </w:pPr>
      <w:r>
        <w:t>Centre for Perioperative Care guidance on frailty and perioperative anaemia.</w:t>
      </w:r>
    </w:p>
    <w:p>
      <w:pPr>
        <w:pStyle w:val="ListBullet"/>
      </w:pPr>
      <w:r>
        <w:t>European Society of Anaesthesiology and Intensive Care guideline on postoperative delirium.</w:t>
      </w:r>
    </w:p>
    <w:p>
      <w:pPr>
        <w:pStyle w:val="ListBullet"/>
      </w:pPr>
      <w:r>
        <w:t>PATCH digital pre-anaesthesia assessment study.</w:t>
      </w:r>
    </w:p>
    <w:p>
      <w:pPr>
        <w:pStyle w:val="ListBullet"/>
      </w:pPr>
      <w:r>
        <w:t>ePAQ electronic preoperative assessment literature.</w:t>
      </w:r>
    </w:p>
    <w:p>
      <w:pPr>
        <w:pStyle w:val="ListBullet"/>
      </w:pPr>
      <w:r>
        <w:t>AI-DOCS conversational LLM preoperative history-taking feasibility study (2026).</w:t>
      </w:r>
    </w:p>
    <w:p>
      <w:pPr>
        <w:pStyle w:val="ListBullet"/>
      </w:pPr>
      <w:r>
        <w:t>Recent literature addressing safety and reliability of LLMs and AI chatbots in perioperative assessment.</w:t>
      </w:r>
    </w:p>
    <w:p>
      <w:pPr>
        <w:pStyle w:val="ListBullet"/>
      </w:pPr>
      <w:r>
        <w:t>Australian Government and Therapeutic Goods Administration guidance concerning artificial intelligence and software-based medical devices.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Perioperative Conversational AI | Scoping Review and Requirements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