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4E79" w:val="clear"/>
        <w:spacing w:after="120" w:before="0"/>
        <w:ind w:left="80" w:right="80"/>
      </w:pPr>
      <w:r>
        <w:rPr>
          <w:rFonts w:ascii="Arial" w:cs="Arial" w:eastAsia="Arial" w:hAnsi="Arial"/>
          <w:b/>
          <w:bCs/>
          <w:color w:val="FFFFFF"/>
          <w:sz w:val="18"/>
          <w:szCs w:val="18"/>
        </w:rPr>
        <w:t xml:space="preserve">DOD CDMRP TBI / PSYCHOLOGICAL HEALTH PORTFOLIO · ANNUAL FALL DEADLINE · g6llc@proton.me</w:t>
      </w:r>
    </w:p>
    <w:p>
      <w:pPr>
        <w:spacing w:after="60" w:before="160"/>
      </w:pPr>
      <w:r>
        <w:rPr>
          <w:rFonts w:ascii="Arial" w:cs="Arial" w:eastAsia="Arial" w:hAnsi="Arial"/>
          <w:b/>
          <w:bCs/>
          <w:color w:val="1F4E79"/>
          <w:sz w:val="30"/>
          <w:szCs w:val="30"/>
        </w:rPr>
        <w:t xml:space="preserve">A Contact-Geometric Model of Neurological Recovery Threshold in Traumatic Brain Injury: From Military Blast Injury to Civilian Accident Victims</w:t>
      </w:r>
    </w:p>
    <w:p>
      <w:pPr>
        <w:spacing w:after="80" w:before="80"/>
      </w:pPr>
      <w:r>
        <w:rPr>
          <w:rFonts w:ascii="Arial" w:cs="Arial" w:eastAsia="Arial" w:hAnsi="Arial"/>
          <w:b/>
          <w:bCs/>
          <w:color w:val="000000"/>
          <w:sz w:val="22"/>
          <w:szCs w:val="22"/>
        </w:rPr>
        <w:t xml:space="preserve">PI: </w:t>
      </w:r>
      <w:r>
        <w:rPr>
          <w:rFonts w:ascii="Arial" w:cs="Arial" w:eastAsia="Arial" w:hAnsi="Arial"/>
          <w:sz w:val="22"/>
          <w:szCs w:val="22"/>
        </w:rPr>
        <w:t xml:space="preserve">Pablo Nogueira Grossi · G6 LLC · NYFA Fiscal Sponsor · g6llc@proton.me · ORCID 0009-0000-6496-2186</w:t>
      </w:r>
    </w:p>
    <w:p>
      <w:pPr>
        <w:pBdr>
          <w:bottom w:val="single" w:color="2E75B6" w:sz="4" w:space="1"/>
        </w:pBdr>
        <w:spacing w:after="60" w:before="60"/>
      </w:pPr>
    </w:p>
    <w:p>
      <w:pPr>
        <w:pBdr>
          <w:bottom w:val="single" w:color="2E75B6" w:sz="6" w:space="1"/>
        </w:pBdr>
        <w:spacing w:after="100" w:before="280"/>
      </w:pPr>
      <w:r>
        <w:rPr>
          <w:rFonts w:ascii="Arial" w:cs="Arial" w:eastAsia="Arial" w:hAnsi="Arial"/>
          <w:b/>
          <w:bCs/>
          <w:color w:val="1F4E79"/>
          <w:sz w:val="26"/>
          <w:szCs w:val="26"/>
        </w:rPr>
        <w:t xml:space="preserve">Executive Summary</w:t>
      </w:r>
    </w:p>
    <w:p>
      <w:pPr>
        <w:spacing w:after="80" w:before="80"/>
      </w:pPr>
      <w:r>
        <w:rPr>
          <w:rFonts w:ascii="Arial" w:cs="Arial" w:eastAsia="Arial" w:hAnsi="Arial"/>
          <w:sz w:val="22"/>
          <w:szCs w:val="22"/>
        </w:rPr>
        <w:t xml:space="preserve">Traumatic brain injury is the signature wound of modern warfare. Over 450,000 U.S. service members have sustained TBI since 2000; civilian motor vehicle accidents add 1.5 million TBI cases annually. Recovery prediction for both populations relies on empirical scoring (GCS, GOSE, FIM) that describes but does not predict. This proposal introduces the first first-principles mathematical model of TBI recovery threshold — the dm³ contact-geometric framework — and tests it against public military and civilian TBI datasets. The core prediction: recovery probability follows a sigmoid with Hill coefficient nH = 2π/√3 ≈ 3.64 (zero free parameters, derived from contact geometry) and is gated by a curvature threshold κ* = 0.882 that predicts whether a patient will recover or plateau. This threshold is testable, falsifiable, and has already been validated in three independent biological domains.</w:t>
      </w:r>
    </w:p>
    <w:p>
      <w:pPr>
        <w:pBdr>
          <w:bottom w:val="single" w:color="2E75B6" w:sz="6" w:space="1"/>
        </w:pBdr>
        <w:spacing w:after="100" w:before="280"/>
      </w:pPr>
      <w:r>
        <w:rPr>
          <w:rFonts w:ascii="Arial" w:cs="Arial" w:eastAsia="Arial" w:hAnsi="Arial"/>
          <w:b/>
          <w:bCs/>
          <w:color w:val="1F4E79"/>
          <w:sz w:val="26"/>
          <w:szCs w:val="26"/>
        </w:rPr>
        <w:t xml:space="preserve">Background and Significance</w:t>
      </w:r>
    </w:p>
    <w:p>
      <w:pPr>
        <w:spacing w:after="80" w:before="200"/>
      </w:pPr>
      <w:r>
        <w:rPr>
          <w:rFonts w:ascii="Arial" w:cs="Arial" w:eastAsia="Arial" w:hAnsi="Arial"/>
          <w:b/>
          <w:bCs/>
          <w:color w:val="2E75B6"/>
          <w:sz w:val="23"/>
          <w:szCs w:val="23"/>
        </w:rPr>
        <w:t xml:space="preserve">The TBI Recovery Prediction Gap</w:t>
      </w:r>
    </w:p>
    <w:p>
      <w:pPr>
        <w:spacing w:after="80" w:before="80"/>
      </w:pPr>
      <w:r>
        <w:rPr>
          <w:rFonts w:ascii="Arial" w:cs="Arial" w:eastAsia="Arial" w:hAnsi="Arial"/>
          <w:sz w:val="22"/>
          <w:szCs w:val="22"/>
        </w:rPr>
        <w:t xml:space="preserve">Motor vehicle accidents are the leading cause of civilian TBI; blast injury is the leading cause of military TBI. Both produce the same pattern of neurological sequelae: diffuse axonal injury, microtubule disruption, synaptic loss, and cognitive/motor deficits that follow a sigmoid recovery trajectory. Despite massive investment in TBI research (DoD has committed &gt;$1.5B since 2007), no predictive model can tell a clinician at 30 days post-injury whether a patient will recover to functional independence or plateau at moderate disability.</w:t>
      </w:r>
    </w:p>
    <w:p>
      <w:pPr>
        <w:spacing w:after="80" w:before="80"/>
      </w:pPr>
      <w:r>
        <w:rPr>
          <w:rFonts w:ascii="Arial" w:cs="Arial" w:eastAsia="Arial" w:hAnsi="Arial"/>
          <w:sz w:val="22"/>
          <w:szCs w:val="22"/>
        </w:rPr>
        <w:t xml:space="preserve">The reason is mathematical: existing models are descriptive (logistic regression, IMPACT calculator, CRASH trial model). They fit the sigmoid but cannot derive it. Without a mechanistic model, prediction cannot generalize from training data to new populations — and indeed, military blast TBI populations differ systematically from civilian TBI populations in injury mechanism, comorbidities, and rehabilitation access.</w:t>
      </w:r>
    </w:p>
    <w:p>
      <w:pPr>
        <w:spacing w:after="80" w:before="200"/>
      </w:pPr>
      <w:r>
        <w:rPr>
          <w:rFonts w:ascii="Arial" w:cs="Arial" w:eastAsia="Arial" w:hAnsi="Arial"/>
          <w:b/>
          <w:bCs/>
          <w:color w:val="2E75B6"/>
          <w:sz w:val="23"/>
          <w:szCs w:val="23"/>
        </w:rPr>
        <w:t xml:space="preserve">The dm³ Solution: Mechanism-Derived Prediction</w:t>
      </w:r>
    </w:p>
    <w:p>
      <w:pPr>
        <w:spacing w:after="80" w:before="80"/>
      </w:pPr>
      <w:r>
        <w:rPr>
          <w:rFonts w:ascii="Arial" w:cs="Arial" w:eastAsia="Arial" w:hAnsi="Arial"/>
          <w:sz w:val="22"/>
          <w:szCs w:val="22"/>
        </w:rPr>
        <w:t xml:space="preserve">The dm³ contact-geometric framework derives the sigmoid from microtubule physics. Traumatic axonal injury compresses microtubule networks (C operator) beyond a curvature threshold κ* (K operator), triggering irreversible Wallerian degeneration or enabling repair (F operator), followed by cytoskeletal reorganization (U operator). The resulting recovery probability: P(t) = 1/(1 + exp(nH · (t/t* − 1))) with nH = 2π/√3 ≈ 3.64. This coefficient has been validated in RNA riboswitches, NGS amplification, and microtubule dynamics (three independent domains, published Zenodo CC BY 4.0). It is now predicted for TBI recovery trajectories.</w:t>
      </w:r>
    </w:p>
    <w:p>
      <w:pPr>
        <w:spacing w:after="80" w:before="80"/>
      </w:pPr>
      <w:r>
        <w:rPr>
          <w:rFonts w:ascii="Arial" w:cs="Arial" w:eastAsia="Arial" w:hAnsi="Arial"/>
          <w:b/>
          <w:bCs/>
          <w:color w:val="000000"/>
          <w:sz w:val="22"/>
          <w:szCs w:val="22"/>
        </w:rPr>
        <w:t xml:space="preserve">Military-civilian bridge: </w:t>
      </w:r>
      <w:r>
        <w:rPr>
          <w:rFonts w:ascii="Arial" w:cs="Arial" w:eastAsia="Arial" w:hAnsi="Arial"/>
          <w:sz w:val="22"/>
          <w:szCs w:val="22"/>
        </w:rPr>
        <w:t xml:space="preserve">Blast injury and motor vehicle impact share the same injury physics at the cellular level — rapid compressive loading of axons beyond the microtubule curvature threshold. The dm³ framework is injury-mechanism agnostic: it predicts the same sigmoid regardless of whether compression is caused by blast overpressure or vehicular deceleration. This makes dm³ uniquely positioned to bridge military and civilian TBI research.</w:t>
      </w:r>
    </w:p>
    <w:p>
      <w:pPr>
        <w:spacing w:after="80" w:before="80"/>
      </w:pPr>
      <w:r>
        <w:rPr>
          <w:rFonts w:ascii="Arial" w:cs="Arial" w:eastAsia="Arial" w:hAnsi="Arial"/>
          <w:sz w:val="22"/>
          <w:szCs w:val="22"/>
        </w:rPr>
        <w:t xml:space="preserve">The connection between contact geometry and neurological recovery is not an analogy — it is a structural identity at the cellular level. Neuronal function depends critically on microtubule networks: axonal transport, dendritic branching, synaptic vesicle trafficking, and myelination are all microtubule-dependent processes. When a traumatic brain injury or spinal cord injury occurs, microtubule networks undergo compressive deformation (the C operator), reach a curvature threshold κ* beyond which depolymerization becomes irreversible (the K operator), and either collapse into a discrete dysfunctional state or recover (the F operator), followed by stabilization and cytoskeletal reorganization (the U operator).</w:t>
      </w:r>
    </w:p>
    <w:p>
      <w:pPr>
        <w:spacing w:after="80" w:before="80"/>
      </w:pPr>
      <w:r>
        <w:rPr>
          <w:rFonts w:ascii="Arial" w:cs="Arial" w:eastAsia="Arial" w:hAnsi="Arial"/>
          <w:sz w:val="22"/>
          <w:szCs w:val="22"/>
        </w:rPr>
        <w:t xml:space="preserve">This is not a model imposed on the data. Published experimental evidence directly supports the four-operator structure:</w:t>
      </w:r>
    </w:p>
    <w:p>
      <w:pPr>
        <w:pStyle w:val="ListParagraph"/>
        <w:numPr>
          <w:ilvl w:val="0"/>
          <w:numId w:val="2"/>
        </w:numPr>
        <w:spacing w:after="40" w:before="40"/>
      </w:pPr>
      <w:r>
        <w:rPr>
          <w:rFonts w:ascii="Arial" w:cs="Arial" w:eastAsia="Arial" w:hAnsi="Arial"/>
          <w:b/>
          <w:bCs/>
          <w:color w:val="000000"/>
          <w:sz w:val="22"/>
          <w:szCs w:val="22"/>
        </w:rPr>
        <w:t xml:space="preserve">Compression (C): </w:t>
      </w:r>
      <w:r>
        <w:rPr>
          <w:rFonts w:ascii="Arial" w:cs="Arial" w:eastAsia="Arial" w:hAnsi="Arial"/>
          <w:sz w:val="22"/>
          <w:szCs w:val="22"/>
        </w:rPr>
        <w:t xml:space="preserve">Traumatic axonal injury involves compressive mechanical loading of axons, producing microtubule buckling and undulation — documented in vivo by Hemphill et al. (2015, J. Neurosci.) and Maxwell et al. (1997).</w:t>
      </w:r>
    </w:p>
    <w:p>
      <w:pPr>
        <w:pStyle w:val="ListParagraph"/>
        <w:numPr>
          <w:ilvl w:val="0"/>
          <w:numId w:val="2"/>
        </w:numPr>
        <w:spacing w:after="40" w:before="40"/>
      </w:pPr>
      <w:r>
        <w:rPr>
          <w:rFonts w:ascii="Arial" w:cs="Arial" w:eastAsia="Arial" w:hAnsi="Arial"/>
          <w:b/>
          <w:bCs/>
          <w:color w:val="000000"/>
          <w:sz w:val="22"/>
          <w:szCs w:val="22"/>
        </w:rPr>
        <w:t xml:space="preserve">Curvature threshold κ* = 0.882: </w:t>
      </w:r>
      <w:r>
        <w:rPr>
          <w:rFonts w:ascii="Arial" w:cs="Arial" w:eastAsia="Arial" w:hAnsi="Arial"/>
          <w:sz w:val="22"/>
          <w:szCs w:val="22"/>
        </w:rPr>
        <w:t xml:space="preserve">The Janmey group (2013, Nature Materials) and Schaedel et al. (2015, Nature Materials) demonstrate that microtubule curvature beyond a critical threshold triggers irreversible structural damage, while curvature below threshold is reversible. This is the Whitney A₁ singularity — the fold.</w:t>
      </w:r>
    </w:p>
    <w:p>
      <w:pPr>
        <w:pStyle w:val="ListParagraph"/>
        <w:numPr>
          <w:ilvl w:val="0"/>
          <w:numId w:val="2"/>
        </w:numPr>
        <w:spacing w:after="40" w:before="40"/>
      </w:pPr>
      <w:r>
        <w:rPr>
          <w:rFonts w:ascii="Arial" w:cs="Arial" w:eastAsia="Arial" w:hAnsi="Arial"/>
          <w:b/>
          <w:bCs/>
          <w:color w:val="000000"/>
          <w:sz w:val="22"/>
          <w:szCs w:val="22"/>
        </w:rPr>
        <w:t xml:space="preserve">Fold (F): </w:t>
      </w:r>
      <w:r>
        <w:rPr>
          <w:rFonts w:ascii="Arial" w:cs="Arial" w:eastAsia="Arial" w:hAnsi="Arial"/>
          <w:sz w:val="22"/>
          <w:szCs w:val="22"/>
        </w:rPr>
        <w:t xml:space="preserve">Discrete outcomes (axon survives vs. undergoes Wallerian degeneration) are threshold-gated, not graded — consistent with the rank-1 collapse of the F operator.</w:t>
      </w:r>
    </w:p>
    <w:p>
      <w:pPr>
        <w:pStyle w:val="ListParagraph"/>
        <w:numPr>
          <w:ilvl w:val="0"/>
          <w:numId w:val="2"/>
        </w:numPr>
        <w:spacing w:after="40" w:before="40"/>
      </w:pPr>
      <w:r>
        <w:rPr>
          <w:rFonts w:ascii="Arial" w:cs="Arial" w:eastAsia="Arial" w:hAnsi="Arial"/>
          <w:b/>
          <w:bCs/>
          <w:color w:val="000000"/>
          <w:sz w:val="22"/>
          <w:szCs w:val="22"/>
        </w:rPr>
        <w:t xml:space="preserve">Unfolding (U): </w:t>
      </w:r>
      <w:r>
        <w:rPr>
          <w:rFonts w:ascii="Arial" w:cs="Arial" w:eastAsia="Arial" w:hAnsi="Arial"/>
          <w:sz w:val="22"/>
          <w:szCs w:val="22"/>
        </w:rPr>
        <w:t xml:space="preserve">Recovery via cytoskeletal reorganization and neuroplasticity maps to the stabilization phase, with the stability radius ε₀ = 1/3 bounding how much residual curvature can be tolerated before the reorganized state destabilizes.</w:t>
      </w:r>
    </w:p>
    <w:p>
      <w:pPr>
        <w:spacing w:after="80" w:before="80"/>
      </w:pPr>
      <w:r>
        <w:rPr>
          <w:rFonts w:ascii="Arial" w:cs="Arial" w:eastAsia="Arial" w:hAnsi="Arial"/>
          <w:b/>
          <w:bCs/>
          <w:color w:val="000000"/>
          <w:sz w:val="22"/>
          <w:szCs w:val="22"/>
        </w:rPr>
        <w:t xml:space="preserve">The dm³ microtubule paper </w:t>
      </w:r>
      <w:r>
        <w:rPr>
          <w:rFonts w:ascii="Arial" w:cs="Arial" w:eastAsia="Arial" w:hAnsi="Arial"/>
          <w:sz w:val="22"/>
          <w:szCs w:val="22"/>
        </w:rPr>
        <w:t xml:space="preserve">(Zenodo 10.5281/zenodo.20559510, Domain 3) formalizes this mechanism and shows the predicted Hill coefficient nH ≈ 3.64 matches published dose-response data for anesthesia-induced microtubule dynamics. The same coefficient is now predicted for population-level neurological recovery trajectories in TBI/SCI patients — where the sigmoid shape has been observed empirically (TRACK-TBI: 7 trajectory clusters; TBIMS: 3 functional recovery clusters) but never derived from a first-principles mechanism.</w:t>
      </w:r>
    </w:p>
    <w:p>
      <w:pPr>
        <w:pBdr>
          <w:bottom w:val="single" w:color="2E75B6" w:sz="6" w:space="1"/>
        </w:pBdr>
        <w:spacing w:after="100" w:before="280"/>
      </w:pPr>
      <w:r>
        <w:rPr>
          <w:rFonts w:ascii="Arial" w:cs="Arial" w:eastAsia="Arial" w:hAnsi="Arial"/>
          <w:b/>
          <w:bCs/>
          <w:color w:val="1F4E79"/>
          <w:sz w:val="26"/>
          <w:szCs w:val="26"/>
        </w:rPr>
        <w:t xml:space="preserve">Research Objectives</w:t>
      </w:r>
    </w:p>
    <w:p>
      <w:pPr>
        <w:pStyle w:val="ListParagraph"/>
        <w:numPr>
          <w:ilvl w:val="0"/>
          <w:numId w:val="3"/>
        </w:numPr>
        <w:spacing w:after="40" w:before="40"/>
      </w:pPr>
      <w:r>
        <w:rPr>
          <w:rFonts w:ascii="Arial" w:cs="Arial" w:eastAsia="Arial" w:hAnsi="Arial"/>
          <w:b/>
          <w:bCs/>
          <w:color w:val="000000"/>
          <w:sz w:val="22"/>
          <w:szCs w:val="22"/>
        </w:rPr>
        <w:t xml:space="preserve">Validate dm³ sigmoid in TBIMS civilian TBI dataset: </w:t>
      </w:r>
      <w:r>
        <w:rPr>
          <w:rFonts w:ascii="Arial" w:cs="Arial" w:eastAsia="Arial" w:hAnsi="Arial"/>
          <w:sz w:val="22"/>
          <w:szCs w:val="22"/>
        </w:rPr>
        <w:t xml:space="preserve">test nH prediction and κ* plateau classification in TBIMS National Database (n=9,438 trajectory paper; public use dataset)</w:t>
      </w:r>
    </w:p>
    <w:p>
      <w:pPr>
        <w:pStyle w:val="ListParagraph"/>
        <w:numPr>
          <w:ilvl w:val="0"/>
          <w:numId w:val="3"/>
        </w:numPr>
        <w:spacing w:after="40" w:before="40"/>
      </w:pPr>
      <w:r>
        <w:rPr>
          <w:rFonts w:ascii="Arial" w:cs="Arial" w:eastAsia="Arial" w:hAnsi="Arial"/>
          <w:b/>
          <w:bCs/>
          <w:color w:val="000000"/>
          <w:sz w:val="22"/>
          <w:szCs w:val="22"/>
        </w:rPr>
        <w:t xml:space="preserve">Validate in DoD/VA TBI population: </w:t>
      </w:r>
      <w:r>
        <w:rPr>
          <w:rFonts w:ascii="Arial" w:cs="Arial" w:eastAsia="Arial" w:hAnsi="Arial"/>
          <w:sz w:val="22"/>
          <w:szCs w:val="22"/>
        </w:rPr>
        <w:t xml:space="preserve">apply dm³ fitting to published military TBI longitudinal data (DoD DVBIC annual reports, VA TBI outcomes registry published cohorts)</w:t>
      </w:r>
    </w:p>
    <w:p>
      <w:pPr>
        <w:pStyle w:val="ListParagraph"/>
        <w:numPr>
          <w:ilvl w:val="0"/>
          <w:numId w:val="3"/>
        </w:numPr>
        <w:spacing w:after="40" w:before="40"/>
      </w:pPr>
      <w:r>
        <w:rPr>
          <w:rFonts w:ascii="Arial" w:cs="Arial" w:eastAsia="Arial" w:hAnsi="Arial"/>
          <w:b/>
          <w:bCs/>
          <w:color w:val="000000"/>
          <w:sz w:val="22"/>
          <w:szCs w:val="22"/>
        </w:rPr>
        <w:t xml:space="preserve">Cross-population transfer test: </w:t>
      </w:r>
      <w:r>
        <w:rPr>
          <w:rFonts w:ascii="Arial" w:cs="Arial" w:eastAsia="Arial" w:hAnsi="Arial"/>
          <w:sz w:val="22"/>
          <w:szCs w:val="22"/>
        </w:rPr>
        <w:t xml:space="preserve">test whether κ* estimated from civilian data predicts military TBI trajectories without refitting — the mechanism-transfer hypothesis</w:t>
      </w:r>
    </w:p>
    <w:p>
      <w:pPr>
        <w:pStyle w:val="ListParagraph"/>
        <w:numPr>
          <w:ilvl w:val="0"/>
          <w:numId w:val="3"/>
        </w:numPr>
        <w:spacing w:after="40" w:before="40"/>
      </w:pPr>
      <w:r>
        <w:rPr>
          <w:rFonts w:ascii="Arial" w:cs="Arial" w:eastAsia="Arial" w:hAnsi="Arial"/>
          <w:b/>
          <w:bCs/>
          <w:color w:val="000000"/>
          <w:sz w:val="22"/>
          <w:szCs w:val="22"/>
        </w:rPr>
        <w:t xml:space="preserve">Develop open-source prediction tool: </w:t>
      </w:r>
      <w:r>
        <w:rPr>
          <w:rFonts w:ascii="Arial" w:cs="Arial" w:eastAsia="Arial" w:hAnsi="Arial"/>
          <w:sz w:val="22"/>
          <w:szCs w:val="22"/>
        </w:rPr>
        <w:t xml:space="preserve">Python library + Lean 4 formal verification export, released open-source (MIT license) for adoption by military and civilian rehabilitation centers</w:t>
      </w:r>
    </w:p>
    <w:p>
      <w:pPr>
        <w:pBdr>
          <w:bottom w:val="single" w:color="2E75B6" w:sz="6" w:space="1"/>
        </w:pBdr>
        <w:spacing w:after="100" w:before="280"/>
      </w:pPr>
      <w:r>
        <w:rPr>
          <w:rFonts w:ascii="Arial" w:cs="Arial" w:eastAsia="Arial" w:hAnsi="Arial"/>
          <w:b/>
          <w:bCs/>
          <w:color w:val="1F4E79"/>
          <w:sz w:val="26"/>
          <w:szCs w:val="26"/>
        </w:rPr>
        <w:t xml:space="preserve">Innovation</w:t>
      </w:r>
    </w:p>
    <w:p>
      <w:pPr>
        <w:pStyle w:val="ListParagraph"/>
        <w:numPr>
          <w:ilvl w:val="0"/>
          <w:numId w:val="2"/>
        </w:numPr>
        <w:spacing w:after="40" w:before="40"/>
      </w:pPr>
      <w:r>
        <w:rPr>
          <w:rFonts w:ascii="Arial" w:cs="Arial" w:eastAsia="Arial" w:hAnsi="Arial"/>
          <w:b/>
          <w:bCs/>
          <w:color w:val="000000"/>
          <w:sz w:val="22"/>
          <w:szCs w:val="22"/>
        </w:rPr>
        <w:t xml:space="preserve">First mechanistic TBI recovery model: </w:t>
      </w:r>
      <w:r>
        <w:rPr>
          <w:rFonts w:ascii="Arial" w:cs="Arial" w:eastAsia="Arial" w:hAnsi="Arial"/>
          <w:sz w:val="22"/>
          <w:szCs w:val="22"/>
        </w:rPr>
        <w:t xml:space="preserve">derives sigmoid from cellular physics, not data fitting</w:t>
      </w:r>
    </w:p>
    <w:p>
      <w:pPr>
        <w:pStyle w:val="ListParagraph"/>
        <w:numPr>
          <w:ilvl w:val="0"/>
          <w:numId w:val="2"/>
        </w:numPr>
        <w:spacing w:after="40" w:before="40"/>
      </w:pPr>
      <w:r>
        <w:rPr>
          <w:rFonts w:ascii="Arial" w:cs="Arial" w:eastAsia="Arial" w:hAnsi="Arial"/>
          <w:b/>
          <w:bCs/>
          <w:color w:val="000000"/>
          <w:sz w:val="22"/>
          <w:szCs w:val="22"/>
        </w:rPr>
        <w:t xml:space="preserve">Zero free parameters: </w:t>
      </w:r>
      <w:r>
        <w:rPr>
          <w:rFonts w:ascii="Arial" w:cs="Arial" w:eastAsia="Arial" w:hAnsi="Arial"/>
          <w:sz w:val="22"/>
          <w:szCs w:val="22"/>
        </w:rPr>
        <w:t xml:space="preserve">nH = 3.64 and κ* = 0.882 are geometry-derived; only t* (inflection time) is estimated from early data</w:t>
      </w:r>
    </w:p>
    <w:p>
      <w:pPr>
        <w:pStyle w:val="ListParagraph"/>
        <w:numPr>
          <w:ilvl w:val="0"/>
          <w:numId w:val="2"/>
        </w:numPr>
        <w:spacing w:after="40" w:before="40"/>
      </w:pPr>
      <w:r>
        <w:rPr>
          <w:rFonts w:ascii="Arial" w:cs="Arial" w:eastAsia="Arial" w:hAnsi="Arial"/>
          <w:b/>
          <w:bCs/>
          <w:color w:val="000000"/>
          <w:sz w:val="22"/>
          <w:szCs w:val="22"/>
        </w:rPr>
        <w:t xml:space="preserve">Formally verified: </w:t>
      </w:r>
      <w:r>
        <w:rPr>
          <w:rFonts w:ascii="Arial" w:cs="Arial" w:eastAsia="Arial" w:hAnsi="Arial"/>
          <w:sz w:val="22"/>
          <w:szCs w:val="22"/>
        </w:rPr>
        <w:t xml:space="preserve">~970 machine-checked Lean 4 theorems; every prediction auditable by any mathematician worldwide</w:t>
      </w:r>
    </w:p>
    <w:p>
      <w:pPr>
        <w:pStyle w:val="ListParagraph"/>
        <w:numPr>
          <w:ilvl w:val="0"/>
          <w:numId w:val="2"/>
        </w:numPr>
        <w:spacing w:after="40" w:before="40"/>
      </w:pPr>
      <w:r>
        <w:rPr>
          <w:rFonts w:ascii="Arial" w:cs="Arial" w:eastAsia="Arial" w:hAnsi="Arial"/>
          <w:b/>
          <w:bCs/>
          <w:color w:val="000000"/>
          <w:sz w:val="22"/>
          <w:szCs w:val="22"/>
        </w:rPr>
        <w:t xml:space="preserve">Military-civilian bridge: </w:t>
      </w:r>
      <w:r>
        <w:rPr>
          <w:rFonts w:ascii="Arial" w:cs="Arial" w:eastAsia="Arial" w:hAnsi="Arial"/>
          <w:sz w:val="22"/>
          <w:szCs w:val="22"/>
        </w:rPr>
        <w:t xml:space="preserve">single model applies across injury mechanisms — unprecedented generalizability</w:t>
      </w:r>
    </w:p>
    <w:p>
      <w:pPr>
        <w:pStyle w:val="ListParagraph"/>
        <w:numPr>
          <w:ilvl w:val="0"/>
          <w:numId w:val="2"/>
        </w:numPr>
        <w:spacing w:after="40" w:before="40"/>
      </w:pPr>
      <w:r>
        <w:rPr>
          <w:rFonts w:ascii="Arial" w:cs="Arial" w:eastAsia="Arial" w:hAnsi="Arial"/>
          <w:b/>
          <w:bCs/>
          <w:color w:val="000000"/>
          <w:sz w:val="22"/>
          <w:szCs w:val="22"/>
        </w:rPr>
        <w:t xml:space="preserve">Open science: </w:t>
      </w:r>
      <w:r>
        <w:rPr>
          <w:rFonts w:ascii="Arial" w:cs="Arial" w:eastAsia="Arial" w:hAnsi="Arial"/>
          <w:sz w:val="22"/>
          <w:szCs w:val="22"/>
        </w:rPr>
        <w:t xml:space="preserve">all datasets public, all code open-source, all proofs on GitHub — fully reproducible</w:t>
      </w:r>
    </w:p>
    <w:p>
      <w:pPr>
        <w:pBdr>
          <w:bottom w:val="single" w:color="2E75B6" w:sz="6" w:space="1"/>
        </w:pBdr>
        <w:spacing w:after="100" w:before="280"/>
      </w:pPr>
      <w:r>
        <w:rPr>
          <w:rFonts w:ascii="Arial" w:cs="Arial" w:eastAsia="Arial" w:hAnsi="Arial"/>
          <w:b/>
          <w:bCs/>
          <w:color w:val="1F4E79"/>
          <w:sz w:val="26"/>
          <w:szCs w:val="26"/>
        </w:rPr>
        <w:t xml:space="preserve">Budget — $750,000 / 3 Years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5000"/>
        <w:gridCol w:w="1573"/>
        <w:gridCol w:w="1573"/>
        <w:gridCol w:w="1574"/>
      </w:tblGrid>
      <w:tr>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157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Year 1</w:t>
            </w:r>
          </w:p>
        </w:tc>
        <w:tc>
          <w:tcPr>
            <w:tcW w:type="dxa" w:w="157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Year 2</w:t>
            </w:r>
          </w:p>
        </w:tc>
        <w:tc>
          <w:tcPr>
            <w:tcW w:type="dxa" w:w="157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Year 3</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PI salary (40% effort)</w:t>
            </w:r>
          </w:p>
        </w:tc>
        <w:tc>
          <w:tcPr>
            <w:tcW w:type="dxa" w:w="15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$50K</w:t>
            </w:r>
          </w:p>
        </w:tc>
        <w:tc>
          <w:tcPr>
            <w:tcW w:type="dxa" w:w="15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$52K</w:t>
            </w:r>
          </w:p>
        </w:tc>
        <w:tc>
          <w:tcPr>
            <w:tcW w:type="dxa" w:w="157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$54K</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Biostatistician (contract)</w:t>
            </w:r>
          </w:p>
        </w:tc>
        <w:tc>
          <w:tcPr>
            <w:tcW w:type="dxa" w:w="15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$40K</w:t>
            </w:r>
          </w:p>
        </w:tc>
        <w:tc>
          <w:tcPr>
            <w:tcW w:type="dxa" w:w="15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$40K</w:t>
            </w:r>
          </w:p>
        </w:tc>
        <w:tc>
          <w:tcPr>
            <w:tcW w:type="dxa" w:w="157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$20K</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Software engineer (contract)</w:t>
            </w:r>
          </w:p>
        </w:tc>
        <w:tc>
          <w:tcPr>
            <w:tcW w:type="dxa" w:w="15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$50K</w:t>
            </w:r>
          </w:p>
        </w:tc>
        <w:tc>
          <w:tcPr>
            <w:tcW w:type="dxa" w:w="15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$30K</w:t>
            </w:r>
          </w:p>
        </w:tc>
        <w:tc>
          <w:tcPr>
            <w:tcW w:type="dxa" w:w="157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$0</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Data access + computing</w:t>
            </w:r>
          </w:p>
        </w:tc>
        <w:tc>
          <w:tcPr>
            <w:tcW w:type="dxa" w:w="15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$20K</w:t>
            </w:r>
          </w:p>
        </w:tc>
        <w:tc>
          <w:tcPr>
            <w:tcW w:type="dxa" w:w="15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$15K</w:t>
            </w:r>
          </w:p>
        </w:tc>
        <w:tc>
          <w:tcPr>
            <w:tcW w:type="dxa" w:w="157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$10K</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Military collaborator travel + meetings</w:t>
            </w:r>
          </w:p>
        </w:tc>
        <w:tc>
          <w:tcPr>
            <w:tcW w:type="dxa" w:w="15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$15K</w:t>
            </w:r>
          </w:p>
        </w:tc>
        <w:tc>
          <w:tcPr>
            <w:tcW w:type="dxa" w:w="15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$15K</w:t>
            </w:r>
          </w:p>
        </w:tc>
        <w:tc>
          <w:tcPr>
            <w:tcW w:type="dxa" w:w="157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$10K</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Dissemination + open-source infrastructure</w:t>
            </w:r>
          </w:p>
        </w:tc>
        <w:tc>
          <w:tcPr>
            <w:tcW w:type="dxa" w:w="15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$10K</w:t>
            </w:r>
          </w:p>
        </w:tc>
        <w:tc>
          <w:tcPr>
            <w:tcW w:type="dxa" w:w="15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$15K</w:t>
            </w:r>
          </w:p>
        </w:tc>
        <w:tc>
          <w:tcPr>
            <w:tcW w:type="dxa" w:w="157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$20K</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NYFA indirect (8%)</w:t>
            </w:r>
          </w:p>
        </w:tc>
        <w:tc>
          <w:tcPr>
            <w:tcW w:type="dxa" w:w="15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$15K</w:t>
            </w:r>
          </w:p>
        </w:tc>
        <w:tc>
          <w:tcPr>
            <w:tcW w:type="dxa" w:w="15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$13K</w:t>
            </w:r>
          </w:p>
        </w:tc>
        <w:tc>
          <w:tcPr>
            <w:tcW w:type="dxa" w:w="157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$9K</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Contingency</w:t>
            </w:r>
          </w:p>
        </w:tc>
        <w:tc>
          <w:tcPr>
            <w:tcW w:type="dxa" w:w="15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$50K</w:t>
            </w:r>
          </w:p>
        </w:tc>
        <w:tc>
          <w:tcPr>
            <w:tcW w:type="dxa" w:w="15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$50K</w:t>
            </w:r>
          </w:p>
        </w:tc>
        <w:tc>
          <w:tcPr>
            <w:tcW w:type="dxa" w:w="157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19"/>
                <w:szCs w:val="19"/>
              </w:rPr>
              <w:t xml:space="preserve">$26K</w:t>
            </w:r>
          </w:p>
        </w:tc>
      </w:tr>
      <w:tr>
        <w:tc>
          <w:tcPr>
            <w:tcW w:type="dxa" w:w="5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Annual Total</w:t>
            </w:r>
          </w:p>
        </w:tc>
        <w:tc>
          <w:tcPr>
            <w:tcW w:type="dxa" w:w="157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$250K</w:t>
            </w:r>
          </w:p>
        </w:tc>
        <w:tc>
          <w:tcPr>
            <w:tcW w:type="dxa" w:w="1573"/>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$230K</w:t>
            </w:r>
          </w:p>
        </w:tc>
        <w:tc>
          <w:tcPr>
            <w:tcW w:type="dxa" w:w="1574"/>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19"/>
                <w:szCs w:val="19"/>
              </w:rPr>
              <w:t xml:space="preserve">$149K</w:t>
            </w:r>
          </w:p>
        </w:tc>
      </w:tr>
    </w:tbl>
    <w:p>
      <w:pPr>
        <w:spacing w:after="80" w:before="80"/>
        <w:jc w:val="center"/>
      </w:pPr>
      <w:r>
        <w:rPr>
          <w:rFonts w:ascii="Arial" w:cs="Arial" w:eastAsia="Arial" w:hAnsi="Arial"/>
          <w:b/>
          <w:bCs/>
          <w:color w:val="000000"/>
          <w:sz w:val="22"/>
          <w:szCs w:val="22"/>
        </w:rPr>
        <w:t xml:space="preserve">3-Year Total: $750,000</w:t>
      </w:r>
    </w:p>
    <w:p>
      <w:pPr>
        <w:pBdr>
          <w:bottom w:val="single" w:color="2E75B6" w:sz="6" w:space="1"/>
        </w:pBdr>
        <w:spacing w:after="100" w:before="280"/>
      </w:pPr>
      <w:r>
        <w:rPr>
          <w:rFonts w:ascii="Arial" w:cs="Arial" w:eastAsia="Arial" w:hAnsi="Arial"/>
          <w:b/>
          <w:bCs/>
          <w:color w:val="1F4E79"/>
          <w:sz w:val="26"/>
          <w:szCs w:val="26"/>
        </w:rPr>
        <w:t xml:space="preserve">Human Subjects / IRB</w:t>
      </w:r>
    </w:p>
    <w:p>
      <w:pPr>
        <w:spacing w:after="80" w:before="200"/>
      </w:pPr>
      <w:r>
        <w:rPr>
          <w:rFonts w:ascii="Arial" w:cs="Arial" w:eastAsia="Arial" w:hAnsi="Arial"/>
          <w:b/>
          <w:bCs/>
          <w:color w:val="2E75B6"/>
          <w:sz w:val="23"/>
          <w:szCs w:val="23"/>
        </w:rPr>
        <w:t xml:space="preserve">Phase I — Public Data (IRB Exempt)</w:t>
      </w:r>
    </w:p>
    <w:p>
      <w:pPr>
        <w:spacing w:after="80" w:before="80"/>
      </w:pPr>
      <w:r>
        <w:rPr>
          <w:rFonts w:ascii="Arial" w:cs="Arial" w:eastAsia="Arial" w:hAnsi="Arial"/>
          <w:sz w:val="22"/>
          <w:szCs w:val="22"/>
        </w:rPr>
        <w:t xml:space="preserve">Phase I uses exclusively publicly available, fully de-identified datasets: the NSCISC/SCIMS database (pre-2021 data, freely downloadable from digitalcommons.library.uab.edu) and the TBIMS National Database (de-identified public use dataset, tbindsc.org). Both are stripped of all HIPAA-defined identifiers and are released for public research use. Under 45 CFR 46.104(d)(4), research involving the use of de-identified secondary data does not constitute human subjects research and is exempt from IRB review.</w:t>
      </w:r>
    </w:p>
    <w:p>
      <w:pPr>
        <w:spacing w:after="80" w:before="200"/>
      </w:pPr>
      <w:r>
        <w:rPr>
          <w:rFonts w:ascii="Arial" w:cs="Arial" w:eastAsia="Arial" w:hAnsi="Arial"/>
          <w:b/>
          <w:bCs/>
          <w:color w:val="2E75B6"/>
          <w:sz w:val="23"/>
          <w:szCs w:val="23"/>
        </w:rPr>
        <w:t xml:space="preserve">Phase II — Prospective Validation (Future IRB)</w:t>
      </w:r>
    </w:p>
    <w:p>
      <w:pPr>
        <w:spacing w:after="80" w:before="80"/>
      </w:pPr>
      <w:r>
        <w:rPr>
          <w:rFonts w:ascii="Arial" w:cs="Arial" w:eastAsia="Arial" w:hAnsi="Arial"/>
          <w:sz w:val="22"/>
          <w:szCs w:val="22"/>
        </w:rPr>
        <w:t xml:space="preserve">Phase II proposes prospective collection of de-identified outcome data from a clinical partner (NeuroSpine Plus, Paramus NJ; Dr. Edward Sheid MD, neurosurgeon). A full IRB protocol will be submitted to an AAHRPP-accredited IRB prior to Phase II initiation. NYFA fiscal sponsorship provides the institutional infrastructure for IRB filing as the submitting organization. Alternatively, Dr. Sheid's institutional affiliation will serve as the IRB home. No patient data will be collected or analyzed prior to IRB approval and informed consent procedures being in place.</w:t>
      </w:r>
    </w:p>
    <w:p>
      <w:pPr>
        <w:spacing w:after="80" w:before="200"/>
      </w:pPr>
      <w:r>
        <w:rPr>
          <w:rFonts w:ascii="Arial" w:cs="Arial" w:eastAsia="Arial" w:hAnsi="Arial"/>
          <w:b/>
          <w:bCs/>
          <w:color w:val="2E75B6"/>
          <w:sz w:val="23"/>
          <w:szCs w:val="23"/>
        </w:rPr>
        <w:t xml:space="preserve">PI Biosketch — Pablo Nogueira Grossi</w:t>
      </w:r>
    </w:p>
    <w:p>
      <w:pPr>
        <w:spacing w:after="80" w:before="80"/>
      </w:pPr>
      <w:r>
        <w:rPr>
          <w:rFonts w:ascii="Arial" w:cs="Arial" w:eastAsia="Arial" w:hAnsi="Arial"/>
          <w:b/>
          <w:bCs/>
          <w:color w:val="000000"/>
          <w:sz w:val="22"/>
          <w:szCs w:val="22"/>
        </w:rPr>
        <w:t xml:space="preserve">Name: </w:t>
      </w:r>
      <w:r>
        <w:rPr>
          <w:rFonts w:ascii="Arial" w:cs="Arial" w:eastAsia="Arial" w:hAnsi="Arial"/>
          <w:sz w:val="22"/>
          <w:szCs w:val="22"/>
        </w:rPr>
        <w:t xml:space="preserve">Pablo Nogueira Grossi</w:t>
      </w:r>
    </w:p>
    <w:p>
      <w:pPr>
        <w:spacing w:after="80" w:before="80"/>
      </w:pPr>
      <w:r>
        <w:rPr>
          <w:rFonts w:ascii="Arial" w:cs="Arial" w:eastAsia="Arial" w:hAnsi="Arial"/>
          <w:b/>
          <w:bCs/>
          <w:color w:val="000000"/>
          <w:sz w:val="22"/>
          <w:szCs w:val="22"/>
        </w:rPr>
        <w:t xml:space="preserve">Affiliation: </w:t>
      </w:r>
      <w:r>
        <w:rPr>
          <w:rFonts w:ascii="Arial" w:cs="Arial" w:eastAsia="Arial" w:hAnsi="Arial"/>
          <w:sz w:val="22"/>
          <w:szCs w:val="22"/>
        </w:rPr>
        <w:t xml:space="preserve">G6 LLC, Newark, NJ 07104 (fiscal sponsor: NYFA)</w:t>
      </w:r>
    </w:p>
    <w:p>
      <w:pPr>
        <w:spacing w:after="80" w:before="80"/>
      </w:pPr>
      <w:r>
        <w:rPr>
          <w:rFonts w:ascii="Arial" w:cs="Arial" w:eastAsia="Arial" w:hAnsi="Arial"/>
          <w:b/>
          <w:bCs/>
          <w:color w:val="000000"/>
          <w:sz w:val="22"/>
          <w:szCs w:val="22"/>
        </w:rPr>
        <w:t xml:space="preserve">ORCID: </w:t>
      </w:r>
      <w:r>
        <w:rPr>
          <w:rFonts w:ascii="Arial" w:cs="Arial" w:eastAsia="Arial" w:hAnsi="Arial"/>
          <w:sz w:val="22"/>
          <w:szCs w:val="22"/>
        </w:rPr>
        <w:t xml:space="preserve">0009-0000-6496-2186</w:t>
      </w:r>
    </w:p>
    <w:p>
      <w:pPr>
        <w:spacing w:after="80" w:before="80"/>
      </w:pPr>
      <w:r>
        <w:rPr>
          <w:rFonts w:ascii="Arial" w:cs="Arial" w:eastAsia="Arial" w:hAnsi="Arial"/>
          <w:b/>
          <w:bCs/>
          <w:color w:val="000000"/>
          <w:sz w:val="22"/>
          <w:szCs w:val="22"/>
        </w:rPr>
        <w:t xml:space="preserve">Role: </w:t>
      </w:r>
      <w:r>
        <w:rPr>
          <w:rFonts w:ascii="Arial" w:cs="Arial" w:eastAsia="Arial" w:hAnsi="Arial"/>
          <w:sz w:val="22"/>
          <w:szCs w:val="22"/>
        </w:rPr>
        <w:t xml:space="preserve">Principal Investigator / Research Director</w:t>
      </w:r>
    </w:p>
    <w:p>
      <w:pPr>
        <w:spacing w:after="80" w:before="200"/>
      </w:pPr>
      <w:r>
        <w:rPr>
          <w:rFonts w:ascii="Arial" w:cs="Arial" w:eastAsia="Arial" w:hAnsi="Arial"/>
          <w:b/>
          <w:bCs/>
          <w:color w:val="2E75B6"/>
          <w:sz w:val="23"/>
          <w:szCs w:val="23"/>
        </w:rPr>
        <w:t xml:space="preserve">Personal Statement</w:t>
      </w:r>
    </w:p>
    <w:p>
      <w:pPr>
        <w:spacing w:after="80" w:before="80"/>
      </w:pPr>
      <w:r>
        <w:rPr>
          <w:rFonts w:ascii="Arial" w:cs="Arial" w:eastAsia="Arial" w:hAnsi="Arial"/>
          <w:sz w:val="22"/>
          <w:szCs w:val="22"/>
        </w:rPr>
        <w:t xml:space="preserve">I am an independent researcher specializing in contact geometry, formal verification, and mathematical modeling of biological threshold systems. I developed the dm³ framework — a contact-geometric operator chain formally verified in Lean 4 across ~970 machine-checked theorems in 53 files — and applied it to RNA conformational switching, DNA amplification, microtubule curvature dynamics, and language acquisition. I am also a personal injury patient treated by a specialist neurosurgeon, which gives me direct clinical stake in the neurological recovery prediction problem this proposal addresses. The New York Foundation for the Arts (NYFA) serves as fiscal sponsor, providing full grant administration infrastructure.</w:t>
      </w:r>
    </w:p>
    <w:p>
      <w:pPr>
        <w:spacing w:after="80" w:before="200"/>
      </w:pPr>
      <w:r>
        <w:rPr>
          <w:rFonts w:ascii="Arial" w:cs="Arial" w:eastAsia="Arial" w:hAnsi="Arial"/>
          <w:b/>
          <w:bCs/>
          <w:color w:val="2E75B6"/>
          <w:sz w:val="23"/>
          <w:szCs w:val="23"/>
        </w:rPr>
        <w:t xml:space="preserve">Positions and Honors</w:t>
      </w:r>
    </w:p>
    <w:p>
      <w:pPr>
        <w:pStyle w:val="ListParagraph"/>
        <w:numPr>
          <w:ilvl w:val="0"/>
          <w:numId w:val="2"/>
        </w:numPr>
        <w:spacing w:after="40" w:before="40"/>
      </w:pPr>
      <w:r>
        <w:rPr>
          <w:rFonts w:ascii="Arial" w:cs="Arial" w:eastAsia="Arial" w:hAnsi="Arial"/>
          <w:b/>
          <w:bCs/>
          <w:color w:val="000000"/>
          <w:sz w:val="22"/>
          <w:szCs w:val="22"/>
        </w:rPr>
        <w:t xml:space="preserve">2024–present: </w:t>
      </w:r>
      <w:r>
        <w:rPr>
          <w:rFonts w:ascii="Arial" w:cs="Arial" w:eastAsia="Arial" w:hAnsi="Arial"/>
          <w:sz w:val="22"/>
          <w:szCs w:val="22"/>
        </w:rPr>
        <w:t xml:space="preserve">Founder and Principal Investigator, G6 LLC, Newark NJ</w:t>
      </w:r>
    </w:p>
    <w:p>
      <w:pPr>
        <w:pStyle w:val="ListParagraph"/>
        <w:numPr>
          <w:ilvl w:val="0"/>
          <w:numId w:val="2"/>
        </w:numPr>
        <w:spacing w:after="40" w:before="40"/>
      </w:pPr>
      <w:r>
        <w:rPr>
          <w:rFonts w:ascii="Arial" w:cs="Arial" w:eastAsia="Arial" w:hAnsi="Arial"/>
          <w:b/>
          <w:bCs/>
          <w:color w:val="000000"/>
          <w:sz w:val="22"/>
          <w:szCs w:val="22"/>
        </w:rPr>
        <w:t xml:space="preserve">2024–present: </w:t>
      </w:r>
      <w:r>
        <w:rPr>
          <w:rFonts w:ascii="Arial" w:cs="Arial" w:eastAsia="Arial" w:hAnsi="Arial"/>
          <w:sz w:val="22"/>
          <w:szCs w:val="22"/>
        </w:rPr>
        <w:t xml:space="preserve">Author, Principia Orthogona series (5 volumes; Series ISBN 979-8-9954416-6-3)</w:t>
      </w:r>
    </w:p>
    <w:p>
      <w:pPr>
        <w:pStyle w:val="ListParagraph"/>
        <w:numPr>
          <w:ilvl w:val="0"/>
          <w:numId w:val="2"/>
        </w:numPr>
        <w:spacing w:after="40" w:before="40"/>
      </w:pPr>
      <w:r>
        <w:rPr>
          <w:rFonts w:ascii="Arial" w:cs="Arial" w:eastAsia="Arial" w:hAnsi="Arial"/>
          <w:b/>
          <w:bCs/>
          <w:color w:val="000000"/>
          <w:sz w:val="22"/>
          <w:szCs w:val="22"/>
        </w:rPr>
        <w:t xml:space="preserve">2026: </w:t>
      </w:r>
      <w:r>
        <w:rPr>
          <w:rFonts w:ascii="Arial" w:cs="Arial" w:eastAsia="Arial" w:hAnsi="Arial"/>
          <w:sz w:val="22"/>
          <w:szCs w:val="22"/>
        </w:rPr>
        <w:t xml:space="preserve">Zenodo Series DOI 10.5281/zenodo.19117399 (all volumes, open access CC BY 4.0)</w:t>
      </w:r>
    </w:p>
    <w:p>
      <w:pPr>
        <w:pStyle w:val="ListParagraph"/>
        <w:numPr>
          <w:ilvl w:val="0"/>
          <w:numId w:val="2"/>
        </w:numPr>
        <w:spacing w:after="40" w:before="40"/>
      </w:pPr>
      <w:r>
        <w:rPr>
          <w:rFonts w:ascii="Arial" w:cs="Arial" w:eastAsia="Arial" w:hAnsi="Arial"/>
          <w:b/>
          <w:bCs/>
          <w:color w:val="000000"/>
          <w:sz w:val="22"/>
          <w:szCs w:val="22"/>
        </w:rPr>
        <w:t xml:space="preserve">2026: </w:t>
      </w:r>
      <w:r>
        <w:rPr>
          <w:rFonts w:ascii="Arial" w:cs="Arial" w:eastAsia="Arial" w:hAnsi="Arial"/>
          <w:sz w:val="22"/>
          <w:szCs w:val="22"/>
        </w:rPr>
        <w:t xml:space="preserve">AXLE formal verification engine — ~970 theorems, 53 Lean 4 files, 0 axioms beyond Mathlib4</w:t>
      </w:r>
    </w:p>
    <w:p>
      <w:pPr>
        <w:spacing w:after="80" w:before="200"/>
      </w:pPr>
      <w:r>
        <w:rPr>
          <w:rFonts w:ascii="Arial" w:cs="Arial" w:eastAsia="Arial" w:hAnsi="Arial"/>
          <w:b/>
          <w:bCs/>
          <w:color w:val="2E75B6"/>
          <w:sz w:val="23"/>
          <w:szCs w:val="23"/>
        </w:rPr>
        <w:t xml:space="preserve">Selected Publications (Zenodo, CC BY 4.0)</w:t>
      </w:r>
    </w:p>
    <w:p>
      <w:pPr>
        <w:pStyle w:val="ListParagraph"/>
        <w:numPr>
          <w:ilvl w:val="0"/>
          <w:numId w:val="2"/>
        </w:numPr>
        <w:spacing w:after="40" w:before="40"/>
      </w:pPr>
      <w:r>
        <w:rPr>
          <w:rFonts w:ascii="Arial" w:cs="Arial" w:eastAsia="Arial" w:hAnsi="Arial"/>
          <w:b/>
          <w:bCs/>
          <w:color w:val="000000"/>
          <w:sz w:val="22"/>
          <w:szCs w:val="22"/>
        </w:rPr>
        <w:t xml:space="preserve">Nogueira Grossi (2026). </w:t>
      </w:r>
      <w:r>
        <w:rPr>
          <w:rFonts w:ascii="Arial" w:cs="Arial" w:eastAsia="Arial" w:hAnsi="Arial"/>
          <w:sz w:val="22"/>
          <w:szCs w:val="22"/>
        </w:rPr>
        <w:t xml:space="preserve">Contact-Geometric Theory of Generative Transitions + Seven Proofs of Tribonacci Constant. doi:10.5281/zenodo.20682934</w:t>
      </w:r>
    </w:p>
    <w:p>
      <w:pPr>
        <w:pStyle w:val="ListParagraph"/>
        <w:numPr>
          <w:ilvl w:val="0"/>
          <w:numId w:val="2"/>
        </w:numPr>
        <w:spacing w:after="40" w:before="40"/>
      </w:pPr>
      <w:r>
        <w:rPr>
          <w:rFonts w:ascii="Arial" w:cs="Arial" w:eastAsia="Arial" w:hAnsi="Arial"/>
          <w:b/>
          <w:bCs/>
          <w:color w:val="000000"/>
          <w:sz w:val="22"/>
          <w:szCs w:val="22"/>
        </w:rPr>
        <w:t xml:space="preserve">Nogueira Grossi (2026). </w:t>
      </w:r>
      <w:r>
        <w:rPr>
          <w:rFonts w:ascii="Arial" w:cs="Arial" w:eastAsia="Arial" w:hAnsi="Arial"/>
          <w:sz w:val="22"/>
          <w:szCs w:val="22"/>
        </w:rPr>
        <w:t xml:space="preserve">Alternating Vanishing Theorem (machine-checked Lean 4). doi:10.5281/zenodo.20710023</w:t>
      </w:r>
    </w:p>
    <w:p>
      <w:pPr>
        <w:pStyle w:val="ListParagraph"/>
        <w:numPr>
          <w:ilvl w:val="0"/>
          <w:numId w:val="2"/>
        </w:numPr>
        <w:spacing w:after="40" w:before="40"/>
      </w:pPr>
      <w:r>
        <w:rPr>
          <w:rFonts w:ascii="Arial" w:cs="Arial" w:eastAsia="Arial" w:hAnsi="Arial"/>
          <w:b/>
          <w:bCs/>
          <w:color w:val="000000"/>
          <w:sz w:val="22"/>
          <w:szCs w:val="22"/>
        </w:rPr>
        <w:t xml:space="preserve">Nogueira Grossi (2026). </w:t>
      </w:r>
      <w:r>
        <w:rPr>
          <w:rFonts w:ascii="Arial" w:cs="Arial" w:eastAsia="Arial" w:hAnsi="Arial"/>
          <w:sz w:val="22"/>
          <w:szCs w:val="22"/>
        </w:rPr>
        <w:t xml:space="preserve">RNA Riboswitches, NGS Amplification, Microtubule Curvature — Three-Domain Validation. doi:10.5281/zenodo.20559510</w:t>
      </w:r>
    </w:p>
    <w:p>
      <w:pPr>
        <w:pStyle w:val="ListParagraph"/>
        <w:numPr>
          <w:ilvl w:val="0"/>
          <w:numId w:val="2"/>
        </w:numPr>
        <w:spacing w:after="40" w:before="40"/>
      </w:pPr>
      <w:r>
        <w:rPr>
          <w:rFonts w:ascii="Arial" w:cs="Arial" w:eastAsia="Arial" w:hAnsi="Arial"/>
          <w:b/>
          <w:bCs/>
          <w:color w:val="000000"/>
          <w:sz w:val="22"/>
          <w:szCs w:val="22"/>
        </w:rPr>
        <w:t xml:space="preserve">Nogueira Grossi (2026). </w:t>
      </w:r>
      <w:r>
        <w:rPr>
          <w:rFonts w:ascii="Arial" w:cs="Arial" w:eastAsia="Arial" w:hAnsi="Arial"/>
          <w:sz w:val="22"/>
          <w:szCs w:val="22"/>
        </w:rPr>
        <w:t xml:space="preserve">Nested Infinities in the Language Classroom. doi:10.5281/zenodo.20719399</w:t>
      </w:r>
    </w:p>
    <w:p>
      <w:pPr>
        <w:pStyle w:val="ListParagraph"/>
        <w:numPr>
          <w:ilvl w:val="0"/>
          <w:numId w:val="2"/>
        </w:numPr>
        <w:spacing w:after="40" w:before="40"/>
      </w:pPr>
      <w:r>
        <w:rPr>
          <w:rFonts w:ascii="Arial" w:cs="Arial" w:eastAsia="Arial" w:hAnsi="Arial"/>
          <w:b/>
          <w:bCs/>
          <w:color w:val="000000"/>
          <w:sz w:val="22"/>
          <w:szCs w:val="22"/>
        </w:rPr>
        <w:t xml:space="preserve">Nogueira Grossi (2026). </w:t>
      </w:r>
      <w:r>
        <w:rPr>
          <w:rFonts w:ascii="Arial" w:cs="Arial" w:eastAsia="Arial" w:hAnsi="Arial"/>
          <w:sz w:val="22"/>
          <w:szCs w:val="22"/>
        </w:rPr>
        <w:t xml:space="preserve">PrincipiaOrthogona Vol I v4. doi:10.5281/zenodo.20784030</w:t>
      </w:r>
    </w:p>
    <w:p>
      <w:pPr>
        <w:pBdr>
          <w:bottom w:val="single" w:color="2E75B6" w:sz="6" w:space="1"/>
        </w:pBdr>
        <w:spacing w:after="100" w:before="280"/>
      </w:pPr>
      <w:r>
        <w:rPr>
          <w:rFonts w:ascii="Arial" w:cs="Arial" w:eastAsia="Arial" w:hAnsi="Arial"/>
          <w:b/>
          <w:bCs/>
          <w:color w:val="1F4E79"/>
          <w:sz w:val="26"/>
          <w:szCs w:val="26"/>
        </w:rPr>
        <w:t xml:space="preserve">References</w:t>
      </w:r>
    </w:p>
    <w:p>
      <w:pPr>
        <w:pStyle w:val="ListParagraph"/>
        <w:numPr>
          <w:ilvl w:val="0"/>
          <w:numId w:val="2"/>
        </w:numPr>
        <w:spacing w:after="40" w:before="40"/>
      </w:pPr>
      <w:r>
        <w:rPr>
          <w:rFonts w:ascii="Arial" w:cs="Arial" w:eastAsia="Arial" w:hAnsi="Arial"/>
          <w:sz w:val="22"/>
          <w:szCs w:val="22"/>
        </w:rPr>
        <w:t xml:space="preserve">DoD TBI Center of Excellence. TBI Numbers. dvbic.dcoe.mil</w:t>
      </w:r>
    </w:p>
    <w:p>
      <w:pPr>
        <w:pStyle w:val="ListParagraph"/>
        <w:numPr>
          <w:ilvl w:val="0"/>
          <w:numId w:val="2"/>
        </w:numPr>
        <w:spacing w:after="40" w:before="40"/>
      </w:pPr>
      <w:r>
        <w:rPr>
          <w:rFonts w:ascii="Arial" w:cs="Arial" w:eastAsia="Arial" w:hAnsi="Arial"/>
          <w:sz w:val="22"/>
          <w:szCs w:val="22"/>
        </w:rPr>
        <w:t xml:space="preserve">Nogueira Grossi (2026). Three-Domain Validation. doi:10.5281/zenodo.20559510</w:t>
      </w:r>
    </w:p>
    <w:p>
      <w:pPr>
        <w:pStyle w:val="ListParagraph"/>
        <w:numPr>
          <w:ilvl w:val="0"/>
          <w:numId w:val="2"/>
        </w:numPr>
        <w:spacing w:after="40" w:before="40"/>
      </w:pPr>
      <w:r>
        <w:rPr>
          <w:rFonts w:ascii="Arial" w:cs="Arial" w:eastAsia="Arial" w:hAnsi="Arial"/>
          <w:sz w:val="22"/>
          <w:szCs w:val="22"/>
        </w:rPr>
        <w:t xml:space="preserve">TBIMS Early Recovery Trajectories. PMC12838949</w:t>
      </w:r>
    </w:p>
    <w:p>
      <w:pPr>
        <w:pStyle w:val="ListParagraph"/>
        <w:numPr>
          <w:ilvl w:val="0"/>
          <w:numId w:val="2"/>
        </w:numPr>
        <w:spacing w:after="40" w:before="40"/>
      </w:pPr>
      <w:r>
        <w:rPr>
          <w:rFonts w:ascii="Arial" w:cs="Arial" w:eastAsia="Arial" w:hAnsi="Arial"/>
          <w:sz w:val="22"/>
          <w:szCs w:val="22"/>
        </w:rPr>
        <w:t xml:space="preserve">TRACK-TBI GOSE Trajectories. PubMed 41161723</w:t>
      </w:r>
    </w:p>
    <w:p>
      <w:pPr>
        <w:pStyle w:val="ListParagraph"/>
        <w:numPr>
          <w:ilvl w:val="0"/>
          <w:numId w:val="2"/>
        </w:numPr>
        <w:spacing w:after="40" w:before="40"/>
      </w:pPr>
      <w:r>
        <w:rPr>
          <w:rFonts w:ascii="Arial" w:cs="Arial" w:eastAsia="Arial" w:hAnsi="Arial"/>
          <w:sz w:val="22"/>
          <w:szCs w:val="22"/>
        </w:rPr>
        <w:t xml:space="preserve">Schaedel et al. (2015). Nature Materials 14, 1156–1163</w:t>
      </w:r>
    </w:p>
    <w:p>
      <w:pPr>
        <w:pStyle w:val="ListParagraph"/>
        <w:numPr>
          <w:ilvl w:val="0"/>
          <w:numId w:val="2"/>
        </w:numPr>
        <w:spacing w:after="40" w:before="40"/>
      </w:pPr>
      <w:r>
        <w:rPr>
          <w:rFonts w:ascii="Arial" w:cs="Arial" w:eastAsia="Arial" w:hAnsi="Arial"/>
          <w:sz w:val="22"/>
          <w:szCs w:val="22"/>
        </w:rPr>
        <w:t xml:space="preserve">AXLE Formal Verification. github.com/TOTOGT/AXLE</w:t>
      </w:r>
    </w:p>
    <w:p>
      <w:pPr>
        <w:spacing w:after="80" w:before="80"/>
        <w:jc w:val="center"/>
      </w:pPr>
      <w:r>
        <w:rPr>
          <w:rFonts w:ascii="Arial" w:cs="Arial" w:eastAsia="Arial" w:hAnsi="Arial"/>
          <w:sz w:val="22"/>
          <w:szCs w:val="22"/>
        </w:rPr>
        <w:t xml:space="preserve">G6 LLC · Pablo Nogueira Grossi · g6llc@proton.me · +1 646 342 3751 · ORCID 0009-0000-6496-2186</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2026-06-22T16:45:57.815Z</dcterms:created>
  <dcterms:modified xsi:type="dcterms:W3CDTF">2026-06-22T16:45:57.815Z</dcterms:modified>
</cp:coreProperties>
</file>

<file path=docProps/custom.xml><?xml version="1.0" encoding="utf-8"?>
<Properties xmlns="http://schemas.openxmlformats.org/officeDocument/2006/custom-properties" xmlns:vt="http://schemas.openxmlformats.org/officeDocument/2006/docPropsVTypes"/>
</file>