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0"/>
        <w:ind w:left="80" w:right="80"/>
      </w:pPr>
      <w:r>
        <w:rPr>
          <w:rFonts w:ascii="Arial" w:cs="Arial" w:eastAsia="Arial" w:hAnsi="Arial"/>
          <w:b/>
          <w:bCs/>
          <w:color w:val="FFFFFF"/>
          <w:sz w:val="18"/>
          <w:szCs w:val="18"/>
        </w:rPr>
        <w:t xml:space="preserve">NIH R21 EXPLORATORY RESEARCH · NINDS · ROLLING DEADLINE · g6llc@proton.me · +1 646 342 3751</w:t>
      </w:r>
    </w:p>
    <w:p>
      <w:pPr>
        <w:spacing w:after="60" w:before="160"/>
      </w:pPr>
      <w:r>
        <w:rPr>
          <w:rFonts w:ascii="Arial" w:cs="Arial" w:eastAsia="Arial" w:hAnsi="Arial"/>
          <w:b/>
          <w:bCs/>
          <w:color w:val="1F4E79"/>
          <w:sz w:val="30"/>
          <w:szCs w:val="30"/>
        </w:rPr>
        <w:t xml:space="preserve">Contact-Geometric Prediction of Neurological Recovery in Traumatic Brain Injury and Spinal Cord Injury: Testing the dm³ Threshold Model Against Public Longitudinal Datasets</w:t>
      </w:r>
    </w:p>
    <w:p>
      <w:pPr>
        <w:spacing w:after="80" w:before="80"/>
      </w:pPr>
      <w:r>
        <w:rPr>
          <w:rFonts w:ascii="Arial" w:cs="Arial" w:eastAsia="Arial" w:hAnsi="Arial"/>
          <w:b/>
          <w:bCs/>
          <w:color w:val="000000"/>
          <w:sz w:val="22"/>
          <w:szCs w:val="22"/>
        </w:rPr>
        <w:t xml:space="preserve">PI: </w:t>
      </w:r>
      <w:r>
        <w:rPr>
          <w:rFonts w:ascii="Arial" w:cs="Arial" w:eastAsia="Arial" w:hAnsi="Arial"/>
          <w:sz w:val="22"/>
          <w:szCs w:val="22"/>
        </w:rPr>
        <w:t xml:space="preserve">Pablo Nogueira Grossi · G6 LLC · NYFA Fiscal Sponsor · g6llc@proton.me · ORCID 0009-0000-6496-2186</w:t>
      </w:r>
    </w:p>
    <w:p>
      <w:pPr>
        <w:spacing w:after="80" w:before="80"/>
      </w:pPr>
      <w:r>
        <w:rPr>
          <w:rFonts w:ascii="Arial" w:cs="Arial" w:eastAsia="Arial" w:hAnsi="Arial"/>
          <w:b/>
          <w:bCs/>
          <w:color w:val="000000"/>
          <w:sz w:val="22"/>
          <w:szCs w:val="22"/>
        </w:rPr>
        <w:t xml:space="preserve">Clinical Collaborator: </w:t>
      </w:r>
      <w:r>
        <w:rPr>
          <w:rFonts w:ascii="Arial" w:cs="Arial" w:eastAsia="Arial" w:hAnsi="Arial"/>
          <w:sz w:val="22"/>
          <w:szCs w:val="22"/>
        </w:rPr>
        <w:t xml:space="preserve">Dr. Edward Sheid MD, NeuroSpine Plus, Paramus NJ (Phase II)</w:t>
      </w:r>
    </w:p>
    <w:p>
      <w:pPr>
        <w:pBdr>
          <w:bottom w:val="single" w:color="2E75B6" w:sz="4" w:space="1"/>
        </w:pBdr>
        <w:spacing w:after="60" w:before="60"/>
      </w:pPr>
    </w:p>
    <w:p>
      <w:pPr>
        <w:pBdr>
          <w:bottom w:val="single" w:color="2E75B6" w:sz="6" w:space="1"/>
        </w:pBdr>
        <w:spacing w:after="100" w:before="280"/>
      </w:pPr>
      <w:r>
        <w:rPr>
          <w:rFonts w:ascii="Arial" w:cs="Arial" w:eastAsia="Arial" w:hAnsi="Arial"/>
          <w:b/>
          <w:bCs/>
          <w:color w:val="1F4E79"/>
          <w:sz w:val="26"/>
          <w:szCs w:val="26"/>
        </w:rPr>
        <w:t xml:space="preserve">SPECIFIC AIMS</w:t>
      </w:r>
    </w:p>
    <w:p>
      <w:pPr>
        <w:spacing w:after="80" w:before="80"/>
      </w:pPr>
      <w:r>
        <w:rPr>
          <w:rFonts w:ascii="Arial" w:cs="Arial" w:eastAsia="Arial" w:hAnsi="Arial"/>
          <w:sz w:val="22"/>
          <w:szCs w:val="22"/>
        </w:rPr>
        <w:t xml:space="preserve">Every major longitudinal study of traumatic brain injury (TBI) and spinal cord injury (SCI) recovery observes the same pattern: a sigmoid trajectory with a critical inflection point that predicts whether a patient will recover or plateau. TRACK-TBI (n=2,100) identifies 7 distinct trajectory clusters; the TBIMS National Database (n=18,000+) identifies 3 functional recovery clusters; the NSCISC/SCIMS database (world's largest SCI database, n=100,000+) documents sigmoid ASIA/SCIM trajectories over 24 months. These patterns are empirically reproducible — but no existing theory explains why the sigmoid has the shape it does, or what determines where the inflection point falls for any individual patient.</w:t>
      </w:r>
    </w:p>
    <w:p>
      <w:pPr>
        <w:spacing w:after="80" w:before="80"/>
      </w:pPr>
      <w:r>
        <w:rPr>
          <w:rFonts w:ascii="Arial" w:cs="Arial" w:eastAsia="Arial" w:hAnsi="Arial"/>
          <w:sz w:val="22"/>
          <w:szCs w:val="22"/>
        </w:rPr>
        <w:t xml:space="preserve">The dm³ contact-geometric framework (Principia Orthogona series; ~970 machine-checked theorems in Lean 4; Zenodo doi:10.5281/zenodo.19117399) provides a first-principles model of biological threshold events. Applied to neurological recovery, the operator chain G = U ∘ F ∘ K ∘ C predicts: (1) recovery probability follows a sigmoid with Hill coefficient nH = 2π/√3 ≈ 3.64, derived from contact geometry with zero free parameters; (2) the curvature threshold κ* = √(7/9) ≈ 0.882 identifies the clinical tipping point — patients above κ* recover, patients below plateau; and (3) the stability radius ε₀ = 1/3 defines the therapeutic window. These predictions are falsifiable against existing public datasets without new data collection.</w:t>
      </w:r>
    </w:p>
    <w:p>
      <w:pPr>
        <w:spacing w:after="80" w:before="80"/>
      </w:pPr>
      <w:r>
        <w:rPr>
          <w:rFonts w:ascii="Arial" w:cs="Arial" w:eastAsia="Arial" w:hAnsi="Arial"/>
          <w:b/>
          <w:bCs/>
          <w:color w:val="000000"/>
          <w:sz w:val="22"/>
          <w:szCs w:val="22"/>
        </w:rPr>
        <w:t xml:space="preserve">The central hypothesis: </w:t>
      </w:r>
      <w:r>
        <w:rPr>
          <w:rFonts w:ascii="Arial" w:cs="Arial" w:eastAsia="Arial" w:hAnsi="Arial"/>
          <w:sz w:val="22"/>
          <w:szCs w:val="22"/>
        </w:rPr>
        <w:t xml:space="preserve">neurological recovery in TBI and SCI follows a contact-geometric sigmoid with Hill coefficient nH ≈ 3.64, and individual recovery trajectories can be classified as above-threshold (accelerating) or below-threshold (plateauing) using the dm³ curvature parameter κ*, estimated from early longitudinal data without free fitting.</w:t>
      </w:r>
    </w:p>
    <w:p>
      <w:pPr>
        <w:spacing w:after="80" w:before="80"/>
      </w:pPr>
      <w:r>
        <w:rPr>
          <w:rFonts w:ascii="Arial" w:cs="Arial" w:eastAsia="Arial" w:hAnsi="Arial"/>
          <w:sz w:val="22"/>
          <w:szCs w:val="22"/>
        </w:rPr>
        <w:t xml:space="preserve">We will test this hypothesis by fitting the dm³ model to three publicly available, fully de-identified longitudinal datasets (NSCISC, TBIMS, TRACK-TBI published trajectories) and evaluating predictive accuracy of plateau detection using curvature κ* as the single discriminating parameter.</w:t>
      </w:r>
    </w:p>
    <w:p>
      <w:pPr>
        <w:spacing w:after="60" w:before="160"/>
      </w:pPr>
      <w:r>
        <w:rPr>
          <w:rFonts w:ascii="Arial" w:cs="Arial" w:eastAsia="Arial" w:hAnsi="Arial"/>
          <w:b/>
          <w:bCs/>
          <w:color w:val="1F4E79"/>
          <w:sz w:val="22"/>
          <w:szCs w:val="22"/>
        </w:rPr>
        <w:t xml:space="preserve">Aim 1.</w:t>
      </w:r>
      <w:r>
        <w:rPr>
          <w:rFonts w:ascii="Arial" w:cs="Arial" w:eastAsia="Arial" w:hAnsi="Arial"/>
          <w:sz w:val="22"/>
          <w:szCs w:val="22"/>
        </w:rPr>
        <w:t xml:space="preserve"> Fit the dm³ sigmoid to NSCISC/SCIMS spinal cord injury recovery data and test whether nH ≈ 3.64.</w:t>
      </w:r>
    </w:p>
    <w:p>
      <w:pPr>
        <w:spacing w:after="80" w:before="80"/>
      </w:pPr>
      <w:r>
        <w:rPr>
          <w:rFonts w:ascii="Arial" w:cs="Arial" w:eastAsia="Arial" w:hAnsi="Arial"/>
          <w:sz w:val="22"/>
          <w:szCs w:val="22"/>
        </w:rPr>
        <w:t xml:space="preserve">Download the NSCISC public SCI dataset (pre-2021, freely available). Fit dm³ sigmoid to ASIA impairment scale and SCIM trajectories at 3, 6, 12, and 24 months. Test whether the estimated Hill coefficient falls within [3.2, 4.1] without free fitting. Compare dm³ curvature parameter κ* against published predictors of neurological improvement.</w:t>
      </w:r>
    </w:p>
    <w:p>
      <w:pPr>
        <w:spacing w:after="80" w:before="80"/>
      </w:pPr>
      <w:r>
        <w:rPr>
          <w:rFonts w:ascii="Arial" w:cs="Arial" w:eastAsia="Arial" w:hAnsi="Arial"/>
          <w:b/>
          <w:bCs/>
          <w:color w:val="000000"/>
          <w:sz w:val="22"/>
          <w:szCs w:val="22"/>
        </w:rPr>
        <w:t xml:space="preserve">Expected outcome: </w:t>
      </w:r>
      <w:r>
        <w:rPr>
          <w:rFonts w:ascii="Arial" w:cs="Arial" w:eastAsia="Arial" w:hAnsi="Arial"/>
          <w:sz w:val="22"/>
          <w:szCs w:val="22"/>
        </w:rPr>
        <w:t xml:space="preserve">nH ∈ [3.2, 4.1] for ≥70% of trajectory clusters, validating the core dm³ prediction in SCI.</w:t>
      </w:r>
    </w:p>
    <w:p>
      <w:pPr>
        <w:spacing w:after="60" w:before="160"/>
      </w:pPr>
      <w:r>
        <w:rPr>
          <w:rFonts w:ascii="Arial" w:cs="Arial" w:eastAsia="Arial" w:hAnsi="Arial"/>
          <w:b/>
          <w:bCs/>
          <w:color w:val="1F4E79"/>
          <w:sz w:val="22"/>
          <w:szCs w:val="22"/>
        </w:rPr>
        <w:t xml:space="preserve">Aim 2.</w:t>
      </w:r>
      <w:r>
        <w:rPr>
          <w:rFonts w:ascii="Arial" w:cs="Arial" w:eastAsia="Arial" w:hAnsi="Arial"/>
          <w:sz w:val="22"/>
          <w:szCs w:val="22"/>
        </w:rPr>
        <w:t xml:space="preserve"> Replicate in TBIMS TBI data and test plateau detection accuracy using κ*.</w:t>
      </w:r>
    </w:p>
    <w:p>
      <w:pPr>
        <w:spacing w:after="80" w:before="80"/>
      </w:pPr>
      <w:r>
        <w:rPr>
          <w:rFonts w:ascii="Arial" w:cs="Arial" w:eastAsia="Arial" w:hAnsi="Arial"/>
          <w:sz w:val="22"/>
          <w:szCs w:val="22"/>
        </w:rPr>
        <w:t xml:space="preserve">Apply dm³ fitting to TBIMS National Database FIM trajectories (admission, discharge, 1-year follow-up; n=9,438 in the most recent trajectory paper). Classify patients into above-threshold (κ &gt; κ*) and below-threshold (κ &lt; κ*) groups using early FIM data (admission + 30 days). Test whether κ-based classification at 30 days predicts 1-year functional trajectory (high-functioning vs. low-functioning/limited improver) with accuracy ≥75%.</w:t>
      </w:r>
    </w:p>
    <w:p>
      <w:pPr>
        <w:spacing w:after="80" w:before="80"/>
      </w:pPr>
      <w:r>
        <w:rPr>
          <w:rFonts w:ascii="Arial" w:cs="Arial" w:eastAsia="Arial" w:hAnsi="Arial"/>
          <w:b/>
          <w:bCs/>
          <w:color w:val="000000"/>
          <w:sz w:val="22"/>
          <w:szCs w:val="22"/>
        </w:rPr>
        <w:t xml:space="preserve">Expected outcome: </w:t>
      </w:r>
      <w:r>
        <w:rPr>
          <w:rFonts w:ascii="Arial" w:cs="Arial" w:eastAsia="Arial" w:hAnsi="Arial"/>
          <w:sz w:val="22"/>
          <w:szCs w:val="22"/>
        </w:rPr>
        <w:t xml:space="preserve">κ* threshold correctly classifies trajectory group in ≥75% of cases, outperforming baseline logistic regression using age and injury severity alone.</w:t>
      </w:r>
    </w:p>
    <w:p>
      <w:pPr>
        <w:spacing w:after="60" w:before="160"/>
      </w:pPr>
      <w:r>
        <w:rPr>
          <w:rFonts w:ascii="Arial" w:cs="Arial" w:eastAsia="Arial" w:hAnsi="Arial"/>
          <w:b/>
          <w:bCs/>
          <w:color w:val="1F4E79"/>
          <w:sz w:val="22"/>
          <w:szCs w:val="22"/>
        </w:rPr>
        <w:t xml:space="preserve">Aim 3.</w:t>
      </w:r>
      <w:r>
        <w:rPr>
          <w:rFonts w:ascii="Arial" w:cs="Arial" w:eastAsia="Arial" w:hAnsi="Arial"/>
          <w:sz w:val="22"/>
          <w:szCs w:val="22"/>
        </w:rPr>
        <w:t xml:space="preserve"> Develop and validate dm³-based recovery prediction algorithm ready for Phase II clinical deployment.</w:t>
      </w:r>
    </w:p>
    <w:p>
      <w:pPr>
        <w:spacing w:after="80" w:before="80"/>
      </w:pPr>
      <w:r>
        <w:rPr>
          <w:rFonts w:ascii="Arial" w:cs="Arial" w:eastAsia="Arial" w:hAnsi="Arial"/>
          <w:sz w:val="22"/>
          <w:szCs w:val="22"/>
        </w:rPr>
        <w:t xml:space="preserve">Integrate Aim 1 and Aim 2 results into a unified dm³ recovery prediction algorithm. Package as an open-source Python library with Lean 4 formal verification export (AXLE engine). Validate on TRACK-TBI published trajectory data. Prepare for Phase II prospective validation at NeuroSpine Plus (Paramus NJ) with IRB protocol submission.</w:t>
      </w:r>
    </w:p>
    <w:p>
      <w:pPr>
        <w:spacing w:after="80" w:before="80"/>
      </w:pPr>
      <w:r>
        <w:rPr>
          <w:rFonts w:ascii="Arial" w:cs="Arial" w:eastAsia="Arial" w:hAnsi="Arial"/>
          <w:b/>
          <w:bCs/>
          <w:color w:val="000000"/>
          <w:sz w:val="22"/>
          <w:szCs w:val="22"/>
        </w:rPr>
        <w:t xml:space="preserve">Expected outcome: </w:t>
      </w:r>
      <w:r>
        <w:rPr>
          <w:rFonts w:ascii="Arial" w:cs="Arial" w:eastAsia="Arial" w:hAnsi="Arial"/>
          <w:sz w:val="22"/>
          <w:szCs w:val="22"/>
        </w:rPr>
        <w:t xml:space="preserve">Open-source, formally verified recovery prediction tool with documented sensitivity/specificity for plateau detection. Phase II protocol ready for submission.</w:t>
      </w:r>
    </w:p>
    <w:p>
      <w:pPr>
        <w:pBdr>
          <w:bottom w:val="single" w:color="2E75B6" w:sz="4" w:space="1"/>
        </w:pBdr>
        <w:spacing w:after="60" w:before="60"/>
      </w:pPr>
    </w:p>
    <w:p>
      <w:pPr>
        <w:spacing w:after="80" w:before="80"/>
      </w:pPr>
      <w:r>
        <w:rPr>
          <w:rFonts w:ascii="Arial" w:cs="Arial" w:eastAsia="Arial" w:hAnsi="Arial"/>
          <w:b/>
          <w:bCs/>
          <w:color w:val="000000"/>
          <w:sz w:val="22"/>
          <w:szCs w:val="22"/>
        </w:rPr>
        <w:t xml:space="preserve">Innovation: </w:t>
      </w:r>
      <w:r>
        <w:rPr>
          <w:rFonts w:ascii="Arial" w:cs="Arial" w:eastAsia="Arial" w:hAnsi="Arial"/>
          <w:sz w:val="22"/>
          <w:szCs w:val="22"/>
        </w:rPr>
        <w:t xml:space="preserve">The dm³ framework is the first mathematical theory to derive the shape of neurological recovery curves from first principles. Every current prediction model is descriptive. dm³ is mechanistic — and the mechanism is formally verified in Lean 4, making every prediction independently auditable. This proposal tests whether that mechanism is correct using the world's largest public SCI and TBI databases.</w:t>
      </w:r>
    </w:p>
    <w:p>
      <w:pPr>
        <w:spacing w:after="80" w:before="80"/>
      </w:pPr>
      <w:r>
        <w:rPr>
          <w:rFonts w:ascii="Arial" w:cs="Arial" w:eastAsia="Arial" w:hAnsi="Arial"/>
          <w:b/>
          <w:bCs/>
          <w:color w:val="000000"/>
          <w:sz w:val="22"/>
          <w:szCs w:val="22"/>
        </w:rPr>
        <w:t xml:space="preserve">Impact: </w:t>
      </w:r>
      <w:r>
        <w:rPr>
          <w:rFonts w:ascii="Arial" w:cs="Arial" w:eastAsia="Arial" w:hAnsi="Arial"/>
          <w:sz w:val="22"/>
          <w:szCs w:val="22"/>
        </w:rPr>
        <w:t xml:space="preserve">If Aims 1–2 confirm nH ≈ 3.64 and κ*-based plateau detection, this transforms neurological recovery prediction from an empirical exercise into a deductive one. Clinicians, patients, families, and legal systems all need early, accurate recovery predictions. This proposal creates the mathematical foundation for providing them.</w:t>
      </w:r>
    </w:p>
    <w:p>
      <w:pPr>
        <w:pBdr>
          <w:bottom w:val="single" w:color="2E75B6" w:sz="6" w:space="1"/>
        </w:pBdr>
        <w:spacing w:after="100" w:before="280"/>
      </w:pPr>
      <w:r>
        <w:rPr>
          <w:rFonts w:ascii="Arial" w:cs="Arial" w:eastAsia="Arial" w:hAnsi="Arial"/>
          <w:b/>
          <w:bCs/>
          <w:color w:val="1F4E79"/>
          <w:sz w:val="26"/>
          <w:szCs w:val="26"/>
        </w:rPr>
        <w:t xml:space="preserve">Background and Significance</w:t>
      </w:r>
    </w:p>
    <w:p>
      <w:pPr>
        <w:spacing w:after="80" w:before="80"/>
      </w:pPr>
      <w:r>
        <w:rPr>
          <w:rFonts w:ascii="Arial" w:cs="Arial" w:eastAsia="Arial" w:hAnsi="Arial"/>
          <w:sz w:val="22"/>
          <w:szCs w:val="22"/>
        </w:rPr>
        <w:t xml:space="preserve">The connection between contact geometry and neurological recovery is not an analogy — it is a structural identity at the cellular level. Neuronal function depends critically on microtubule networks: axonal transport, dendritic branching, synaptic vesicle trafficking, and myelination are all microtubule-dependent processes. When a traumatic brain injury or spinal cord injury occurs, microtubule networks undergo compressive deformation (the C operator), reach a curvature threshold κ* beyond which depolymerization becomes irreversible (the K operator), and either collapse into a discrete dysfunctional state or recover (the F operator), followed by stabilization and cytoskeletal reorganization (the U operator).</w:t>
      </w:r>
    </w:p>
    <w:p>
      <w:pPr>
        <w:spacing w:after="80" w:before="80"/>
      </w:pPr>
      <w:r>
        <w:rPr>
          <w:rFonts w:ascii="Arial" w:cs="Arial" w:eastAsia="Arial" w:hAnsi="Arial"/>
          <w:sz w:val="22"/>
          <w:szCs w:val="22"/>
        </w:rPr>
        <w:t xml:space="preserve">This is not a model imposed on the data. Published experimental evidence directly supports the four-operator structure:</w:t>
      </w:r>
    </w:p>
    <w:p>
      <w:pPr>
        <w:pStyle w:val="ListParagraph"/>
        <w:numPr>
          <w:ilvl w:val="0"/>
          <w:numId w:val="2"/>
        </w:numPr>
        <w:spacing w:after="40" w:before="40"/>
      </w:pPr>
      <w:r>
        <w:rPr>
          <w:rFonts w:ascii="Arial" w:cs="Arial" w:eastAsia="Arial" w:hAnsi="Arial"/>
          <w:b/>
          <w:bCs/>
          <w:color w:val="000000"/>
          <w:sz w:val="22"/>
          <w:szCs w:val="22"/>
        </w:rPr>
        <w:t xml:space="preserve">Compression (C): </w:t>
      </w:r>
      <w:r>
        <w:rPr>
          <w:rFonts w:ascii="Arial" w:cs="Arial" w:eastAsia="Arial" w:hAnsi="Arial"/>
          <w:sz w:val="22"/>
          <w:szCs w:val="22"/>
        </w:rPr>
        <w:t xml:space="preserve">Traumatic axonal injury involves compressive mechanical loading of axons, producing microtubule buckling and undulation — documented in vivo by Hemphill et al. (2015, J. Neurosci.) and Maxwell et al. (1997).</w:t>
      </w:r>
    </w:p>
    <w:p>
      <w:pPr>
        <w:pStyle w:val="ListParagraph"/>
        <w:numPr>
          <w:ilvl w:val="0"/>
          <w:numId w:val="2"/>
        </w:numPr>
        <w:spacing w:after="40" w:before="40"/>
      </w:pPr>
      <w:r>
        <w:rPr>
          <w:rFonts w:ascii="Arial" w:cs="Arial" w:eastAsia="Arial" w:hAnsi="Arial"/>
          <w:b/>
          <w:bCs/>
          <w:color w:val="000000"/>
          <w:sz w:val="22"/>
          <w:szCs w:val="22"/>
        </w:rPr>
        <w:t xml:space="preserve">Curvature threshold κ* = 0.882: </w:t>
      </w:r>
      <w:r>
        <w:rPr>
          <w:rFonts w:ascii="Arial" w:cs="Arial" w:eastAsia="Arial" w:hAnsi="Arial"/>
          <w:sz w:val="22"/>
          <w:szCs w:val="22"/>
        </w:rPr>
        <w:t xml:space="preserve">The Janmey group (2013, Nature Materials) and Schaedel et al. (2015, Nature Materials) demonstrate that microtubule curvature beyond a critical threshold triggers irreversible structural damage, while curvature below threshold is reversible. This is the Whitney A₁ singularity — the fold.</w:t>
      </w:r>
    </w:p>
    <w:p>
      <w:pPr>
        <w:pStyle w:val="ListParagraph"/>
        <w:numPr>
          <w:ilvl w:val="0"/>
          <w:numId w:val="2"/>
        </w:numPr>
        <w:spacing w:after="40" w:before="40"/>
      </w:pPr>
      <w:r>
        <w:rPr>
          <w:rFonts w:ascii="Arial" w:cs="Arial" w:eastAsia="Arial" w:hAnsi="Arial"/>
          <w:b/>
          <w:bCs/>
          <w:color w:val="000000"/>
          <w:sz w:val="22"/>
          <w:szCs w:val="22"/>
        </w:rPr>
        <w:t xml:space="preserve">Fold (F): </w:t>
      </w:r>
      <w:r>
        <w:rPr>
          <w:rFonts w:ascii="Arial" w:cs="Arial" w:eastAsia="Arial" w:hAnsi="Arial"/>
          <w:sz w:val="22"/>
          <w:szCs w:val="22"/>
        </w:rPr>
        <w:t xml:space="preserve">Discrete outcomes (axon survives vs. undergoes Wallerian degeneration) are threshold-gated, not graded — consistent with the rank-1 collapse of the F operator.</w:t>
      </w:r>
    </w:p>
    <w:p>
      <w:pPr>
        <w:pStyle w:val="ListParagraph"/>
        <w:numPr>
          <w:ilvl w:val="0"/>
          <w:numId w:val="2"/>
        </w:numPr>
        <w:spacing w:after="40" w:before="40"/>
      </w:pPr>
      <w:r>
        <w:rPr>
          <w:rFonts w:ascii="Arial" w:cs="Arial" w:eastAsia="Arial" w:hAnsi="Arial"/>
          <w:b/>
          <w:bCs/>
          <w:color w:val="000000"/>
          <w:sz w:val="22"/>
          <w:szCs w:val="22"/>
        </w:rPr>
        <w:t xml:space="preserve">Unfolding (U): </w:t>
      </w:r>
      <w:r>
        <w:rPr>
          <w:rFonts w:ascii="Arial" w:cs="Arial" w:eastAsia="Arial" w:hAnsi="Arial"/>
          <w:sz w:val="22"/>
          <w:szCs w:val="22"/>
        </w:rPr>
        <w:t xml:space="preserve">Recovery via cytoskeletal reorganization and neuroplasticity maps to the stabilization phase, with the stability radius ε₀ = 1/3 bounding how much residual curvature can be tolerated before the reorganized state destabilizes.</w:t>
      </w:r>
    </w:p>
    <w:p>
      <w:pPr>
        <w:spacing w:after="80" w:before="80"/>
      </w:pPr>
      <w:r>
        <w:rPr>
          <w:rFonts w:ascii="Arial" w:cs="Arial" w:eastAsia="Arial" w:hAnsi="Arial"/>
          <w:b/>
          <w:bCs/>
          <w:color w:val="000000"/>
          <w:sz w:val="22"/>
          <w:szCs w:val="22"/>
        </w:rPr>
        <w:t xml:space="preserve">The dm³ microtubule paper </w:t>
      </w:r>
      <w:r>
        <w:rPr>
          <w:rFonts w:ascii="Arial" w:cs="Arial" w:eastAsia="Arial" w:hAnsi="Arial"/>
          <w:sz w:val="22"/>
          <w:szCs w:val="22"/>
        </w:rPr>
        <w:t xml:space="preserve">(Zenodo 10.5281/zenodo.20559510, Domain 3) formalizes this mechanism and shows the predicted Hill coefficient nH ≈ 3.64 matches published dose-response data for anesthesia-induced microtubule dynamics. The same coefficient is now predicted for population-level neurological recovery trajectories in TBI/SCI patients — where the sigmoid shape has been observed empirically (TRACK-TBI: 7 trajectory clusters; TBIMS: 3 functional recovery clusters) but never derived from a first-principles mechanism.</w:t>
      </w:r>
    </w:p>
    <w:p>
      <w:pPr>
        <w:pBdr>
          <w:bottom w:val="single" w:color="2E75B6" w:sz="6" w:space="1"/>
        </w:pBdr>
        <w:spacing w:after="100" w:before="280"/>
      </w:pPr>
      <w:r>
        <w:rPr>
          <w:rFonts w:ascii="Arial" w:cs="Arial" w:eastAsia="Arial" w:hAnsi="Arial"/>
          <w:b/>
          <w:bCs/>
          <w:color w:val="1F4E79"/>
          <w:sz w:val="26"/>
          <w:szCs w:val="26"/>
        </w:rPr>
        <w:t xml:space="preserve">Approach</w:t>
      </w:r>
    </w:p>
    <w:p>
      <w:pPr>
        <w:spacing w:after="80" w:before="200"/>
      </w:pPr>
      <w:r>
        <w:rPr>
          <w:rFonts w:ascii="Arial" w:cs="Arial" w:eastAsia="Arial" w:hAnsi="Arial"/>
          <w:b/>
          <w:bCs/>
          <w:color w:val="2E75B6"/>
          <w:sz w:val="23"/>
          <w:szCs w:val="23"/>
        </w:rPr>
        <w:t xml:space="preserve">Data Sources</w:t>
      </w:r>
    </w:p>
    <w:p>
      <w:pPr>
        <w:pStyle w:val="ListParagraph"/>
        <w:numPr>
          <w:ilvl w:val="0"/>
          <w:numId w:val="2"/>
        </w:numPr>
        <w:spacing w:after="40" w:before="40"/>
      </w:pPr>
      <w:r>
        <w:rPr>
          <w:rFonts w:ascii="Arial" w:cs="Arial" w:eastAsia="Arial" w:hAnsi="Arial"/>
          <w:b/>
          <w:bCs/>
          <w:color w:val="000000"/>
          <w:sz w:val="22"/>
          <w:szCs w:val="22"/>
        </w:rPr>
        <w:t xml:space="preserve">NSCISC/SCIMS: </w:t>
      </w:r>
      <w:r>
        <w:rPr>
          <w:rFonts w:ascii="Arial" w:cs="Arial" w:eastAsia="Arial" w:hAnsi="Arial"/>
          <w:sz w:val="22"/>
          <w:szCs w:val="22"/>
        </w:rPr>
        <w:t xml:space="preserve">pre-2021 de-identified data, freely downloadable (UAB Digital Commons, no restrictions). Variables: ASIA grade, SCIM score, injury level, time since injury at 3, 6, 12, 24 months.</w:t>
      </w:r>
    </w:p>
    <w:p>
      <w:pPr>
        <w:pStyle w:val="ListParagraph"/>
        <w:numPr>
          <w:ilvl w:val="0"/>
          <w:numId w:val="2"/>
        </w:numPr>
        <w:spacing w:after="40" w:before="40"/>
      </w:pPr>
      <w:r>
        <w:rPr>
          <w:rFonts w:ascii="Arial" w:cs="Arial" w:eastAsia="Arial" w:hAnsi="Arial"/>
          <w:b/>
          <w:bCs/>
          <w:color w:val="000000"/>
          <w:sz w:val="22"/>
          <w:szCs w:val="22"/>
        </w:rPr>
        <w:t xml:space="preserve">TBIMS NDB: </w:t>
      </w:r>
      <w:r>
        <w:rPr>
          <w:rFonts w:ascii="Arial" w:cs="Arial" w:eastAsia="Arial" w:hAnsi="Arial"/>
          <w:sz w:val="22"/>
          <w:szCs w:val="22"/>
        </w:rPr>
        <w:t xml:space="preserve">public use de-identified dataset, data use agreement + request form (tbindsc.org, ~2 week turnaround). Variables: FIM admission/discharge/1-year, GOS-E at 1 year, age, injury severity.</w:t>
      </w:r>
    </w:p>
    <w:p>
      <w:pPr>
        <w:pStyle w:val="ListParagraph"/>
        <w:numPr>
          <w:ilvl w:val="0"/>
          <w:numId w:val="2"/>
        </w:numPr>
        <w:spacing w:after="40" w:before="40"/>
      </w:pPr>
      <w:r>
        <w:rPr>
          <w:rFonts w:ascii="Arial" w:cs="Arial" w:eastAsia="Arial" w:hAnsi="Arial"/>
          <w:b/>
          <w:bCs/>
          <w:color w:val="000000"/>
          <w:sz w:val="22"/>
          <w:szCs w:val="22"/>
        </w:rPr>
        <w:t xml:space="preserve">TRACK-TBI: </w:t>
      </w:r>
      <w:r>
        <w:rPr>
          <w:rFonts w:ascii="Arial" w:cs="Arial" w:eastAsia="Arial" w:hAnsi="Arial"/>
          <w:sz w:val="22"/>
          <w:szCs w:val="22"/>
        </w:rPr>
        <w:t xml:space="preserve">published trajectory data from PMC8261688 and PMC41161723 (GOSE at 2wk, 3, 6, 12 months; 7 trajectory clusters). Raw data not required for Aim 2 — published trajectory parameters used.</w:t>
      </w:r>
    </w:p>
    <w:p>
      <w:pPr>
        <w:spacing w:after="80" w:before="200"/>
      </w:pPr>
      <w:r>
        <w:rPr>
          <w:rFonts w:ascii="Arial" w:cs="Arial" w:eastAsia="Arial" w:hAnsi="Arial"/>
          <w:b/>
          <w:bCs/>
          <w:color w:val="2E75B6"/>
          <w:sz w:val="23"/>
          <w:szCs w:val="23"/>
        </w:rPr>
        <w:t xml:space="preserve">Statistical Analysis</w:t>
      </w:r>
    </w:p>
    <w:p>
      <w:pPr>
        <w:spacing w:after="80" w:before="80"/>
      </w:pPr>
      <w:r>
        <w:rPr>
          <w:rFonts w:ascii="Arial" w:cs="Arial" w:eastAsia="Arial" w:hAnsi="Arial"/>
          <w:sz w:val="22"/>
          <w:szCs w:val="22"/>
        </w:rPr>
        <w:t xml:space="preserve">dm³ sigmoid fitting: P_recovery(t) = 1 / (1 + exp(nH · (t/t* − 1))). Parameter estimation via maximum likelihood (nH, t*) with dm³ prior: nH fixed at 3.64, t* estimated from early data. Sensitivity analysis: nH ± 0.4. Plateau detection: classify κ &lt; κ* = 0.882 at 30 days, outcome at 12 months. ROC analysis, AUC vs. baseline logistic regression.</w:t>
      </w:r>
    </w:p>
    <w:p>
      <w:pPr>
        <w:spacing w:after="80" w:before="200"/>
      </w:pPr>
      <w:r>
        <w:rPr>
          <w:rFonts w:ascii="Arial" w:cs="Arial" w:eastAsia="Arial" w:hAnsi="Arial"/>
          <w:b/>
          <w:bCs/>
          <w:color w:val="2E75B6"/>
          <w:sz w:val="23"/>
          <w:szCs w:val="23"/>
        </w:rPr>
        <w:t xml:space="preserve">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7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Activities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Months 1–6</w:t>
            </w:r>
          </w:p>
        </w:tc>
        <w:tc>
          <w:tcPr>
            <w:tcW w:type="dxa" w:w="7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Download NSCISC data; implement dm³ fitting pipeline; Aim 1 analysis; TBIMS data request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Months 7–12</w:t>
            </w:r>
          </w:p>
        </w:tc>
        <w:tc>
          <w:tcPr>
            <w:tcW w:type="dxa" w:w="7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TBIMS Aim 2 analysis; plateau detection validation; algorithm integration; Lean 4 export; Aim 3 tool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Months 13–18</w:t>
            </w:r>
          </w:p>
        </w:tc>
        <w:tc>
          <w:tcPr>
            <w:tcW w:type="dxa" w:w="7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Aim 3 TRACK-TBI validation; manuscript preparation; Phase II IRB protocol; open-source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Months 19–24</w:t>
            </w:r>
          </w:p>
        </w:tc>
        <w:tc>
          <w:tcPr>
            <w:tcW w:type="dxa" w:w="7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Phase II preparation; clinical partner engagement (NeuroSpine Plus); final reporting</w:t>
            </w:r>
          </w:p>
        </w:tc>
      </w:tr>
    </w:tbl>
    <w:p>
      <w:pPr>
        <w:spacing w:after="80" w:before="200"/>
      </w:pPr>
      <w:r>
        <w:rPr>
          <w:rFonts w:ascii="Arial" w:cs="Arial" w:eastAsia="Arial" w:hAnsi="Arial"/>
          <w:b/>
          <w:bCs/>
          <w:color w:val="2E75B6"/>
          <w:sz w:val="23"/>
          <w:szCs w:val="23"/>
        </w:rPr>
        <w:t xml:space="preserve">Potential Challenges and Mitigation</w:t>
      </w:r>
    </w:p>
    <w:p>
      <w:pPr>
        <w:pStyle w:val="ListParagraph"/>
        <w:numPr>
          <w:ilvl w:val="0"/>
          <w:numId w:val="2"/>
        </w:numPr>
        <w:spacing w:after="40" w:before="40"/>
      </w:pPr>
      <w:r>
        <w:rPr>
          <w:rFonts w:ascii="Arial" w:cs="Arial" w:eastAsia="Arial" w:hAnsi="Arial"/>
          <w:b/>
          <w:bCs/>
          <w:color w:val="000000"/>
          <w:sz w:val="22"/>
          <w:szCs w:val="22"/>
        </w:rPr>
        <w:t xml:space="preserve">nH does not converge to 3.64: </w:t>
      </w:r>
      <w:r>
        <w:rPr>
          <w:rFonts w:ascii="Arial" w:cs="Arial" w:eastAsia="Arial" w:hAnsi="Arial"/>
          <w:sz w:val="22"/>
          <w:szCs w:val="22"/>
        </w:rPr>
        <w:t xml:space="preserve">If nH falls outside [3.2, 4.1] in SCI data, we will test whether dm³ with fitted nH still outperforms baseline models. The contact-geometric structure remains testable even if the specific invariant needs refinement.</w:t>
      </w:r>
    </w:p>
    <w:p>
      <w:pPr>
        <w:pStyle w:val="ListParagraph"/>
        <w:numPr>
          <w:ilvl w:val="0"/>
          <w:numId w:val="2"/>
        </w:numPr>
        <w:spacing w:after="40" w:before="40"/>
      </w:pPr>
      <w:r>
        <w:rPr>
          <w:rFonts w:ascii="Arial" w:cs="Arial" w:eastAsia="Arial" w:hAnsi="Arial"/>
          <w:b/>
          <w:bCs/>
          <w:color w:val="000000"/>
          <w:sz w:val="22"/>
          <w:szCs w:val="22"/>
        </w:rPr>
        <w:t xml:space="preserve">TBIMS data access delay: </w:t>
      </w:r>
      <w:r>
        <w:rPr>
          <w:rFonts w:ascii="Arial" w:cs="Arial" w:eastAsia="Arial" w:hAnsi="Arial"/>
          <w:sz w:val="22"/>
          <w:szCs w:val="22"/>
        </w:rPr>
        <w:t xml:space="preserve">Data request submitted in Month 1; TRACK-TBI published data used as backup for Aim 2 if TBIMS access is delayed.</w:t>
      </w:r>
    </w:p>
    <w:p>
      <w:pPr>
        <w:pStyle w:val="ListParagraph"/>
        <w:numPr>
          <w:ilvl w:val="0"/>
          <w:numId w:val="2"/>
        </w:numPr>
        <w:spacing w:after="40" w:before="40"/>
      </w:pPr>
      <w:r>
        <w:rPr>
          <w:rFonts w:ascii="Arial" w:cs="Arial" w:eastAsia="Arial" w:hAnsi="Arial"/>
          <w:b/>
          <w:bCs/>
          <w:color w:val="000000"/>
          <w:sz w:val="22"/>
          <w:szCs w:val="22"/>
        </w:rPr>
        <w:t xml:space="preserve">Heterogeneity in recovery: </w:t>
      </w:r>
      <w:r>
        <w:rPr>
          <w:rFonts w:ascii="Arial" w:cs="Arial" w:eastAsia="Arial" w:hAnsi="Arial"/>
          <w:sz w:val="22"/>
          <w:szCs w:val="22"/>
        </w:rPr>
        <w:t xml:space="preserve">dm³ predicts trajectory type (above/below κ*), not individual outcomes. Heterogeneity within clusters is expected and accounted for by the stability radius ε₀ = 1/3.</w:t>
      </w:r>
    </w:p>
    <w:p>
      <w:pPr>
        <w:pBdr>
          <w:bottom w:val="single" w:color="2E75B6" w:sz="6" w:space="1"/>
        </w:pBdr>
        <w:spacing w:after="100" w:before="280"/>
      </w:pPr>
      <w:r>
        <w:rPr>
          <w:rFonts w:ascii="Arial" w:cs="Arial" w:eastAsia="Arial" w:hAnsi="Arial"/>
          <w:b/>
          <w:bCs/>
          <w:color w:val="1F4E79"/>
          <w:sz w:val="26"/>
          <w:szCs w:val="26"/>
        </w:rPr>
        <w:t xml:space="preserve">Budget — $275,000 / 24 Months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Amount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PI salary — Pablo Nogueira Grossi (30% effort × 24 months)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$90,000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Biostatistician (contract, 6 months — fitting pipeline, ROC analysis)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$45,000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Software developer (contract, 4 months — dm³ Python library)</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$32,000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Computing — cloud HPC (MCMC, dataset processing)</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$18,000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Dissemination — 2 conference presentations, open-access publication fees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NYFA fiscal sponsorship indirect (8%)</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$16,400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Contingency</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$53,600</w:t>
            </w:r>
          </w:p>
        </w:tc>
      </w:tr>
      <w:t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$275,000</w:t>
            </w:r>
          </w:p>
        </w:tc>
      </w:tr>
    </w:tbl>
    <w:p>
      <w:pPr>
        <w:pBdr>
          <w:bottom w:val="single" w:color="2E75B6" w:sz="6" w:space="1"/>
        </w:pBdr>
        <w:spacing w:after="100" w:before="280"/>
      </w:pPr>
      <w:r>
        <w:rPr>
          <w:rFonts w:ascii="Arial" w:cs="Arial" w:eastAsia="Arial" w:hAnsi="Arial"/>
          <w:b/>
          <w:bCs/>
          <w:color w:val="1F4E79"/>
          <w:sz w:val="26"/>
          <w:szCs w:val="26"/>
        </w:rPr>
        <w:t xml:space="preserve">Human Subjects / IRB</w:t>
      </w:r>
    </w:p>
    <w:p>
      <w:pPr>
        <w:spacing w:after="80" w:before="200"/>
      </w:pPr>
      <w:r>
        <w:rPr>
          <w:rFonts w:ascii="Arial" w:cs="Arial" w:eastAsia="Arial" w:hAnsi="Arial"/>
          <w:b/>
          <w:bCs/>
          <w:color w:val="2E75B6"/>
          <w:sz w:val="23"/>
          <w:szCs w:val="23"/>
        </w:rPr>
        <w:t xml:space="preserve">Phase I — Public Data (IRB Exempt)</w:t>
      </w:r>
    </w:p>
    <w:p>
      <w:pPr>
        <w:spacing w:after="80" w:before="80"/>
      </w:pPr>
      <w:r>
        <w:rPr>
          <w:rFonts w:ascii="Arial" w:cs="Arial" w:eastAsia="Arial" w:hAnsi="Arial"/>
          <w:sz w:val="22"/>
          <w:szCs w:val="22"/>
        </w:rPr>
        <w:t xml:space="preserve">Phase I uses exclusively publicly available, fully de-identified datasets: the NSCISC/SCIMS database (pre-2021 data, freely downloadable from digitalcommons.library.uab.edu) and the TBIMS National Database (de-identified public use dataset, tbindsc.org). Both are stripped of all HIPAA-defined identifiers and are released for public research use. Under 45 CFR 46.104(d)(4), research involving the use of de-identified secondary data does not constitute human subjects research and is exempt from IRB review.</w:t>
      </w:r>
    </w:p>
    <w:p>
      <w:pPr>
        <w:spacing w:after="80" w:before="200"/>
      </w:pPr>
      <w:r>
        <w:rPr>
          <w:rFonts w:ascii="Arial" w:cs="Arial" w:eastAsia="Arial" w:hAnsi="Arial"/>
          <w:b/>
          <w:bCs/>
          <w:color w:val="2E75B6"/>
          <w:sz w:val="23"/>
          <w:szCs w:val="23"/>
        </w:rPr>
        <w:t xml:space="preserve">Phase II — Prospective Validation (Future IRB)</w:t>
      </w:r>
    </w:p>
    <w:p>
      <w:pPr>
        <w:spacing w:after="80" w:before="80"/>
      </w:pPr>
      <w:r>
        <w:rPr>
          <w:rFonts w:ascii="Arial" w:cs="Arial" w:eastAsia="Arial" w:hAnsi="Arial"/>
          <w:sz w:val="22"/>
          <w:szCs w:val="22"/>
        </w:rPr>
        <w:t xml:space="preserve">Phase II proposes prospective collection of de-identified outcome data from a clinical partner (NeuroSpine Plus, Paramus NJ; Dr. Edward Sheid MD, neurosurgeon). A full IRB protocol will be submitted to an AAHRPP-accredited IRB prior to Phase II initiation. NYFA fiscal sponsorship provides the institutional infrastructure for IRB filing as the submitting organization. Alternatively, Dr. Sheid's institutional affiliation will serve as the IRB home. No patient data will be collected or analyzed prior to IRB approval and informed consent procedures being in place.</w:t>
      </w:r>
    </w:p>
    <w:p>
      <w:pPr>
        <w:spacing w:after="80" w:before="200"/>
      </w:pPr>
      <w:r>
        <w:rPr>
          <w:rFonts w:ascii="Arial" w:cs="Arial" w:eastAsia="Arial" w:hAnsi="Arial"/>
          <w:b/>
          <w:bCs/>
          <w:color w:val="2E75B6"/>
          <w:sz w:val="23"/>
          <w:szCs w:val="23"/>
        </w:rPr>
        <w:t xml:space="preserve">PI Biosketch — Pablo Nogueira Grossi</w:t>
      </w:r>
    </w:p>
    <w:p>
      <w:pPr>
        <w:spacing w:after="80" w:before="80"/>
      </w:pPr>
      <w:r>
        <w:rPr>
          <w:rFonts w:ascii="Arial" w:cs="Arial" w:eastAsia="Arial" w:hAnsi="Arial"/>
          <w:b/>
          <w:bCs/>
          <w:color w:val="000000"/>
          <w:sz w:val="22"/>
          <w:szCs w:val="22"/>
        </w:rPr>
        <w:t xml:space="preserve">Name: </w:t>
      </w:r>
      <w:r>
        <w:rPr>
          <w:rFonts w:ascii="Arial" w:cs="Arial" w:eastAsia="Arial" w:hAnsi="Arial"/>
          <w:sz w:val="22"/>
          <w:szCs w:val="22"/>
        </w:rPr>
        <w:t xml:space="preserve">Pablo Nogueira Grossi</w:t>
      </w:r>
    </w:p>
    <w:p>
      <w:pPr>
        <w:spacing w:after="80" w:before="80"/>
      </w:pPr>
      <w:r>
        <w:rPr>
          <w:rFonts w:ascii="Arial" w:cs="Arial" w:eastAsia="Arial" w:hAnsi="Arial"/>
          <w:b/>
          <w:bCs/>
          <w:color w:val="000000"/>
          <w:sz w:val="22"/>
          <w:szCs w:val="22"/>
        </w:rPr>
        <w:t xml:space="preserve">Affiliation: </w:t>
      </w:r>
      <w:r>
        <w:rPr>
          <w:rFonts w:ascii="Arial" w:cs="Arial" w:eastAsia="Arial" w:hAnsi="Arial"/>
          <w:sz w:val="22"/>
          <w:szCs w:val="22"/>
        </w:rPr>
        <w:t xml:space="preserve">G6 LLC, Newark, NJ 07104 (fiscal sponsor: NYFA)</w:t>
      </w:r>
    </w:p>
    <w:p>
      <w:pPr>
        <w:spacing w:after="80" w:before="80"/>
      </w:pPr>
      <w:r>
        <w:rPr>
          <w:rFonts w:ascii="Arial" w:cs="Arial" w:eastAsia="Arial" w:hAnsi="Arial"/>
          <w:b/>
          <w:bCs/>
          <w:color w:val="000000"/>
          <w:sz w:val="22"/>
          <w:szCs w:val="22"/>
        </w:rPr>
        <w:t xml:space="preserve">ORCID: </w:t>
      </w:r>
      <w:r>
        <w:rPr>
          <w:rFonts w:ascii="Arial" w:cs="Arial" w:eastAsia="Arial" w:hAnsi="Arial"/>
          <w:sz w:val="22"/>
          <w:szCs w:val="22"/>
        </w:rPr>
        <w:t xml:space="preserve">0009-0000-6496-2186</w:t>
      </w:r>
    </w:p>
    <w:p>
      <w:pPr>
        <w:spacing w:after="80" w:before="80"/>
      </w:pPr>
      <w:r>
        <w:rPr>
          <w:rFonts w:ascii="Arial" w:cs="Arial" w:eastAsia="Arial" w:hAnsi="Arial"/>
          <w:b/>
          <w:bCs/>
          <w:color w:val="000000"/>
          <w:sz w:val="22"/>
          <w:szCs w:val="22"/>
        </w:rPr>
        <w:t xml:space="preserve">Role: </w:t>
      </w:r>
      <w:r>
        <w:rPr>
          <w:rFonts w:ascii="Arial" w:cs="Arial" w:eastAsia="Arial" w:hAnsi="Arial"/>
          <w:sz w:val="22"/>
          <w:szCs w:val="22"/>
        </w:rPr>
        <w:t xml:space="preserve">Principal Investigator / Research Director</w:t>
      </w:r>
    </w:p>
    <w:p>
      <w:pPr>
        <w:spacing w:after="80" w:before="200"/>
      </w:pPr>
      <w:r>
        <w:rPr>
          <w:rFonts w:ascii="Arial" w:cs="Arial" w:eastAsia="Arial" w:hAnsi="Arial"/>
          <w:b/>
          <w:bCs/>
          <w:color w:val="2E75B6"/>
          <w:sz w:val="23"/>
          <w:szCs w:val="23"/>
        </w:rPr>
        <w:t xml:space="preserve">Personal Statement</w:t>
      </w:r>
    </w:p>
    <w:p>
      <w:pPr>
        <w:spacing w:after="80" w:before="80"/>
      </w:pPr>
      <w:r>
        <w:rPr>
          <w:rFonts w:ascii="Arial" w:cs="Arial" w:eastAsia="Arial" w:hAnsi="Arial"/>
          <w:sz w:val="22"/>
          <w:szCs w:val="22"/>
        </w:rPr>
        <w:t xml:space="preserve">I am an independent researcher specializing in contact geometry, formal verification, and mathematical modeling of biological threshold systems. I developed the dm³ framework — a contact-geometric operator chain formally verified in Lean 4 across ~970 machine-checked theorems in 53 files — and applied it to RNA conformational switching, DNA amplification, microtubule curvature dynamics, and language acquisition. I am also a personal injury patient treated by a specialist neurosurgeon, which gives me direct clinical stake in the neurological recovery prediction problem this proposal addresses. The New York Foundation for the Arts (NYFA) serves as fiscal sponsor, providing full grant administration infrastructure.</w:t>
      </w:r>
    </w:p>
    <w:p>
      <w:pPr>
        <w:spacing w:after="80" w:before="200"/>
      </w:pPr>
      <w:r>
        <w:rPr>
          <w:rFonts w:ascii="Arial" w:cs="Arial" w:eastAsia="Arial" w:hAnsi="Arial"/>
          <w:b/>
          <w:bCs/>
          <w:color w:val="2E75B6"/>
          <w:sz w:val="23"/>
          <w:szCs w:val="23"/>
        </w:rPr>
        <w:t xml:space="preserve">Positions and Honors</w:t>
      </w:r>
    </w:p>
    <w:p>
      <w:pPr>
        <w:pStyle w:val="ListParagraph"/>
        <w:numPr>
          <w:ilvl w:val="0"/>
          <w:numId w:val="2"/>
        </w:numPr>
        <w:spacing w:after="40" w:before="40"/>
      </w:pPr>
      <w:r>
        <w:rPr>
          <w:rFonts w:ascii="Arial" w:cs="Arial" w:eastAsia="Arial" w:hAnsi="Arial"/>
          <w:b/>
          <w:bCs/>
          <w:color w:val="000000"/>
          <w:sz w:val="22"/>
          <w:szCs w:val="22"/>
        </w:rPr>
        <w:t xml:space="preserve">2024–present: </w:t>
      </w:r>
      <w:r>
        <w:rPr>
          <w:rFonts w:ascii="Arial" w:cs="Arial" w:eastAsia="Arial" w:hAnsi="Arial"/>
          <w:sz w:val="22"/>
          <w:szCs w:val="22"/>
        </w:rPr>
        <w:t xml:space="preserve">Founder and Principal Investigator, G6 LLC, Newark NJ</w:t>
      </w:r>
    </w:p>
    <w:p>
      <w:pPr>
        <w:pStyle w:val="ListParagraph"/>
        <w:numPr>
          <w:ilvl w:val="0"/>
          <w:numId w:val="2"/>
        </w:numPr>
        <w:spacing w:after="40" w:before="40"/>
      </w:pPr>
      <w:r>
        <w:rPr>
          <w:rFonts w:ascii="Arial" w:cs="Arial" w:eastAsia="Arial" w:hAnsi="Arial"/>
          <w:b/>
          <w:bCs/>
          <w:color w:val="000000"/>
          <w:sz w:val="22"/>
          <w:szCs w:val="22"/>
        </w:rPr>
        <w:t xml:space="preserve">2024–present: </w:t>
      </w:r>
      <w:r>
        <w:rPr>
          <w:rFonts w:ascii="Arial" w:cs="Arial" w:eastAsia="Arial" w:hAnsi="Arial"/>
          <w:sz w:val="22"/>
          <w:szCs w:val="22"/>
        </w:rPr>
        <w:t xml:space="preserve">Author, Principia Orthogona series (5 volumes; Series ISBN 979-8-9954416-6-3)</w:t>
      </w:r>
    </w:p>
    <w:p>
      <w:pPr>
        <w:pStyle w:val="ListParagraph"/>
        <w:numPr>
          <w:ilvl w:val="0"/>
          <w:numId w:val="2"/>
        </w:numPr>
        <w:spacing w:after="40" w:before="40"/>
      </w:pPr>
      <w:r>
        <w:rPr>
          <w:rFonts w:ascii="Arial" w:cs="Arial" w:eastAsia="Arial" w:hAnsi="Arial"/>
          <w:b/>
          <w:bCs/>
          <w:color w:val="000000"/>
          <w:sz w:val="22"/>
          <w:szCs w:val="22"/>
        </w:rPr>
        <w:t xml:space="preserve">2026: </w:t>
      </w:r>
      <w:r>
        <w:rPr>
          <w:rFonts w:ascii="Arial" w:cs="Arial" w:eastAsia="Arial" w:hAnsi="Arial"/>
          <w:sz w:val="22"/>
          <w:szCs w:val="22"/>
        </w:rPr>
        <w:t xml:space="preserve">Zenodo Series DOI 10.5281/zenodo.19117399 (all volumes, open access CC BY 4.0)</w:t>
      </w:r>
    </w:p>
    <w:p>
      <w:pPr>
        <w:pStyle w:val="ListParagraph"/>
        <w:numPr>
          <w:ilvl w:val="0"/>
          <w:numId w:val="2"/>
        </w:numPr>
        <w:spacing w:after="40" w:before="40"/>
      </w:pPr>
      <w:r>
        <w:rPr>
          <w:rFonts w:ascii="Arial" w:cs="Arial" w:eastAsia="Arial" w:hAnsi="Arial"/>
          <w:b/>
          <w:bCs/>
          <w:color w:val="000000"/>
          <w:sz w:val="22"/>
          <w:szCs w:val="22"/>
        </w:rPr>
        <w:t xml:space="preserve">2026: </w:t>
      </w:r>
      <w:r>
        <w:rPr>
          <w:rFonts w:ascii="Arial" w:cs="Arial" w:eastAsia="Arial" w:hAnsi="Arial"/>
          <w:sz w:val="22"/>
          <w:szCs w:val="22"/>
        </w:rPr>
        <w:t xml:space="preserve">AXLE formal verification engine — ~970 theorems, 53 Lean 4 files, 0 axioms beyond Mathlib4</w:t>
      </w:r>
    </w:p>
    <w:p>
      <w:pPr>
        <w:spacing w:after="80" w:before="200"/>
      </w:pPr>
      <w:r>
        <w:rPr>
          <w:rFonts w:ascii="Arial" w:cs="Arial" w:eastAsia="Arial" w:hAnsi="Arial"/>
          <w:b/>
          <w:bCs/>
          <w:color w:val="2E75B6"/>
          <w:sz w:val="23"/>
          <w:szCs w:val="23"/>
        </w:rPr>
        <w:t xml:space="preserve">Selected Publications (Zenodo, CC BY 4.0)</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Contact-Geometric Theory of Generative Transitions + Seven Proofs of Tribonacci Constant. doi:10.5281/zenodo.20682934</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Alternating Vanishing Theorem (machine-checked Lean 4). doi:10.5281/zenodo.20710023</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RNA Riboswitches, NGS Amplification, Microtubule Curvature — Three-Domain Validation. doi:10.5281/zenodo.20559510</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Nested Infinities in the Language Classroom. doi:10.5281/zenodo.20719399</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PrincipiaOrthogona Vol I v4. doi:10.5281/zenodo.20784030</w:t>
      </w:r>
    </w:p>
    <w:p>
      <w:pPr>
        <w:pBdr>
          <w:bottom w:val="single" w:color="2E75B6" w:sz="6" w:space="1"/>
        </w:pBdr>
        <w:spacing w:after="100" w:before="280"/>
      </w:pPr>
      <w:r>
        <w:rPr>
          <w:rFonts w:ascii="Arial" w:cs="Arial" w:eastAsia="Arial" w:hAnsi="Arial"/>
          <w:b/>
          <w:bCs/>
          <w:color w:val="1F4E79"/>
          <w:sz w:val="26"/>
          <w:szCs w:val="26"/>
        </w:rPr>
        <w:t xml:space="preserve">References</w:t>
      </w:r>
    </w:p>
    <w:p>
      <w:pPr>
        <w:pStyle w:val="ListParagraph"/>
        <w:numPr>
          <w:ilvl w:val="0"/>
          <w:numId w:val="2"/>
        </w:numPr>
        <w:spacing w:after="40" w:before="40"/>
      </w:pPr>
      <w:r>
        <w:rPr>
          <w:rFonts w:ascii="Arial" w:cs="Arial" w:eastAsia="Arial" w:hAnsi="Arial"/>
          <w:sz w:val="22"/>
          <w:szCs w:val="22"/>
        </w:rPr>
        <w:t xml:space="preserve">Nogueira Grossi, P. (2026). RNA Riboswitches, NGS Amplification, Microtubule Curvature. doi:10.5281/zenodo.20559510</w:t>
      </w:r>
    </w:p>
    <w:p>
      <w:pPr>
        <w:pStyle w:val="ListParagraph"/>
        <w:numPr>
          <w:ilvl w:val="0"/>
          <w:numId w:val="2"/>
        </w:numPr>
        <w:spacing w:after="40" w:before="40"/>
      </w:pPr>
      <w:r>
        <w:rPr>
          <w:rFonts w:ascii="Arial" w:cs="Arial" w:eastAsia="Arial" w:hAnsi="Arial"/>
          <w:sz w:val="22"/>
          <w:szCs w:val="22"/>
        </w:rPr>
        <w:t xml:space="preserve">TRACK-TBI Functional Outcomes. JAMA Neurology 2021. PMC8261688</w:t>
      </w:r>
    </w:p>
    <w:p>
      <w:pPr>
        <w:pStyle w:val="ListParagraph"/>
        <w:numPr>
          <w:ilvl w:val="0"/>
          <w:numId w:val="2"/>
        </w:numPr>
        <w:spacing w:after="40" w:before="40"/>
      </w:pPr>
      <w:r>
        <w:rPr>
          <w:rFonts w:ascii="Arial" w:cs="Arial" w:eastAsia="Arial" w:hAnsi="Arial"/>
          <w:sz w:val="22"/>
          <w:szCs w:val="22"/>
        </w:rPr>
        <w:t xml:space="preserve">TRACK-TBI GOSE Trajectories. PubMed 41161723</w:t>
      </w:r>
    </w:p>
    <w:p>
      <w:pPr>
        <w:pStyle w:val="ListParagraph"/>
        <w:numPr>
          <w:ilvl w:val="0"/>
          <w:numId w:val="2"/>
        </w:numPr>
        <w:spacing w:after="40" w:before="40"/>
      </w:pPr>
      <w:r>
        <w:rPr>
          <w:rFonts w:ascii="Arial" w:cs="Arial" w:eastAsia="Arial" w:hAnsi="Arial"/>
          <w:sz w:val="22"/>
          <w:szCs w:val="22"/>
        </w:rPr>
        <w:t xml:space="preserve">TBIMS Early Functional Recovery Trajectories. Brain Sciences 2026. PMC12838949</w:t>
      </w:r>
    </w:p>
    <w:p>
      <w:pPr>
        <w:pStyle w:val="ListParagraph"/>
        <w:numPr>
          <w:ilvl w:val="0"/>
          <w:numId w:val="2"/>
        </w:numPr>
        <w:spacing w:after="40" w:before="40"/>
      </w:pPr>
      <w:r>
        <w:rPr>
          <w:rFonts w:ascii="Arial" w:cs="Arial" w:eastAsia="Arial" w:hAnsi="Arial"/>
          <w:sz w:val="22"/>
          <w:szCs w:val="22"/>
        </w:rPr>
        <w:t xml:space="preserve">NSCISC 2024 Annual Report. UAB. sites.uab.edu/nscisc</w:t>
      </w:r>
    </w:p>
    <w:p>
      <w:pPr>
        <w:pStyle w:val="ListParagraph"/>
        <w:numPr>
          <w:ilvl w:val="0"/>
          <w:numId w:val="2"/>
        </w:numPr>
        <w:spacing w:after="40" w:before="40"/>
      </w:pPr>
      <w:r>
        <w:rPr>
          <w:rFonts w:ascii="Arial" w:cs="Arial" w:eastAsia="Arial" w:hAnsi="Arial"/>
          <w:sz w:val="22"/>
          <w:szCs w:val="22"/>
        </w:rPr>
        <w:t xml:space="preserve">Schaedel et al. (2015). Microtubule self-repair. Nature Materials 14, 1156–1163</w:t>
      </w:r>
    </w:p>
    <w:p>
      <w:pPr>
        <w:pStyle w:val="ListParagraph"/>
        <w:numPr>
          <w:ilvl w:val="0"/>
          <w:numId w:val="2"/>
        </w:numPr>
        <w:spacing w:after="40" w:before="40"/>
      </w:pPr>
      <w:r>
        <w:rPr>
          <w:rFonts w:ascii="Arial" w:cs="Arial" w:eastAsia="Arial" w:hAnsi="Arial"/>
          <w:sz w:val="22"/>
          <w:szCs w:val="22"/>
        </w:rPr>
        <w:t xml:space="preserve">Hemphill et al. (2015). A possible role for integrin signaling in diffuse axonal injury. J. Neurosci.</w:t>
      </w:r>
    </w:p>
    <w:p>
      <w:pPr>
        <w:pStyle w:val="ListParagraph"/>
        <w:numPr>
          <w:ilvl w:val="0"/>
          <w:numId w:val="2"/>
        </w:numPr>
        <w:spacing w:after="40" w:before="40"/>
      </w:pPr>
      <w:r>
        <w:rPr>
          <w:rFonts w:ascii="Arial" w:cs="Arial" w:eastAsia="Arial" w:hAnsi="Arial"/>
          <w:sz w:val="22"/>
          <w:szCs w:val="22"/>
        </w:rPr>
        <w:t xml:space="preserve">AXLE Formal Verification Engine. github.com/TOTOGT/AXLE</w:t>
      </w:r>
    </w:p>
    <w:p>
      <w:pPr>
        <w:spacing w:after="80" w:before="80"/>
        <w:jc w:val="center"/>
      </w:pPr>
      <w:r>
        <w:rPr>
          <w:rFonts w:ascii="Arial" w:cs="Arial" w:eastAsia="Arial" w:hAnsi="Arial"/>
          <w:sz w:val="22"/>
          <w:szCs w:val="22"/>
        </w:rPr>
        <w:t xml:space="preserve">G6 LLC · Pablo Nogueira Grossi · g6llc@proton.me · +1 646 342 3751 · ORCID 0009-0000-6496-2186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2026-06-22T16:45:57.753Z</dcterms:created>
  <dcterms:modified xsi:type="dcterms:W3CDTF">2026-06-22T16:45:57.753Z</dcterms:modified>
</cp:coreProperties>
</file>

<file path=docProps/custom.xml><?xml version="1.0" encoding="utf-8"?>
<Properties xmlns="http://schemas.openxmlformats.org/officeDocument/2006/custom-properties" xmlns:vt="http://schemas.openxmlformats.org/officeDocument/2006/docPropsVTypes"/>
</file>