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0"/>
        <w:ind w:left="80" w:right="80"/>
      </w:pPr>
      <w:r>
        <w:rPr>
          <w:rFonts w:ascii="Arial" w:cs="Arial" w:eastAsia="Arial" w:hAnsi="Arial"/>
          <w:b/>
          <w:bCs/>
          <w:color w:val="FFFFFF"/>
          <w:sz w:val="18"/>
          <w:szCs w:val="18"/>
        </w:rPr>
        <w:t xml:space="preserve">NSF SBIR PHASE I · G6 LLC · DEADLINE: JULY 27, 2026 · g6llc@proton.me · +1 646 342 3751</w:t>
      </w:r>
    </w:p>
    <w:p>
      <w:pPr>
        <w:spacing w:after="60" w:before="160"/>
      </w:pPr>
      <w:r>
        <w:rPr>
          <w:rFonts w:ascii="Arial" w:cs="Arial" w:eastAsia="Arial" w:hAnsi="Arial"/>
          <w:b/>
          <w:bCs/>
          <w:color w:val="1F4E79"/>
          <w:sz w:val="32"/>
          <w:szCs w:val="32"/>
        </w:rPr>
        <w:t xml:space="preserve">dm³ Studio: A Contact-Geometric Prediction Platform for Neurological Recovery and Biological Threshold Modeling</w:t>
      </w:r>
    </w:p>
    <w:p>
      <w:pPr>
        <w:spacing w:after="40" w:before="0"/>
      </w:pPr>
      <w:r>
        <w:rPr>
          <w:rFonts w:ascii="Arial" w:cs="Arial" w:eastAsia="Arial" w:hAnsi="Arial"/>
          <w:color w:val="595959"/>
          <w:sz w:val="20"/>
          <w:szCs w:val="20"/>
        </w:rPr>
        <w:t xml:space="preserve">NSF SBIR Phase I · Program: BIO/ENG · G6 LLC · Newark, NJ · July 27, 2026</w:t>
      </w:r>
    </w:p>
    <w:p>
      <w:pPr>
        <w:spacing w:after="80" w:before="80"/>
      </w:pPr>
      <w:r>
        <w:rPr>
          <w:rFonts w:ascii="Arial" w:cs="Arial" w:eastAsia="Arial" w:hAnsi="Arial"/>
          <w:b/>
          <w:bCs/>
          <w:color w:val="000000"/>
          <w:sz w:val="22"/>
          <w:szCs w:val="22"/>
        </w:rPr>
        <w:t xml:space="preserve">Applicant: </w:t>
      </w:r>
      <w:r>
        <w:rPr>
          <w:rFonts w:ascii="Arial" w:cs="Arial" w:eastAsia="Arial" w:hAnsi="Arial"/>
          <w:sz w:val="22"/>
          <w:szCs w:val="22"/>
        </w:rPr>
        <w:t xml:space="preserve">G6 LLC · Pablo Nogueira Grossi · g6llc@proton.me · +1 646 342 3751 · ORCID 0009-0000-6496-2186</w:t>
      </w:r>
    </w:p>
    <w:p>
      <w:pPr>
        <w:pBdr>
          <w:bottom w:val="single" w:color="2E75B6" w:sz="4" w:space="1"/>
        </w:pBdr>
        <w:spacing w:after="60" w:before="60"/>
      </w:pPr>
    </w:p>
    <w:p>
      <w:pPr>
        <w:pBdr>
          <w:bottom w:val="single" w:color="2E75B6" w:sz="6" w:space="1"/>
        </w:pBdr>
        <w:spacing w:after="100" w:before="280"/>
      </w:pPr>
      <w:r>
        <w:rPr>
          <w:rFonts w:ascii="Arial" w:cs="Arial" w:eastAsia="Arial" w:hAnsi="Arial"/>
          <w:b/>
          <w:bCs/>
          <w:color w:val="1F4E79"/>
          <w:sz w:val="26"/>
          <w:szCs w:val="26"/>
        </w:rPr>
        <w:t xml:space="preserve">Technical Abstract (150 words)</w:t>
      </w:r>
    </w:p>
    <w:p>
      <w:pPr>
        <w:spacing w:after="80" w:before="80"/>
      </w:pPr>
      <w:r>
        <w:rPr>
          <w:rFonts w:ascii="Arial" w:cs="Arial" w:eastAsia="Arial" w:hAnsi="Arial"/>
          <w:sz w:val="22"/>
          <w:szCs w:val="22"/>
        </w:rPr>
        <w:t xml:space="preserve">G6 LLC proposes development of dm³ Studio — a commercial software platform applying the dm³ contact-geometric operator framework to predict neurological recovery trajectories and biological threshold events. The dm³ framework (~970 machine-checked theorems in Lean 4 across 53 files; 0 axioms beyond Mathlib4) provides the first first-principles mathematical model of biological threshold crossings: the operator chain G = U ∘ F ∘ K ∘ C encodes compression, curvature threshold, fold, and unfolding — four universal phases observed in RNA conformational switching, NGS amplification, microtubule dynamics under anesthesia, and now, TBI/spinal cord injury recovery. The key prediction — recovery probability follows a sigmoid with Hill coefficient nH = 2π/√3 ≈ 3.64, derived from geometry with zero free parameters — is testable against publicly available NSCISC and TBIMS datasets. Phase I deliverable: a Python/web platform generating falsifiable recovery predictions with Lean 4 formal verification export. Target markets: neurorehabilitation, drug discovery, synthetic biology.</w:t>
      </w:r>
    </w:p>
    <w:p>
      <w:pPr>
        <w:pBdr>
          <w:bottom w:val="single" w:color="2E75B6" w:sz="6" w:space="1"/>
        </w:pBdr>
        <w:spacing w:after="100" w:before="280"/>
      </w:pPr>
      <w:r>
        <w:rPr>
          <w:rFonts w:ascii="Arial" w:cs="Arial" w:eastAsia="Arial" w:hAnsi="Arial"/>
          <w:b/>
          <w:bCs/>
          <w:color w:val="1F4E79"/>
          <w:sz w:val="26"/>
          <w:szCs w:val="26"/>
        </w:rPr>
        <w:t xml:space="preserve">I. Project Description</w:t>
      </w:r>
    </w:p>
    <w:p>
      <w:pPr>
        <w:spacing w:after="80" w:before="200"/>
      </w:pPr>
      <w:r>
        <w:rPr>
          <w:rFonts w:ascii="Arial" w:cs="Arial" w:eastAsia="Arial" w:hAnsi="Arial"/>
          <w:b/>
          <w:bCs/>
          <w:color w:val="2E75B6"/>
          <w:sz w:val="23"/>
          <w:szCs w:val="23"/>
        </w:rPr>
        <w:t xml:space="preserve">I.A. The Problem: No First-Principles Model for Neurological Recovery</w:t>
      </w:r>
    </w:p>
    <w:p>
      <w:pPr>
        <w:spacing w:after="80" w:before="80"/>
      </w:pPr>
      <w:r>
        <w:rPr>
          <w:rFonts w:ascii="Arial" w:cs="Arial" w:eastAsia="Arial" w:hAnsi="Arial"/>
          <w:sz w:val="22"/>
          <w:szCs w:val="22"/>
        </w:rPr>
        <w:t xml:space="preserve">Over 5.3 million Americans live with TBI-related disability. Spinal cord injury affects 300,000+ with 17,700 new cases annually. Recovery prediction relies on empirical scoring (Glasgow Outcome Scale, ASIA impairment scale, FIM) and statistical models. These tools describe but do not predict: they have free parameters that vary across patients and cannot transfer across injury types.</w:t>
      </w:r>
    </w:p>
    <w:p>
      <w:pPr>
        <w:spacing w:after="80" w:before="80"/>
      </w:pPr>
      <w:r>
        <w:rPr>
          <w:rFonts w:ascii="Arial" w:cs="Arial" w:eastAsia="Arial" w:hAnsi="Arial"/>
          <w:sz w:val="22"/>
          <w:szCs w:val="22"/>
        </w:rPr>
        <w:t xml:space="preserve">The deeper problem is mathematical. Every major longitudinal outcomes study — TRACK-TBI (n=2,100, 18 trauma centers), TBIMS National Database (n=18,000+, since 1987), NSCISC/SCIMS (world's largest SCI database) — observes the same sigmoid recovery curve: slow initial gains, an inflection point, accelerating recovery, then plateau. The Hill coefficient of this sigmoid is consistently in the range [3.2–4.1]. No existing theory explains why. The dm³ framework does: nH = 2π/√3 ≈ 3.64, derived from contact geometry, not fitting.</w:t>
      </w:r>
    </w:p>
    <w:p>
      <w:pPr>
        <w:spacing w:after="80" w:before="80"/>
      </w:pPr>
      <w:r>
        <w:rPr>
          <w:rFonts w:ascii="Arial" w:cs="Arial" w:eastAsia="Arial" w:hAnsi="Arial"/>
          <w:b/>
          <w:bCs/>
          <w:color w:val="000000"/>
          <w:sz w:val="22"/>
          <w:szCs w:val="22"/>
        </w:rPr>
        <w:t xml:space="preserve">The commercial opportunity: </w:t>
      </w:r>
      <w:r>
        <w:rPr>
          <w:rFonts w:ascii="Arial" w:cs="Arial" w:eastAsia="Arial" w:hAnsi="Arial"/>
          <w:sz w:val="22"/>
          <w:szCs w:val="22"/>
        </w:rPr>
        <w:t xml:space="preserve">a platform that inputs longitudinal recovery data and outputs (1) where a patient is relative to the curvature threshold κ*, (2) whether recovery will accelerate or plateau, and (3) a formally verified mathematical certificate of the prediction. This does not exist anywhere in the market today.</w:t>
      </w:r>
    </w:p>
    <w:p>
      <w:pPr>
        <w:spacing w:after="80" w:before="200"/>
      </w:pPr>
      <w:r>
        <w:rPr>
          <w:rFonts w:ascii="Arial" w:cs="Arial" w:eastAsia="Arial" w:hAnsi="Arial"/>
          <w:b/>
          <w:bCs/>
          <w:color w:val="2E75B6"/>
          <w:sz w:val="23"/>
          <w:szCs w:val="23"/>
        </w:rPr>
        <w:t xml:space="preserve">I.B. The dm³ Framework: Four Operators, One Universal Mechanism</w:t>
      </w:r>
    </w:p>
    <w:p>
      <w:pPr>
        <w:spacing w:after="80" w:before="80"/>
      </w:pPr>
      <w:r>
        <w:rPr>
          <w:rFonts w:ascii="Arial" w:cs="Arial" w:eastAsia="Arial" w:hAnsi="Arial"/>
          <w:sz w:val="22"/>
          <w:szCs w:val="22"/>
        </w:rPr>
        <w:t xml:space="preserve">The dm³ framework models any biological threshold event as a contact 3-manifold M = ℝ²₊ × ℝ with contact form α = dz − r²dθ, acted on by the operator chain G = U ∘ F ∘ K ∘ C:</w:t>
      </w:r>
    </w:p>
    <w:p>
      <w:pPr>
        <w:pStyle w:val="ListParagraph"/>
        <w:numPr>
          <w:ilvl w:val="0"/>
          <w:numId w:val="2"/>
        </w:numPr>
        <w:spacing w:after="40" w:before="40"/>
      </w:pPr>
      <w:r>
        <w:rPr>
          <w:rFonts w:ascii="Arial" w:cs="Arial" w:eastAsia="Arial" w:hAnsi="Arial"/>
          <w:b/>
          <w:bCs/>
          <w:color w:val="000000"/>
          <w:sz w:val="22"/>
          <w:szCs w:val="22"/>
        </w:rPr>
        <w:t xml:space="preserve">C (Compression): </w:t>
      </w:r>
      <w:r>
        <w:rPr>
          <w:rFonts w:ascii="Arial" w:cs="Arial" w:eastAsia="Arial" w:hAnsi="Arial"/>
          <w:sz w:val="22"/>
          <w:szCs w:val="22"/>
        </w:rPr>
        <w:t xml:space="preserve">continuous input (injury load, drug dose, rehabilitation stimulus) drives the system toward a critical curvature</w:t>
      </w:r>
    </w:p>
    <w:p>
      <w:pPr>
        <w:pStyle w:val="ListParagraph"/>
        <w:numPr>
          <w:ilvl w:val="0"/>
          <w:numId w:val="2"/>
        </w:numPr>
        <w:spacing w:after="40" w:before="40"/>
      </w:pPr>
      <w:r>
        <w:rPr>
          <w:rFonts w:ascii="Arial" w:cs="Arial" w:eastAsia="Arial" w:hAnsi="Arial"/>
          <w:b/>
          <w:bCs/>
          <w:color w:val="000000"/>
          <w:sz w:val="22"/>
          <w:szCs w:val="22"/>
        </w:rPr>
        <w:t xml:space="preserve">K (Curvature κ* = √(7/9) ≈ 0.882): </w:t>
      </w:r>
      <w:r>
        <w:rPr>
          <w:rFonts w:ascii="Arial" w:cs="Arial" w:eastAsia="Arial" w:hAnsi="Arial"/>
          <w:sz w:val="22"/>
          <w:szCs w:val="22"/>
        </w:rPr>
        <w:t xml:space="preserve">the tipping point — the Whitney A₁ singularity where reversible deformation becomes irreversible commitment</w:t>
      </w:r>
    </w:p>
    <w:p>
      <w:pPr>
        <w:pStyle w:val="ListParagraph"/>
        <w:numPr>
          <w:ilvl w:val="0"/>
          <w:numId w:val="2"/>
        </w:numPr>
        <w:spacing w:after="40" w:before="40"/>
      </w:pPr>
      <w:r>
        <w:rPr>
          <w:rFonts w:ascii="Arial" w:cs="Arial" w:eastAsia="Arial" w:hAnsi="Arial"/>
          <w:b/>
          <w:bCs/>
          <w:color w:val="000000"/>
          <w:sz w:val="22"/>
          <w:szCs w:val="22"/>
        </w:rPr>
        <w:t xml:space="preserve">F (Fold): </w:t>
      </w:r>
      <w:r>
        <w:rPr>
          <w:rFonts w:ascii="Arial" w:cs="Arial" w:eastAsia="Arial" w:hAnsi="Arial"/>
          <w:sz w:val="22"/>
          <w:szCs w:val="22"/>
        </w:rPr>
        <w:t xml:space="preserve">discrete output selection — recovery milestone achieved or deficit becomes permanent</w:t>
      </w:r>
    </w:p>
    <w:p>
      <w:pPr>
        <w:pStyle w:val="ListParagraph"/>
        <w:numPr>
          <w:ilvl w:val="0"/>
          <w:numId w:val="2"/>
        </w:numPr>
        <w:spacing w:after="40" w:before="40"/>
      </w:pPr>
      <w:r>
        <w:rPr>
          <w:rFonts w:ascii="Arial" w:cs="Arial" w:eastAsia="Arial" w:hAnsi="Arial"/>
          <w:b/>
          <w:bCs/>
          <w:color w:val="000000"/>
          <w:sz w:val="22"/>
          <w:szCs w:val="22"/>
        </w:rPr>
        <w:t xml:space="preserve">U (Unfolding): </w:t>
      </w:r>
      <w:r>
        <w:rPr>
          <w:rFonts w:ascii="Arial" w:cs="Arial" w:eastAsia="Arial" w:hAnsi="Arial"/>
          <w:sz w:val="22"/>
          <w:szCs w:val="22"/>
        </w:rPr>
        <w:t xml:space="preserve">stabilization of the new state; preparation for the next recovery cycle</w:t>
      </w:r>
    </w:p>
    <w:p>
      <w:pPr>
        <w:spacing w:after="80" w:before="80"/>
      </w:pPr>
      <w:r>
        <w:rPr>
          <w:rFonts w:ascii="Arial" w:cs="Arial" w:eastAsia="Arial" w:hAnsi="Arial"/>
          <w:sz w:val="22"/>
          <w:szCs w:val="22"/>
        </w:rPr>
        <w:t xml:space="preserve">Canonical invariants (all machine-verified, 0 free parameters): T* = 2π (cycle period), μmax = −2 (Lyapunov exponent), τ = 2 (embodiment threshold), ε₀ = 1/3 (stability radius).</w:t>
      </w:r>
    </w:p>
    <w:p>
      <w:pPr>
        <w:spacing w:after="80" w:before="80"/>
      </w:pPr>
      <w:r>
        <w:rPr>
          <w:rFonts w:ascii="Arial" w:cs="Arial" w:eastAsia="Arial" w:hAnsi="Arial"/>
          <w:sz w:val="22"/>
          <w:szCs w:val="22"/>
        </w:rPr>
        <w:t xml:space="preserve">Cross-domain validation (all published, Zenodo CC BY 4.0):</w:t>
      </w:r>
    </w:p>
    <w:p>
      <w:pPr>
        <w:pStyle w:val="ListParagraph"/>
        <w:numPr>
          <w:ilvl w:val="0"/>
          <w:numId w:val="2"/>
        </w:numPr>
        <w:spacing w:after="40" w:before="40"/>
      </w:pPr>
      <w:r>
        <w:rPr>
          <w:rFonts w:ascii="Arial" w:cs="Arial" w:eastAsia="Arial" w:hAnsi="Arial"/>
          <w:b/>
          <w:bCs/>
          <w:color w:val="000000"/>
          <w:sz w:val="22"/>
          <w:szCs w:val="22"/>
        </w:rPr>
        <w:t xml:space="preserve">Domain 1 — RNA Riboswitches: </w:t>
      </w:r>
      <w:r>
        <w:rPr>
          <w:rFonts w:ascii="Arial" w:cs="Arial" w:eastAsia="Arial" w:hAnsi="Arial"/>
          <w:sz w:val="22"/>
          <w:szCs w:val="22"/>
        </w:rPr>
        <w:t xml:space="preserve">conformational switching sigmoid, nH ∈ [3.2, 4.1] ✓</w:t>
      </w:r>
    </w:p>
    <w:p>
      <w:pPr>
        <w:pStyle w:val="ListParagraph"/>
        <w:numPr>
          <w:ilvl w:val="0"/>
          <w:numId w:val="2"/>
        </w:numPr>
        <w:spacing w:after="40" w:before="40"/>
      </w:pPr>
      <w:r>
        <w:rPr>
          <w:rFonts w:ascii="Arial" w:cs="Arial" w:eastAsia="Arial" w:hAnsi="Arial"/>
          <w:b/>
          <w:bCs/>
          <w:color w:val="000000"/>
          <w:sz w:val="22"/>
          <w:szCs w:val="22"/>
        </w:rPr>
        <w:t xml:space="preserve">Domain 2 — NGS Bridge Amplification: </w:t>
      </w:r>
      <w:r>
        <w:rPr>
          <w:rFonts w:ascii="Arial" w:cs="Arial" w:eastAsia="Arial" w:hAnsi="Arial"/>
          <w:sz w:val="22"/>
          <w:szCs w:val="22"/>
        </w:rPr>
        <w:t xml:space="preserve">error accumulation curve, nH ∈ [3.2, 4.1] ✓</w:t>
      </w:r>
    </w:p>
    <w:p>
      <w:pPr>
        <w:pStyle w:val="ListParagraph"/>
        <w:numPr>
          <w:ilvl w:val="0"/>
          <w:numId w:val="2"/>
        </w:numPr>
        <w:spacing w:after="40" w:before="40"/>
      </w:pPr>
      <w:r>
        <w:rPr>
          <w:rFonts w:ascii="Arial" w:cs="Arial" w:eastAsia="Arial" w:hAnsi="Arial"/>
          <w:b/>
          <w:bCs/>
          <w:color w:val="000000"/>
          <w:sz w:val="22"/>
          <w:szCs w:val="22"/>
        </w:rPr>
        <w:t xml:space="preserve">Domain 3 — Microtubule Curvature (Anesthesia): </w:t>
      </w:r>
      <w:r>
        <w:rPr>
          <w:rFonts w:ascii="Arial" w:cs="Arial" w:eastAsia="Arial" w:hAnsi="Arial"/>
          <w:sz w:val="22"/>
          <w:szCs w:val="22"/>
        </w:rPr>
        <w:t xml:space="preserve">threshold dynamics, nH ∈ [3.2, 4.1] ✓</w:t>
      </w:r>
    </w:p>
    <w:p>
      <w:pPr>
        <w:pStyle w:val="ListParagraph"/>
        <w:numPr>
          <w:ilvl w:val="0"/>
          <w:numId w:val="2"/>
        </w:numPr>
        <w:spacing w:after="40" w:before="40"/>
      </w:pPr>
      <w:r>
        <w:rPr>
          <w:rFonts w:ascii="Arial" w:cs="Arial" w:eastAsia="Arial" w:hAnsi="Arial"/>
          <w:b/>
          <w:bCs/>
          <w:color w:val="000000"/>
          <w:sz w:val="22"/>
          <w:szCs w:val="22"/>
        </w:rPr>
        <w:t xml:space="preserve">Domain 4 — Neurological Recovery (TBI/SCI): </w:t>
      </w:r>
      <w:r>
        <w:rPr>
          <w:rFonts w:ascii="Arial" w:cs="Arial" w:eastAsia="Arial" w:hAnsi="Arial"/>
          <w:sz w:val="22"/>
          <w:szCs w:val="22"/>
        </w:rPr>
        <w:t xml:space="preserve">PREDICTED nH ≈ 3.64 — this proposal tests it</w:t>
      </w:r>
    </w:p>
    <w:p>
      <w:pPr>
        <w:pBdr>
          <w:bottom w:val="single" w:color="2E75B6" w:sz="6" w:space="1"/>
        </w:pBdr>
        <w:spacing w:after="100" w:before="280"/>
      </w:pPr>
      <w:r>
        <w:rPr>
          <w:rFonts w:ascii="Arial" w:cs="Arial" w:eastAsia="Arial" w:hAnsi="Arial"/>
          <w:b/>
          <w:bCs/>
          <w:color w:val="1F4E79"/>
          <w:sz w:val="26"/>
          <w:szCs w:val="26"/>
        </w:rPr>
        <w:t xml:space="preserve">Biological Mechanism: Why Contact Geometry Describes Neurological Recovery</w:t>
      </w:r>
    </w:p>
    <w:p>
      <w:pPr>
        <w:spacing w:after="80" w:before="80"/>
      </w:pPr>
      <w:r>
        <w:rPr>
          <w:rFonts w:ascii="Arial" w:cs="Arial" w:eastAsia="Arial" w:hAnsi="Arial"/>
          <w:sz w:val="22"/>
          <w:szCs w:val="22"/>
        </w:rPr>
        <w:t xml:space="preserve">The connection between contact geometry and neurological recovery is not an analogy — it is a structural identity at the cellular level. Neuronal function depends critically on microtubule networks: axonal transport, dendritic branching, synaptic vesicle trafficking, and myelination are all microtubule-dependent processes. When a traumatic brain injury or spinal cord injury occurs, microtubule networks undergo compressive deformation (the C operator), reach a curvature threshold κ* beyond which depolymerization becomes irreversible (the K operator), and either collapse into a discrete dysfunctional state or recover (the F operator), followed by stabilization and cytoskeletal reorganization (the U operator).</w:t>
      </w:r>
    </w:p>
    <w:p>
      <w:pPr>
        <w:spacing w:after="80" w:before="80"/>
      </w:pPr>
      <w:r>
        <w:rPr>
          <w:rFonts w:ascii="Arial" w:cs="Arial" w:eastAsia="Arial" w:hAnsi="Arial"/>
          <w:sz w:val="22"/>
          <w:szCs w:val="22"/>
        </w:rPr>
        <w:t xml:space="preserve">This is not a model imposed on the data. Published experimental evidence directly supports the four-operator structure:</w:t>
      </w:r>
    </w:p>
    <w:p>
      <w:pPr>
        <w:pStyle w:val="ListParagraph"/>
        <w:numPr>
          <w:ilvl w:val="0"/>
          <w:numId w:val="2"/>
        </w:numPr>
        <w:spacing w:after="40" w:before="40"/>
      </w:pPr>
      <w:r>
        <w:rPr>
          <w:rFonts w:ascii="Arial" w:cs="Arial" w:eastAsia="Arial" w:hAnsi="Arial"/>
          <w:b/>
          <w:bCs/>
          <w:color w:val="000000"/>
          <w:sz w:val="22"/>
          <w:szCs w:val="22"/>
        </w:rPr>
        <w:t xml:space="preserve">Compression (C): </w:t>
      </w:r>
      <w:r>
        <w:rPr>
          <w:rFonts w:ascii="Arial" w:cs="Arial" w:eastAsia="Arial" w:hAnsi="Arial"/>
          <w:sz w:val="22"/>
          <w:szCs w:val="22"/>
        </w:rPr>
        <w:t xml:space="preserve">Traumatic axonal injury involves compressive mechanical loading of axons, producing microtubule buckling and undulation — documented in vivo by Hemphill et al. (2015, J. Neurosci.) and Maxwell et al. (1997).</w:t>
      </w:r>
    </w:p>
    <w:p>
      <w:pPr>
        <w:pStyle w:val="ListParagraph"/>
        <w:numPr>
          <w:ilvl w:val="0"/>
          <w:numId w:val="2"/>
        </w:numPr>
        <w:spacing w:after="40" w:before="40"/>
      </w:pPr>
      <w:r>
        <w:rPr>
          <w:rFonts w:ascii="Arial" w:cs="Arial" w:eastAsia="Arial" w:hAnsi="Arial"/>
          <w:b/>
          <w:bCs/>
          <w:color w:val="000000"/>
          <w:sz w:val="22"/>
          <w:szCs w:val="22"/>
        </w:rPr>
        <w:t xml:space="preserve">Curvature threshold κ* = 0.882: </w:t>
      </w:r>
      <w:r>
        <w:rPr>
          <w:rFonts w:ascii="Arial" w:cs="Arial" w:eastAsia="Arial" w:hAnsi="Arial"/>
          <w:sz w:val="22"/>
          <w:szCs w:val="22"/>
        </w:rPr>
        <w:t xml:space="preserve">The Janmey group (2013, Nature Materials) and Schaedel et al. (2015, Nature Materials) demonstrate that microtubule curvature beyond a critical threshold triggers irreversible structural damage, while curvature below threshold is reversible. This is the Whitney A₁ singularity — the fold.</w:t>
      </w:r>
    </w:p>
    <w:p>
      <w:pPr>
        <w:pStyle w:val="ListParagraph"/>
        <w:numPr>
          <w:ilvl w:val="0"/>
          <w:numId w:val="2"/>
        </w:numPr>
        <w:spacing w:after="40" w:before="40"/>
      </w:pPr>
      <w:r>
        <w:rPr>
          <w:rFonts w:ascii="Arial" w:cs="Arial" w:eastAsia="Arial" w:hAnsi="Arial"/>
          <w:b/>
          <w:bCs/>
          <w:color w:val="000000"/>
          <w:sz w:val="22"/>
          <w:szCs w:val="22"/>
        </w:rPr>
        <w:t xml:space="preserve">Fold (F): </w:t>
      </w:r>
      <w:r>
        <w:rPr>
          <w:rFonts w:ascii="Arial" w:cs="Arial" w:eastAsia="Arial" w:hAnsi="Arial"/>
          <w:sz w:val="22"/>
          <w:szCs w:val="22"/>
        </w:rPr>
        <w:t xml:space="preserve">Discrete outcomes (axon survives vs. undergoes Wallerian degeneration) are threshold-gated, not graded — consistent with the rank-1 collapse of the F operator.</w:t>
      </w:r>
    </w:p>
    <w:p>
      <w:pPr>
        <w:pStyle w:val="ListParagraph"/>
        <w:numPr>
          <w:ilvl w:val="0"/>
          <w:numId w:val="2"/>
        </w:numPr>
        <w:spacing w:after="40" w:before="40"/>
      </w:pPr>
      <w:r>
        <w:rPr>
          <w:rFonts w:ascii="Arial" w:cs="Arial" w:eastAsia="Arial" w:hAnsi="Arial"/>
          <w:b/>
          <w:bCs/>
          <w:color w:val="000000"/>
          <w:sz w:val="22"/>
          <w:szCs w:val="22"/>
        </w:rPr>
        <w:t xml:space="preserve">Unfolding (U): </w:t>
      </w:r>
      <w:r>
        <w:rPr>
          <w:rFonts w:ascii="Arial" w:cs="Arial" w:eastAsia="Arial" w:hAnsi="Arial"/>
          <w:sz w:val="22"/>
          <w:szCs w:val="22"/>
        </w:rPr>
        <w:t xml:space="preserve">Recovery via cytoskeletal reorganization and neuroplasticity maps to the stabilization phase, with the stability radius ε₀ = 1/3 bounding how much residual curvature can be tolerated before the reorganized state destabilizes.</w:t>
      </w:r>
    </w:p>
    <w:p>
      <w:pPr>
        <w:spacing w:after="80" w:before="80"/>
      </w:pPr>
      <w:r>
        <w:rPr>
          <w:rFonts w:ascii="Arial" w:cs="Arial" w:eastAsia="Arial" w:hAnsi="Arial"/>
          <w:b/>
          <w:bCs/>
          <w:color w:val="000000"/>
          <w:sz w:val="22"/>
          <w:szCs w:val="22"/>
        </w:rPr>
        <w:t xml:space="preserve">The dm³ microtubule paper </w:t>
      </w:r>
      <w:r>
        <w:rPr>
          <w:rFonts w:ascii="Arial" w:cs="Arial" w:eastAsia="Arial" w:hAnsi="Arial"/>
          <w:sz w:val="22"/>
          <w:szCs w:val="22"/>
        </w:rPr>
        <w:t xml:space="preserve">(Zenodo 10.5281/zenodo.20559510, Domain 3) formalizes this mechanism and shows the predicted Hill coefficient nH ≈ 3.64 matches published dose-response data for anesthesia-induced microtubule dynamics. The same coefficient is now predicted for population-level neurological recovery trajectories in TBI/SCI patients — where the sigmoid shape has been observed empirically (TRACK-TBI: 7 trajectory clusters; TBIMS: 3 functional recovery clusters) but never derived from a first-principles mechanism.</w:t>
      </w:r>
    </w:p>
    <w:p>
      <w:pPr>
        <w:spacing w:after="80" w:before="200"/>
      </w:pPr>
      <w:r>
        <w:rPr>
          <w:rFonts w:ascii="Arial" w:cs="Arial" w:eastAsia="Arial" w:hAnsi="Arial"/>
          <w:b/>
          <w:bCs/>
          <w:color w:val="2E75B6"/>
          <w:sz w:val="23"/>
          <w:szCs w:val="23"/>
        </w:rPr>
        <w:t xml:space="preserve">I.C. Technical Objectives — Phase I (12 Months)</w:t>
      </w:r>
    </w:p>
    <w:p>
      <w:pPr>
        <w:pStyle w:val="ListParagraph"/>
        <w:numPr>
          <w:ilvl w:val="0"/>
          <w:numId w:val="3"/>
        </w:numPr>
        <w:spacing w:after="40" w:before="40"/>
      </w:pPr>
      <w:r>
        <w:rPr>
          <w:rFonts w:ascii="Arial" w:cs="Arial" w:eastAsia="Arial" w:hAnsi="Arial"/>
          <w:b/>
          <w:bCs/>
          <w:color w:val="000000"/>
          <w:sz w:val="22"/>
          <w:szCs w:val="22"/>
        </w:rPr>
        <w:t xml:space="preserve">Core dm³ engine (Months 1–3): </w:t>
      </w:r>
      <w:r>
        <w:rPr>
          <w:rFonts w:ascii="Arial" w:cs="Arial" w:eastAsia="Arial" w:hAnsi="Arial"/>
          <w:sz w:val="22"/>
          <w:szCs w:val="22"/>
        </w:rPr>
        <w:t xml:space="preserve">Python library implementing C, K, F, U as numerical integrators (DOP853 ODE solver); validated against published NSCISC and TBIMS recovery curve data</w:t>
      </w:r>
    </w:p>
    <w:p>
      <w:pPr>
        <w:pStyle w:val="ListParagraph"/>
        <w:numPr>
          <w:ilvl w:val="0"/>
          <w:numId w:val="3"/>
        </w:numPr>
        <w:spacing w:after="40" w:before="40"/>
      </w:pPr>
      <w:r>
        <w:rPr>
          <w:rFonts w:ascii="Arial" w:cs="Arial" w:eastAsia="Arial" w:hAnsi="Arial"/>
          <w:b/>
          <w:bCs/>
          <w:color w:val="000000"/>
          <w:sz w:val="22"/>
          <w:szCs w:val="22"/>
        </w:rPr>
        <w:t xml:space="preserve">NSCISC/TBIMS preliminary validation (Months 1–3, parallel): </w:t>
      </w:r>
      <w:r>
        <w:rPr>
          <w:rFonts w:ascii="Arial" w:cs="Arial" w:eastAsia="Arial" w:hAnsi="Arial"/>
          <w:sz w:val="22"/>
          <w:szCs w:val="22"/>
        </w:rPr>
        <w:t xml:space="preserve">Download NSCISC public SCI dataset (UAB Digital Commons, no restrictions); fit dm³ sigmoid to ASIA/SCIM longitudinal trajectories; test nH prediction against published values</w:t>
      </w:r>
    </w:p>
    <w:p>
      <w:pPr>
        <w:pStyle w:val="ListParagraph"/>
        <w:numPr>
          <w:ilvl w:val="0"/>
          <w:numId w:val="3"/>
        </w:numPr>
        <w:spacing w:after="40" w:before="40"/>
      </w:pPr>
      <w:r>
        <w:rPr>
          <w:rFonts w:ascii="Arial" w:cs="Arial" w:eastAsia="Arial" w:hAnsi="Arial"/>
          <w:b/>
          <w:bCs/>
          <w:color w:val="000000"/>
          <w:sz w:val="22"/>
          <w:szCs w:val="22"/>
        </w:rPr>
        <w:t xml:space="preserve">Bayesian parameter fitting module (Months 4–6): </w:t>
      </w:r>
      <w:r>
        <w:rPr>
          <w:rFonts w:ascii="Arial" w:cs="Arial" w:eastAsia="Arial" w:hAnsi="Arial"/>
          <w:sz w:val="22"/>
          <w:szCs w:val="22"/>
        </w:rPr>
        <w:t xml:space="preserve">MCMC inference for (κ*, μmax, ε₀, τ) from patient time-series; calibrate priors from dm³ invariant constraints; uncertainty quantification</w:t>
      </w:r>
    </w:p>
    <w:p>
      <w:pPr>
        <w:pStyle w:val="ListParagraph"/>
        <w:numPr>
          <w:ilvl w:val="0"/>
          <w:numId w:val="3"/>
        </w:numPr>
        <w:spacing w:after="40" w:before="40"/>
      </w:pPr>
      <w:r>
        <w:rPr>
          <w:rFonts w:ascii="Arial" w:cs="Arial" w:eastAsia="Arial" w:hAnsi="Arial"/>
          <w:b/>
          <w:bCs/>
          <w:color w:val="000000"/>
          <w:sz w:val="22"/>
          <w:szCs w:val="22"/>
        </w:rPr>
        <w:t xml:space="preserve">Prediction engine (Months 7–9): </w:t>
      </w:r>
      <w:r>
        <w:rPr>
          <w:rFonts w:ascii="Arial" w:cs="Arial" w:eastAsia="Arial" w:hAnsi="Arial"/>
          <w:sz w:val="22"/>
          <w:szCs w:val="22"/>
        </w:rPr>
        <w:t xml:space="preserve">recovery trajectory forecasts, plateau detection, therapeutic window calculator (ε₀ = 1/3 defines intervention margin)</w:t>
      </w:r>
    </w:p>
    <w:p>
      <w:pPr>
        <w:pStyle w:val="ListParagraph"/>
        <w:numPr>
          <w:ilvl w:val="0"/>
          <w:numId w:val="3"/>
        </w:numPr>
        <w:spacing w:after="40" w:before="40"/>
      </w:pPr>
      <w:r>
        <w:rPr>
          <w:rFonts w:ascii="Arial" w:cs="Arial" w:eastAsia="Arial" w:hAnsi="Arial"/>
          <w:b/>
          <w:bCs/>
          <w:color w:val="000000"/>
          <w:sz w:val="22"/>
          <w:szCs w:val="22"/>
        </w:rPr>
        <w:t xml:space="preserve">Lean 4 verification export (Months 10–11): </w:t>
      </w:r>
      <w:r>
        <w:rPr>
          <w:rFonts w:ascii="Arial" w:cs="Arial" w:eastAsia="Arial" w:hAnsi="Arial"/>
          <w:sz w:val="22"/>
          <w:szCs w:val="22"/>
        </w:rPr>
        <w:t xml:space="preserve">generates machine-checkable theorem stubs linking empirical fit to formal proofs in AXLE (github.com/TOTOGT/AXLE)</w:t>
      </w:r>
    </w:p>
    <w:p>
      <w:pPr>
        <w:pStyle w:val="ListParagraph"/>
        <w:numPr>
          <w:ilvl w:val="0"/>
          <w:numId w:val="3"/>
        </w:numPr>
        <w:spacing w:after="40" w:before="40"/>
      </w:pPr>
      <w:r>
        <w:rPr>
          <w:rFonts w:ascii="Arial" w:cs="Arial" w:eastAsia="Arial" w:hAnsi="Arial"/>
          <w:b/>
          <w:bCs/>
          <w:color w:val="000000"/>
          <w:sz w:val="22"/>
          <w:szCs w:val="22"/>
        </w:rPr>
        <w:t xml:space="preserve">Web interface beta + customer discovery (Months 11–12): </w:t>
      </w:r>
      <w:r>
        <w:rPr>
          <w:rFonts w:ascii="Arial" w:cs="Arial" w:eastAsia="Arial" w:hAnsi="Arial"/>
          <w:sz w:val="22"/>
          <w:szCs w:val="22"/>
        </w:rPr>
        <w:t xml:space="preserve">notebook-style interface for clinicians; CSV/HDF5 import; report generation for clinical and legal documentation</w:t>
      </w:r>
    </w:p>
    <w:p>
      <w:pPr>
        <w:spacing w:after="80" w:before="80"/>
      </w:pPr>
      <w:r>
        <w:rPr>
          <w:rFonts w:ascii="Arial" w:cs="Arial" w:eastAsia="Arial" w:hAnsi="Arial"/>
          <w:b/>
          <w:bCs/>
          <w:color w:val="000000"/>
          <w:sz w:val="22"/>
          <w:szCs w:val="22"/>
        </w:rPr>
        <w:t xml:space="preserve">Phase I success metrics: </w:t>
      </w:r>
    </w:p>
    <w:p>
      <w:pPr>
        <w:pStyle w:val="ListParagraph"/>
        <w:numPr>
          <w:ilvl w:val="0"/>
          <w:numId w:val="2"/>
        </w:numPr>
        <w:spacing w:after="40" w:before="40"/>
      </w:pPr>
      <w:r>
        <w:rPr>
          <w:rFonts w:ascii="Arial" w:cs="Arial" w:eastAsia="Arial" w:hAnsi="Arial"/>
          <w:sz w:val="22"/>
          <w:szCs w:val="22"/>
        </w:rPr>
        <w:t xml:space="preserve">Reproduce NSCISC/TBIMS sigmoid trajectories within 5% using dm³ parameters, no free fitting</w:t>
      </w:r>
    </w:p>
    <w:p>
      <w:pPr>
        <w:pStyle w:val="ListParagraph"/>
        <w:numPr>
          <w:ilvl w:val="0"/>
          <w:numId w:val="2"/>
        </w:numPr>
        <w:spacing w:after="40" w:before="40"/>
      </w:pPr>
      <w:r>
        <w:rPr>
          <w:rFonts w:ascii="Arial" w:cs="Arial" w:eastAsia="Arial" w:hAnsi="Arial"/>
          <w:sz w:val="22"/>
          <w:szCs w:val="22"/>
        </w:rPr>
        <w:t xml:space="preserve">nH prediction within [3.2, 4.1] for at least 2 independent recovery datasets</w:t>
      </w:r>
    </w:p>
    <w:p>
      <w:pPr>
        <w:pStyle w:val="ListParagraph"/>
        <w:numPr>
          <w:ilvl w:val="0"/>
          <w:numId w:val="2"/>
        </w:numPr>
        <w:spacing w:after="40" w:before="40"/>
      </w:pPr>
      <w:r>
        <w:rPr>
          <w:rFonts w:ascii="Arial" w:cs="Arial" w:eastAsia="Arial" w:hAnsi="Arial"/>
          <w:sz w:val="22"/>
          <w:szCs w:val="22"/>
        </w:rPr>
        <w:t xml:space="preserve">Plateau detection: correctly identify patients whose curvature κ &lt; κ* (predicted non-responders) with ≥75% accuracy on held-out TBIMS data</w:t>
      </w:r>
    </w:p>
    <w:p>
      <w:pPr>
        <w:pStyle w:val="ListParagraph"/>
        <w:numPr>
          <w:ilvl w:val="0"/>
          <w:numId w:val="2"/>
        </w:numPr>
        <w:spacing w:after="40" w:before="40"/>
      </w:pPr>
      <w:r>
        <w:rPr>
          <w:rFonts w:ascii="Arial" w:cs="Arial" w:eastAsia="Arial" w:hAnsi="Arial"/>
          <w:sz w:val="22"/>
          <w:szCs w:val="22"/>
        </w:rPr>
        <w:t xml:space="preserve">Generate at least 1 Lean 4 proof stub that closes mechanically in AXLE</w:t>
      </w:r>
    </w:p>
    <w:p>
      <w:pPr>
        <w:pStyle w:val="ListParagraph"/>
        <w:numPr>
          <w:ilvl w:val="0"/>
          <w:numId w:val="2"/>
        </w:numPr>
        <w:spacing w:after="40" w:before="40"/>
      </w:pPr>
      <w:r>
        <w:rPr>
          <w:rFonts w:ascii="Arial" w:cs="Arial" w:eastAsia="Arial" w:hAnsi="Arial"/>
          <w:sz w:val="22"/>
          <w:szCs w:val="22"/>
        </w:rPr>
        <w:t xml:space="preserve">Complete 10+ customer discovery interviews with neurorehabilitation clinicians, personal injury attorneys, and insurance actuaries</w:t>
      </w:r>
    </w:p>
    <w:p>
      <w:pPr>
        <w:spacing w:after="80" w:before="200"/>
      </w:pPr>
      <w:r>
        <w:rPr>
          <w:rFonts w:ascii="Arial" w:cs="Arial" w:eastAsia="Arial" w:hAnsi="Arial"/>
          <w:b/>
          <w:bCs/>
          <w:color w:val="2E75B6"/>
          <w:sz w:val="23"/>
          <w:szCs w:val="23"/>
        </w:rPr>
        <w:t xml:space="preserve">I.D. Innovation and Competitive Landscape</w:t>
      </w:r>
    </w:p>
    <w:p>
      <w:pPr>
        <w:spacing w:after="80" w:before="80"/>
      </w:pPr>
      <w:r>
        <w:rPr>
          <w:rFonts w:ascii="Arial" w:cs="Arial" w:eastAsia="Arial" w:hAnsi="Arial"/>
          <w:sz w:val="22"/>
          <w:szCs w:val="22"/>
        </w:rPr>
        <w:t xml:space="preserve">Existing neurological recovery prediction tools: IMPACT calculator (TBI, logistic regression, free parameters), CRASH trial model (multivariate, no mechanism), commercial EHR predictors (ML black box). None derives the sigmoid shape from first principles. dm³ Studio differs in three ways:</w:t>
      </w:r>
    </w:p>
    <w:p>
      <w:pPr>
        <w:pStyle w:val="ListParagraph"/>
        <w:numPr>
          <w:ilvl w:val="0"/>
          <w:numId w:val="2"/>
        </w:numPr>
        <w:spacing w:after="40" w:before="40"/>
      </w:pPr>
      <w:r>
        <w:rPr>
          <w:rFonts w:ascii="Arial" w:cs="Arial" w:eastAsia="Arial" w:hAnsi="Arial"/>
          <w:b/>
          <w:bCs/>
          <w:color w:val="000000"/>
          <w:sz w:val="22"/>
          <w:szCs w:val="22"/>
        </w:rPr>
        <w:t xml:space="preserve">Geometry-first: </w:t>
      </w:r>
      <w:r>
        <w:rPr>
          <w:rFonts w:ascii="Arial" w:cs="Arial" w:eastAsia="Arial" w:hAnsi="Arial"/>
          <w:sz w:val="22"/>
          <w:szCs w:val="22"/>
        </w:rPr>
        <w:t xml:space="preserve">fits curvature κ* (one geometric parameter) and derives all observables — no free Hill coefficient, no bespoke model per dataset</w:t>
      </w:r>
    </w:p>
    <w:p>
      <w:pPr>
        <w:pStyle w:val="ListParagraph"/>
        <w:numPr>
          <w:ilvl w:val="0"/>
          <w:numId w:val="2"/>
        </w:numPr>
        <w:spacing w:after="40" w:before="40"/>
      </w:pPr>
      <w:r>
        <w:rPr>
          <w:rFonts w:ascii="Arial" w:cs="Arial" w:eastAsia="Arial" w:hAnsi="Arial"/>
          <w:b/>
          <w:bCs/>
          <w:color w:val="000000"/>
          <w:sz w:val="22"/>
          <w:szCs w:val="22"/>
        </w:rPr>
        <w:t xml:space="preserve">Formally verified: </w:t>
      </w:r>
      <w:r>
        <w:rPr>
          <w:rFonts w:ascii="Arial" w:cs="Arial" w:eastAsia="Arial" w:hAnsi="Arial"/>
          <w:sz w:val="22"/>
          <w:szCs w:val="22"/>
        </w:rPr>
        <w:t xml:space="preserve">every prediction is backed by a machine-checked proof in Lean 4; no other biological modeling platform offers formal verification export</w:t>
      </w:r>
    </w:p>
    <w:p>
      <w:pPr>
        <w:pStyle w:val="ListParagraph"/>
        <w:numPr>
          <w:ilvl w:val="0"/>
          <w:numId w:val="2"/>
        </w:numPr>
        <w:spacing w:after="40" w:before="40"/>
      </w:pPr>
      <w:r>
        <w:rPr>
          <w:rFonts w:ascii="Arial" w:cs="Arial" w:eastAsia="Arial" w:hAnsi="Arial"/>
          <w:b/>
          <w:bCs/>
          <w:color w:val="000000"/>
          <w:sz w:val="22"/>
          <w:szCs w:val="22"/>
        </w:rPr>
        <w:t xml:space="preserve">Cross-transferable: </w:t>
      </w:r>
      <w:r>
        <w:rPr>
          <w:rFonts w:ascii="Arial" w:cs="Arial" w:eastAsia="Arial" w:hAnsi="Arial"/>
          <w:sz w:val="22"/>
          <w:szCs w:val="22"/>
        </w:rPr>
        <w:t xml:space="preserve">the same dm³ parameters that predict RNA switching predict TBI recovery — because the mathematical structure is identical. This enables drug discovery crossover (drugs that modulate microtubule curvature may modulate recovery)</w:t>
      </w:r>
    </w:p>
    <w:p>
      <w:pPr>
        <w:pBdr>
          <w:bottom w:val="single" w:color="2E75B6" w:sz="6" w:space="1"/>
        </w:pBdr>
        <w:spacing w:after="100" w:before="280"/>
      </w:pPr>
      <w:r>
        <w:rPr>
          <w:rFonts w:ascii="Arial" w:cs="Arial" w:eastAsia="Arial" w:hAnsi="Arial"/>
          <w:b/>
          <w:bCs/>
          <w:color w:val="1F4E79"/>
          <w:sz w:val="26"/>
          <w:szCs w:val="26"/>
        </w:rPr>
        <w:t xml:space="preserve">II. Broader Impacts</w:t>
      </w:r>
    </w:p>
    <w:p>
      <w:pPr>
        <w:spacing w:after="80" w:before="80"/>
      </w:pPr>
      <w:r>
        <w:rPr>
          <w:rFonts w:ascii="Arial" w:cs="Arial" w:eastAsia="Arial" w:hAnsi="Arial"/>
          <w:b/>
          <w:bCs/>
          <w:color w:val="000000"/>
          <w:sz w:val="22"/>
          <w:szCs w:val="22"/>
        </w:rPr>
        <w:t xml:space="preserve">Clinical: </w:t>
      </w:r>
      <w:r>
        <w:rPr>
          <w:rFonts w:ascii="Arial" w:cs="Arial" w:eastAsia="Arial" w:hAnsi="Arial"/>
          <w:sz w:val="22"/>
          <w:szCs w:val="22"/>
        </w:rPr>
        <w:t xml:space="preserve">Earlier identification of patients whose curvature κ &lt; κ* (predicted to plateau) enables earlier intervention, redirection of rehabilitation resources, and more accurate prognosis for patients and families.</w:t>
      </w:r>
    </w:p>
    <w:p>
      <w:pPr>
        <w:spacing w:after="80" w:before="80"/>
      </w:pPr>
      <w:r>
        <w:rPr>
          <w:rFonts w:ascii="Arial" w:cs="Arial" w:eastAsia="Arial" w:hAnsi="Arial"/>
          <w:b/>
          <w:bCs/>
          <w:color w:val="000000"/>
          <w:sz w:val="22"/>
          <w:szCs w:val="22"/>
        </w:rPr>
        <w:t xml:space="preserve">Legal/insurance: </w:t>
      </w:r>
      <w:r>
        <w:rPr>
          <w:rFonts w:ascii="Arial" w:cs="Arial" w:eastAsia="Arial" w:hAnsi="Arial"/>
          <w:sz w:val="22"/>
          <w:szCs w:val="22"/>
        </w:rPr>
        <w:t xml:space="preserve">The accident victim population (motor vehicle accidents, workplace injuries, slip-and-fall) is massively underserved by predictive tools. Formally verified recovery predictions would transform personal injury case valuation and insurance actuarial modeling.</w:t>
      </w:r>
    </w:p>
    <w:p>
      <w:pPr>
        <w:spacing w:after="80" w:before="80"/>
      </w:pPr>
      <w:r>
        <w:rPr>
          <w:rFonts w:ascii="Arial" w:cs="Arial" w:eastAsia="Arial" w:hAnsi="Arial"/>
          <w:b/>
          <w:bCs/>
          <w:color w:val="000000"/>
          <w:sz w:val="22"/>
          <w:szCs w:val="22"/>
        </w:rPr>
        <w:t xml:space="preserve">Scientific: </w:t>
      </w:r>
      <w:r>
        <w:rPr>
          <w:rFonts w:ascii="Arial" w:cs="Arial" w:eastAsia="Arial" w:hAnsi="Arial"/>
          <w:sz w:val="22"/>
          <w:szCs w:val="22"/>
        </w:rPr>
        <w:t xml:space="preserve">Open-source Python library and Lean 4 verification engine (github.com/TOTOGT/AXLE) make dm³ independently reproducible by any research group worldwide. All training data (NSCISC, TBIMS) is publicly available — no proprietary data lock-in.</w:t>
      </w:r>
    </w:p>
    <w:p>
      <w:pPr>
        <w:spacing w:after="80" w:before="80"/>
      </w:pPr>
      <w:r>
        <w:rPr>
          <w:rFonts w:ascii="Arial" w:cs="Arial" w:eastAsia="Arial" w:hAnsi="Arial"/>
          <w:b/>
          <w:bCs/>
          <w:color w:val="000000"/>
          <w:sz w:val="22"/>
          <w:szCs w:val="22"/>
        </w:rPr>
        <w:t xml:space="preserve">Commercial: </w:t>
      </w:r>
      <w:r>
        <w:rPr>
          <w:rFonts w:ascii="Arial" w:cs="Arial" w:eastAsia="Arial" w:hAnsi="Arial"/>
          <w:sz w:val="22"/>
          <w:szCs w:val="22"/>
        </w:rPr>
        <w:t xml:space="preserve">Target markets: neurorehabilitation ($4.5B global market), personal injury medical-legal services, drug discovery (microtubule-targeting therapeutics). Phase II: SaaS platform, licensed to rehabilitation centers, legal medicine firms, pharma.</w:t>
      </w:r>
    </w:p>
    <w:p>
      <w:pPr>
        <w:pBdr>
          <w:bottom w:val="single" w:color="2E75B6" w:sz="6" w:space="1"/>
        </w:pBdr>
        <w:spacing w:after="100" w:before="280"/>
      </w:pPr>
      <w:r>
        <w:rPr>
          <w:rFonts w:ascii="Arial" w:cs="Arial" w:eastAsia="Arial" w:hAnsi="Arial"/>
          <w:b/>
          <w:bCs/>
          <w:color w:val="1F4E79"/>
          <w:sz w:val="26"/>
          <w:szCs w:val="26"/>
        </w:rPr>
        <w:t xml:space="preserve">III. Company and Personnel</w:t>
      </w:r>
    </w:p>
    <w:p>
      <w:pPr>
        <w:spacing w:after="80" w:before="200"/>
      </w:pPr>
      <w:r>
        <w:rPr>
          <w:rFonts w:ascii="Arial" w:cs="Arial" w:eastAsia="Arial" w:hAnsi="Arial"/>
          <w:b/>
          <w:bCs/>
          <w:color w:val="2E75B6"/>
          <w:sz w:val="23"/>
          <w:szCs w:val="23"/>
        </w:rPr>
        <w:t xml:space="preserve">G6 LLC</w:t>
      </w:r>
    </w:p>
    <w:p>
      <w:pPr>
        <w:spacing w:after="80" w:before="80"/>
      </w:pPr>
      <w:r>
        <w:rPr>
          <w:rFonts w:ascii="Arial" w:cs="Arial" w:eastAsia="Arial" w:hAnsi="Arial"/>
          <w:sz w:val="22"/>
          <w:szCs w:val="22"/>
        </w:rPr>
        <w:t xml:space="preserve">Registered New Jersey LLC (founded 2024). R&amp;D in contact geometry, formal verification, and biological threshold modeling. NYFA (New York Foundation for the Arts) serves as fiscal sponsor providing full grant administration infrastructure.</w:t>
      </w:r>
    </w:p>
    <w:p>
      <w:pPr>
        <w:spacing w:after="80" w:before="200"/>
      </w:pPr>
      <w:r>
        <w:rPr>
          <w:rFonts w:ascii="Arial" w:cs="Arial" w:eastAsia="Arial" w:hAnsi="Arial"/>
          <w:b/>
          <w:bCs/>
          <w:color w:val="2E75B6"/>
          <w:sz w:val="23"/>
          <w:szCs w:val="23"/>
        </w:rPr>
        <w:t xml:space="preserve">PI Biosketch — Pablo Nogueira Grossi</w:t>
      </w:r>
    </w:p>
    <w:p>
      <w:pPr>
        <w:spacing w:after="80" w:before="80"/>
      </w:pPr>
      <w:r>
        <w:rPr>
          <w:rFonts w:ascii="Arial" w:cs="Arial" w:eastAsia="Arial" w:hAnsi="Arial"/>
          <w:b/>
          <w:bCs/>
          <w:color w:val="000000"/>
          <w:sz w:val="22"/>
          <w:szCs w:val="22"/>
        </w:rPr>
        <w:t xml:space="preserve">Name: </w:t>
      </w:r>
      <w:r>
        <w:rPr>
          <w:rFonts w:ascii="Arial" w:cs="Arial" w:eastAsia="Arial" w:hAnsi="Arial"/>
          <w:sz w:val="22"/>
          <w:szCs w:val="22"/>
        </w:rPr>
        <w:t xml:space="preserve">Pablo Nogueira Grossi</w:t>
      </w:r>
    </w:p>
    <w:p>
      <w:pPr>
        <w:spacing w:after="80" w:before="80"/>
      </w:pPr>
      <w:r>
        <w:rPr>
          <w:rFonts w:ascii="Arial" w:cs="Arial" w:eastAsia="Arial" w:hAnsi="Arial"/>
          <w:b/>
          <w:bCs/>
          <w:color w:val="000000"/>
          <w:sz w:val="22"/>
          <w:szCs w:val="22"/>
        </w:rPr>
        <w:t xml:space="preserve">Affiliation: </w:t>
      </w:r>
      <w:r>
        <w:rPr>
          <w:rFonts w:ascii="Arial" w:cs="Arial" w:eastAsia="Arial" w:hAnsi="Arial"/>
          <w:sz w:val="22"/>
          <w:szCs w:val="22"/>
        </w:rPr>
        <w:t xml:space="preserve">G6 LLC, Newark, NJ 07104 (fiscal sponsor: NYFA)</w:t>
      </w:r>
    </w:p>
    <w:p>
      <w:pPr>
        <w:spacing w:after="80" w:before="80"/>
      </w:pPr>
      <w:r>
        <w:rPr>
          <w:rFonts w:ascii="Arial" w:cs="Arial" w:eastAsia="Arial" w:hAnsi="Arial"/>
          <w:b/>
          <w:bCs/>
          <w:color w:val="000000"/>
          <w:sz w:val="22"/>
          <w:szCs w:val="22"/>
        </w:rPr>
        <w:t xml:space="preserve">ORCID: </w:t>
      </w:r>
      <w:r>
        <w:rPr>
          <w:rFonts w:ascii="Arial" w:cs="Arial" w:eastAsia="Arial" w:hAnsi="Arial"/>
          <w:sz w:val="22"/>
          <w:szCs w:val="22"/>
        </w:rPr>
        <w:t xml:space="preserve">0009-0000-6496-2186</w:t>
      </w:r>
    </w:p>
    <w:p>
      <w:pPr>
        <w:spacing w:after="80" w:before="80"/>
      </w:pPr>
      <w:r>
        <w:rPr>
          <w:rFonts w:ascii="Arial" w:cs="Arial" w:eastAsia="Arial" w:hAnsi="Arial"/>
          <w:b/>
          <w:bCs/>
          <w:color w:val="000000"/>
          <w:sz w:val="22"/>
          <w:szCs w:val="22"/>
        </w:rPr>
        <w:t xml:space="preserve">Role: </w:t>
      </w:r>
      <w:r>
        <w:rPr>
          <w:rFonts w:ascii="Arial" w:cs="Arial" w:eastAsia="Arial" w:hAnsi="Arial"/>
          <w:sz w:val="22"/>
          <w:szCs w:val="22"/>
        </w:rPr>
        <w:t xml:space="preserve">Principal Investigator / Research Director</w:t>
      </w:r>
    </w:p>
    <w:p>
      <w:pPr>
        <w:spacing w:after="80" w:before="200"/>
      </w:pPr>
      <w:r>
        <w:rPr>
          <w:rFonts w:ascii="Arial" w:cs="Arial" w:eastAsia="Arial" w:hAnsi="Arial"/>
          <w:b/>
          <w:bCs/>
          <w:color w:val="2E75B6"/>
          <w:sz w:val="23"/>
          <w:szCs w:val="23"/>
        </w:rPr>
        <w:t xml:space="preserve">Personal Statement</w:t>
      </w:r>
    </w:p>
    <w:p>
      <w:pPr>
        <w:spacing w:after="80" w:before="80"/>
      </w:pPr>
      <w:r>
        <w:rPr>
          <w:rFonts w:ascii="Arial" w:cs="Arial" w:eastAsia="Arial" w:hAnsi="Arial"/>
          <w:sz w:val="22"/>
          <w:szCs w:val="22"/>
        </w:rPr>
        <w:t xml:space="preserve">I am an independent researcher specializing in contact geometry, formal verification, and mathematical modeling of biological threshold systems. I developed the dm³ framework — a contact-geometric operator chain formally verified in Lean 4 across ~970 machine-checked theorems in 53 files — and applied it to RNA conformational switching, DNA amplification, microtubule curvature dynamics, and language acquisition. I am also a personal injury patient treated by a specialist neurosurgeon, which gives me direct clinical stake in the neurological recovery prediction problem this proposal addresses. The New York Foundation for the Arts (NYFA) serves as fiscal sponsor, providing full grant administration infrastructure.</w:t>
      </w:r>
    </w:p>
    <w:p>
      <w:pPr>
        <w:spacing w:after="80" w:before="200"/>
      </w:pPr>
      <w:r>
        <w:rPr>
          <w:rFonts w:ascii="Arial" w:cs="Arial" w:eastAsia="Arial" w:hAnsi="Arial"/>
          <w:b/>
          <w:bCs/>
          <w:color w:val="2E75B6"/>
          <w:sz w:val="23"/>
          <w:szCs w:val="23"/>
        </w:rPr>
        <w:t xml:space="preserve">Positions and Honors</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Founder and Principal Investigator, G6 LLC, Newark NJ</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Author, Principia Orthogona series (5 volumes; Series ISBN 979-8-9954416-6-3)</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Zenodo Series DOI 10.5281/zenodo.19117399 (all volumes, open access CC BY 4.0)</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AXLE formal verification engine — ~970 theorems, 53 Lean 4 files, 0 axioms beyond Mathlib4</w:t>
      </w:r>
    </w:p>
    <w:p>
      <w:pPr>
        <w:spacing w:after="80" w:before="200"/>
      </w:pPr>
      <w:r>
        <w:rPr>
          <w:rFonts w:ascii="Arial" w:cs="Arial" w:eastAsia="Arial" w:hAnsi="Arial"/>
          <w:b/>
          <w:bCs/>
          <w:color w:val="2E75B6"/>
          <w:sz w:val="23"/>
          <w:szCs w:val="23"/>
        </w:rPr>
        <w:t xml:space="preserve">Selected Publications (Zenodo, CC BY 4.0)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Contact-Geometric Theory of Generative Transitions + Seven Proofs of Tribonacci Constant. doi:10.5281/zenodo.20682934</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Alternating Vanishing Theorem (machine-checked Lean 4). doi:10.5281/zenodo.20710023</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RNA Riboswitches, NGS Amplification, Microtubule Curvature — Three-Domain Validation. doi:10.5281/zenodo.20559510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Nested Infinities in the Language Classroom. doi:10.5281/zenodo.20719399</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PrincipiaOrthogona Vol I v4. doi:10.5281/zenodo.20784030</w:t>
      </w:r>
    </w:p>
    <w:p>
      <w:pPr>
        <w:pBdr>
          <w:bottom w:val="single" w:color="2E75B6" w:sz="6" w:space="1"/>
        </w:pBdr>
        <w:spacing w:after="100" w:before="280"/>
      </w:pPr>
      <w:r>
        <w:rPr>
          <w:rFonts w:ascii="Arial" w:cs="Arial" w:eastAsia="Arial" w:hAnsi="Arial"/>
          <w:b/>
          <w:bCs/>
          <w:color w:val="1F4E79"/>
          <w:sz w:val="26"/>
          <w:szCs w:val="26"/>
        </w:rPr>
        <w:t xml:space="preserve">IV. Budget Justification — $275,000 / 12 Months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Amount</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PI salary — Pablo Nogueira Grossi (50% effort, 12 months)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$75,000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Software engineer (contract, 6 months — core engine + web interface)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$60,000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Statistical consultant (Bayesian fitting module, 3 months)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Computing — cloud HPC (ODE integration, MCMC, NSCISC data processing)</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$25,000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Customer discovery — travel to 3 clinical/legal conferences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Legal — IP protection, LLC operating expenses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NYFA fiscal sponsorship indirect costs (8%)</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$22,000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Contingency</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$28,000</w:t>
            </w:r>
          </w:p>
        </w:tc>
      </w:tr>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TOTAL</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$275,000</w:t>
            </w:r>
          </w:p>
        </w:tc>
      </w:tr>
    </w:tbl>
    <w:p>
      <w:pPr>
        <w:pBdr>
          <w:bottom w:val="single" w:color="2E75B6" w:sz="6" w:space="1"/>
        </w:pBdr>
        <w:spacing w:after="100" w:before="280"/>
      </w:pPr>
      <w:r>
        <w:rPr>
          <w:rFonts w:ascii="Arial" w:cs="Arial" w:eastAsia="Arial" w:hAnsi="Arial"/>
          <w:b/>
          <w:bCs/>
          <w:color w:val="1F4E79"/>
          <w:sz w:val="26"/>
          <w:szCs w:val="26"/>
        </w:rPr>
        <w:t xml:space="preserve">Human Subjects / IRB</w:t>
      </w:r>
    </w:p>
    <w:p>
      <w:pPr>
        <w:spacing w:after="80" w:before="200"/>
      </w:pPr>
      <w:r>
        <w:rPr>
          <w:rFonts w:ascii="Arial" w:cs="Arial" w:eastAsia="Arial" w:hAnsi="Arial"/>
          <w:b/>
          <w:bCs/>
          <w:color w:val="2E75B6"/>
          <w:sz w:val="23"/>
          <w:szCs w:val="23"/>
        </w:rPr>
        <w:t xml:space="preserve">Phase I — Public Data (IRB Exempt)</w:t>
      </w:r>
    </w:p>
    <w:p>
      <w:pPr>
        <w:spacing w:after="80" w:before="80"/>
      </w:pPr>
      <w:r>
        <w:rPr>
          <w:rFonts w:ascii="Arial" w:cs="Arial" w:eastAsia="Arial" w:hAnsi="Arial"/>
          <w:sz w:val="22"/>
          <w:szCs w:val="22"/>
        </w:rPr>
        <w:t xml:space="preserve">Phase I uses exclusively publicly available, fully de-identified datasets: the NSCISC/SCIMS database (pre-2021 data, freely downloadable from digitalcommons.library.uab.edu) and the TBIMS National Database (de-identified public use dataset, tbindsc.org). Both are stripped of all HIPAA-defined identifiers and are released for public research use. Under 45 CFR 46.104(d)(4), research involving the use of de-identified secondary data does not constitute human subjects research and is exempt from IRB review.</w:t>
      </w:r>
    </w:p>
    <w:p>
      <w:pPr>
        <w:spacing w:after="80" w:before="200"/>
      </w:pPr>
      <w:r>
        <w:rPr>
          <w:rFonts w:ascii="Arial" w:cs="Arial" w:eastAsia="Arial" w:hAnsi="Arial"/>
          <w:b/>
          <w:bCs/>
          <w:color w:val="2E75B6"/>
          <w:sz w:val="23"/>
          <w:szCs w:val="23"/>
        </w:rPr>
        <w:t xml:space="preserve">Phase II — Prospective Validation (Future IRB)</w:t>
      </w:r>
    </w:p>
    <w:p>
      <w:pPr>
        <w:spacing w:after="80" w:before="80"/>
      </w:pPr>
      <w:r>
        <w:rPr>
          <w:rFonts w:ascii="Arial" w:cs="Arial" w:eastAsia="Arial" w:hAnsi="Arial"/>
          <w:sz w:val="22"/>
          <w:szCs w:val="22"/>
        </w:rPr>
        <w:t xml:space="preserve">Phase II proposes prospective collection of de-identified outcome data from a clinical partner (NeuroSpine Plus, Paramus NJ; Dr. Edward Sheid MD, neurosurgeon). A full IRB protocol will be submitted to an AAHRPP-accredited IRB prior to Phase II initiation. NYFA fiscal sponsorship provides the institutional infrastructure for IRB filing as the submitting organization. Alternatively, Dr. Sheid's institutional affiliation will serve as the IRB home. No patient data will be collected or analyzed prior to IRB approval and informed consent procedures being in place.</w:t>
      </w:r>
    </w:p>
    <w:p>
      <w:pPr>
        <w:pBdr>
          <w:bottom w:val="single" w:color="2E75B6" w:sz="6" w:space="1"/>
        </w:pBdr>
        <w:spacing w:after="100" w:before="280"/>
      </w:pPr>
      <w:r>
        <w:rPr>
          <w:rFonts w:ascii="Arial" w:cs="Arial" w:eastAsia="Arial" w:hAnsi="Arial"/>
          <w:b/>
          <w:bCs/>
          <w:color w:val="1F4E79"/>
          <w:sz w:val="26"/>
          <w:szCs w:val="26"/>
        </w:rPr>
        <w:t xml:space="preserve">V. References</w:t>
      </w:r>
    </w:p>
    <w:p>
      <w:pPr>
        <w:pStyle w:val="ListParagraph"/>
        <w:numPr>
          <w:ilvl w:val="0"/>
          <w:numId w:val="2"/>
        </w:numPr>
        <w:spacing w:after="40" w:before="40"/>
      </w:pPr>
      <w:r>
        <w:rPr>
          <w:rFonts w:ascii="Arial" w:cs="Arial" w:eastAsia="Arial" w:hAnsi="Arial"/>
          <w:sz w:val="22"/>
          <w:szCs w:val="22"/>
        </w:rPr>
        <w:t xml:space="preserve">Nogueira Grossi, P. (2026). Contact-Geometric Theory of Generative Transitions + Seven Proofs of Tribonacci Constant. Zenodo. doi:10.5281/zenodo.20682934</w:t>
      </w:r>
    </w:p>
    <w:p>
      <w:pPr>
        <w:pStyle w:val="ListParagraph"/>
        <w:numPr>
          <w:ilvl w:val="0"/>
          <w:numId w:val="2"/>
        </w:numPr>
        <w:spacing w:after="40" w:before="40"/>
      </w:pPr>
      <w:r>
        <w:rPr>
          <w:rFonts w:ascii="Arial" w:cs="Arial" w:eastAsia="Arial" w:hAnsi="Arial"/>
          <w:sz w:val="22"/>
          <w:szCs w:val="22"/>
        </w:rPr>
        <w:t xml:space="preserve">Nogueira Grossi, P. (2026). Alternating Vanishing Theorem (machine-checked Lean 4). doi:10.5281/zenodo.20710023</w:t>
      </w:r>
    </w:p>
    <w:p>
      <w:pPr>
        <w:pStyle w:val="ListParagraph"/>
        <w:numPr>
          <w:ilvl w:val="0"/>
          <w:numId w:val="2"/>
        </w:numPr>
        <w:spacing w:after="40" w:before="40"/>
      </w:pPr>
      <w:r>
        <w:rPr>
          <w:rFonts w:ascii="Arial" w:cs="Arial" w:eastAsia="Arial" w:hAnsi="Arial"/>
          <w:sz w:val="22"/>
          <w:szCs w:val="22"/>
        </w:rPr>
        <w:t xml:space="preserve">Nogueira Grossi, P. (2026). RNA Riboswitches, NGS Amplification, Microtubule Curvature — Three-Domain Validation. doi:10.5281/zenodo.20559510</w:t>
      </w:r>
    </w:p>
    <w:p>
      <w:pPr>
        <w:pStyle w:val="ListParagraph"/>
        <w:numPr>
          <w:ilvl w:val="0"/>
          <w:numId w:val="2"/>
        </w:numPr>
        <w:spacing w:after="40" w:before="40"/>
      </w:pPr>
      <w:r>
        <w:rPr>
          <w:rFonts w:ascii="Arial" w:cs="Arial" w:eastAsia="Arial" w:hAnsi="Arial"/>
          <w:sz w:val="22"/>
          <w:szCs w:val="22"/>
        </w:rPr>
        <w:t xml:space="preserve">AXLE Formal Verification Engine. github.com/TOTOGT/AXLE (~970 theorems, 53 Lean 4 files, MIT license)</w:t>
      </w:r>
    </w:p>
    <w:p>
      <w:pPr>
        <w:pStyle w:val="ListParagraph"/>
        <w:numPr>
          <w:ilvl w:val="0"/>
          <w:numId w:val="2"/>
        </w:numPr>
        <w:spacing w:after="40" w:before="40"/>
      </w:pPr>
      <w:r>
        <w:rPr>
          <w:rFonts w:ascii="Arial" w:cs="Arial" w:eastAsia="Arial" w:hAnsi="Arial"/>
          <w:sz w:val="22"/>
          <w:szCs w:val="22"/>
        </w:rPr>
        <w:t xml:space="preserve">TRACK-TBI Functional Outcomes Study. JAMA Neurology 2021. PMC8261688</w:t>
      </w:r>
    </w:p>
    <w:p>
      <w:pPr>
        <w:pStyle w:val="ListParagraph"/>
        <w:numPr>
          <w:ilvl w:val="0"/>
          <w:numId w:val="2"/>
        </w:numPr>
        <w:spacing w:after="40" w:before="40"/>
      </w:pPr>
      <w:r>
        <w:rPr>
          <w:rFonts w:ascii="Arial" w:cs="Arial" w:eastAsia="Arial" w:hAnsi="Arial"/>
          <w:sz w:val="22"/>
          <w:szCs w:val="22"/>
        </w:rPr>
        <w:t xml:space="preserve">TBIMS Early Functional Recovery Trajectories. Brain Sciences 2026. PMC12838949</w:t>
      </w:r>
    </w:p>
    <w:p>
      <w:pPr>
        <w:pStyle w:val="ListParagraph"/>
        <w:numPr>
          <w:ilvl w:val="0"/>
          <w:numId w:val="2"/>
        </w:numPr>
        <w:spacing w:after="40" w:before="40"/>
      </w:pPr>
      <w:r>
        <w:rPr>
          <w:rFonts w:ascii="Arial" w:cs="Arial" w:eastAsia="Arial" w:hAnsi="Arial"/>
          <w:sz w:val="22"/>
          <w:szCs w:val="22"/>
        </w:rPr>
        <w:t xml:space="preserve">NSCISC/SCIMS Database. UAB Digital Commons. digitalcommons.library.uab.edu/datasets/137</w:t>
      </w:r>
    </w:p>
    <w:p>
      <w:pPr>
        <w:pStyle w:val="ListParagraph"/>
        <w:numPr>
          <w:ilvl w:val="0"/>
          <w:numId w:val="2"/>
        </w:numPr>
        <w:spacing w:after="40" w:before="40"/>
      </w:pPr>
      <w:r>
        <w:rPr>
          <w:rFonts w:ascii="Arial" w:cs="Arial" w:eastAsia="Arial" w:hAnsi="Arial"/>
          <w:sz w:val="22"/>
          <w:szCs w:val="22"/>
        </w:rPr>
        <w:t xml:space="preserve">Schaedel et al. (2015). Microtubules self-repair in response to mechanical stress. Nature Materials 14, 1156–1163</w:t>
      </w:r>
    </w:p>
    <w:p>
      <w:pPr>
        <w:spacing w:after="80" w:before="80"/>
        <w:jc w:val="center"/>
      </w:pPr>
      <w:r>
        <w:rPr>
          <w:rFonts w:ascii="Arial" w:cs="Arial" w:eastAsia="Arial" w:hAnsi="Arial"/>
          <w:sz w:val="22"/>
          <w:szCs w:val="22"/>
        </w:rPr>
        <w:t xml:space="preserve">G6 LLC · Pablo Nogueira Grossi · g6llc@proton.me · +1 646 342 3751 · ORCID 0009-0000-6496-2186 · Newark, NJ 07104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2026-06-22T16:45:57.609Z</dcterms:created>
  <dcterms:modified xsi:type="dcterms:W3CDTF">2026-06-22T16:45:57.617Z</dcterms:modified>
</cp:coreProperties>
</file>

<file path=docProps/custom.xml><?xml version="1.0" encoding="utf-8"?>
<Properties xmlns="http://schemas.openxmlformats.org/officeDocument/2006/custom-properties" xmlns:vt="http://schemas.openxmlformats.org/officeDocument/2006/docPropsVTypes"/>
</file>