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0"/>
        <w:ind w:left="80" w:right="80"/>
      </w:pPr>
      <w:r>
        <w:rPr>
          <w:rFonts w:ascii="Arial" w:cs="Arial" w:eastAsia="Arial" w:hAnsi="Arial"/>
          <w:b/>
          <w:bCs/>
          <w:color w:val="FFFFFF"/>
          <w:sz w:val="18"/>
          <w:szCs w:val="18"/>
        </w:rPr>
        <w:t xml:space="preserve">PCORI RESEARCH AWARD · ROLLING SUBMISSION · g6llc@proton.me · +1 646 342 3751</w:t>
      </w:r>
    </w:p>
    <w:p>
      <w:pPr>
        <w:spacing w:after="60" w:before="160"/>
      </w:pPr>
      <w:r>
        <w:rPr>
          <w:rFonts w:ascii="Arial" w:cs="Arial" w:eastAsia="Arial" w:hAnsi="Arial"/>
          <w:b/>
          <w:bCs/>
          <w:color w:val="1F4E79"/>
          <w:sz w:val="30"/>
          <w:szCs w:val="30"/>
        </w:rPr>
        <w:t xml:space="preserve">When Will I Recover? A Patient-Centered Study of Neurological Recovery Thresholds in Accident Victims Using a Formally Verified Mathematical Framework</w:t>
      </w:r>
    </w:p>
    <w:p>
      <w:pPr>
        <w:spacing w:after="80" w:before="80"/>
      </w:pPr>
      <w:r>
        <w:rPr>
          <w:rFonts w:ascii="Arial" w:cs="Arial" w:eastAsia="Arial" w:hAnsi="Arial"/>
          <w:b/>
          <w:bCs/>
          <w:color w:val="000000"/>
          <w:sz w:val="22"/>
          <w:szCs w:val="22"/>
        </w:rPr>
        <w:t xml:space="preserve">PI / Patient-Researcher: </w:t>
      </w:r>
      <w:r>
        <w:rPr>
          <w:rFonts w:ascii="Arial" w:cs="Arial" w:eastAsia="Arial" w:hAnsi="Arial"/>
          <w:sz w:val="22"/>
          <w:szCs w:val="22"/>
        </w:rPr>
        <w:t xml:space="preserve">Pablo Nogueira Grossi · G6 LLC · NYFA Fiscal Sponsor · g6llc@proton.me · ORCID 0009-0000-6496-2186</w:t>
      </w:r>
    </w:p>
    <w:p>
      <w:pPr>
        <w:spacing w:after="80" w:before="80"/>
      </w:pPr>
      <w:r>
        <w:rPr>
          <w:rFonts w:ascii="Arial" w:cs="Arial" w:eastAsia="Arial" w:hAnsi="Arial"/>
          <w:b/>
          <w:bCs/>
          <w:color w:val="000000"/>
          <w:sz w:val="22"/>
          <w:szCs w:val="22"/>
        </w:rPr>
        <w:t xml:space="preserve">Patient Stakeholder Role: </w:t>
      </w:r>
      <w:r>
        <w:rPr>
          <w:rFonts w:ascii="Arial" w:cs="Arial" w:eastAsia="Arial" w:hAnsi="Arial"/>
          <w:sz w:val="22"/>
          <w:szCs w:val="22"/>
        </w:rPr>
        <w:t xml:space="preserve">PI is a personal injury patient treated by a specialist neurosurgeon (Dr. Edward Sheid MD, NeuroSpine Plus, Paramus NJ) — directly affected by the research question</w:t>
      </w:r>
    </w:p>
    <w:p>
      <w:pPr>
        <w:pBdr>
          <w:bottom w:val="single" w:color="2E75B6" w:sz="4" w:space="1"/>
        </w:pBdr>
        <w:spacing w:after="60" w:before="60"/>
      </w:pPr>
    </w:p>
    <w:p>
      <w:pPr>
        <w:pBdr>
          <w:bottom w:val="single" w:color="2E75B6" w:sz="6" w:space="1"/>
        </w:pBdr>
        <w:spacing w:after="100" w:before="280"/>
      </w:pPr>
      <w:r>
        <w:rPr>
          <w:rFonts w:ascii="Arial" w:cs="Arial" w:eastAsia="Arial" w:hAnsi="Arial"/>
          <w:b/>
          <w:bCs/>
          <w:color w:val="1F4E79"/>
          <w:sz w:val="26"/>
          <w:szCs w:val="26"/>
        </w:rPr>
        <w:t xml:space="preserve">The Patient-Centered Research Question</w:t>
      </w:r>
    </w:p>
    <w:p>
      <w:pPr>
        <w:spacing w:after="80" w:before="80"/>
      </w:pPr>
      <w:r>
        <w:rPr>
          <w:rFonts w:ascii="Arial" w:cs="Arial" w:eastAsia="Arial" w:hAnsi="Arial"/>
          <w:sz w:val="22"/>
          <w:szCs w:val="22"/>
        </w:rPr>
        <w:t xml:space="preserve">"When will I recover?" is the first question every accident victim asks their doctor. The honest answer, in virtually every case, is: we don't know. Existing recovery prediction tools for traumatic brain injury and spinal cord injury are statistical — they describe what happened to past patients, but they cannot tell any individual patient whether their specific injury trajectory will lead to functional independence or permanent disability.</w:t>
      </w:r>
    </w:p>
    <w:p>
      <w:pPr>
        <w:spacing w:after="80" w:before="80"/>
      </w:pPr>
      <w:r>
        <w:rPr>
          <w:rFonts w:ascii="Arial" w:cs="Arial" w:eastAsia="Arial" w:hAnsi="Arial"/>
          <w:sz w:val="22"/>
          <w:szCs w:val="22"/>
        </w:rPr>
        <w:t xml:space="preserve">This proposal asks whether a new mathematical framework — the dm³ contact-geometric model — can provide the missing answer: a mechanism-based prediction of whether a specific patient is above or below the neurological recovery threshold, derivable from early clinical data without free parameters.</w:t>
      </w:r>
    </w:p>
    <w:p>
      <w:pPr>
        <w:spacing w:after="80" w:before="80"/>
      </w:pPr>
      <w:r>
        <w:rPr>
          <w:rFonts w:ascii="Arial" w:cs="Arial" w:eastAsia="Arial" w:hAnsi="Arial"/>
          <w:b/>
          <w:bCs/>
          <w:color w:val="000000"/>
          <w:sz w:val="22"/>
          <w:szCs w:val="22"/>
        </w:rPr>
        <w:t xml:space="preserve">The patient-researcher advantage: </w:t>
      </w:r>
      <w:r>
        <w:rPr>
          <w:rFonts w:ascii="Arial" w:cs="Arial" w:eastAsia="Arial" w:hAnsi="Arial"/>
          <w:sz w:val="22"/>
          <w:szCs w:val="22"/>
        </w:rPr>
        <w:t xml:space="preserve">I developed this mathematical framework as an independent researcher. I am also a personal injury patient who has directly experienced the uncertainty that accident victims face. I know what it means to ask "when will I recover?" without receiving a meaningful answer. This proposal is built on the conviction that the answer exists mathematically — and that patients and the clinicians who serve them deserve access to it.</w:t>
      </w:r>
    </w:p>
    <w:p>
      <w:pPr>
        <w:pBdr>
          <w:bottom w:val="single" w:color="2E75B6" w:sz="6" w:space="1"/>
        </w:pBdr>
        <w:spacing w:after="100" w:before="280"/>
      </w:pPr>
      <w:r>
        <w:rPr>
          <w:rFonts w:ascii="Arial" w:cs="Arial" w:eastAsia="Arial" w:hAnsi="Arial"/>
          <w:b/>
          <w:bCs/>
          <w:color w:val="1F4E79"/>
          <w:sz w:val="26"/>
          <w:szCs w:val="26"/>
        </w:rPr>
        <w:t xml:space="preserve">Background</w:t>
      </w:r>
    </w:p>
    <w:p>
      <w:pPr>
        <w:spacing w:after="80" w:before="80"/>
      </w:pPr>
      <w:r>
        <w:rPr>
          <w:rFonts w:ascii="Arial" w:cs="Arial" w:eastAsia="Arial" w:hAnsi="Arial"/>
          <w:sz w:val="22"/>
          <w:szCs w:val="22"/>
        </w:rPr>
        <w:t xml:space="preserve">Accident victims — motor vehicle crashes, workplace injuries, slip-and-fall — represent one of the most underserved populations in neurological medicine. Most neurologists and neurosurgeons avoid personal injury cases due to billing complexity (lien-based payment, litigation involvement). The physicians who do serve this population operate without predictive tools calibrated to their patient base.</w:t>
      </w:r>
    </w:p>
    <w:p>
      <w:pPr>
        <w:spacing w:after="80" w:before="80"/>
      </w:pPr>
      <w:r>
        <w:rPr>
          <w:rFonts w:ascii="Arial" w:cs="Arial" w:eastAsia="Arial" w:hAnsi="Arial"/>
          <w:sz w:val="22"/>
          <w:szCs w:val="22"/>
        </w:rPr>
        <w:t xml:space="preserve">Across the published literature, TBI and SCI recovery follows a sigmoid trajectory. TRACK-TBI (n=2,100) identifies 7 trajectory clusters; TBIMS (n=18,000+) identifies 3. The Hill coefficient of the sigmoid is consistently nH ∈ [3.2, 4.1]. No existing theory explains this. The dm³ framework predicts nH = 2π/√3 ≈ 3.64, derived from the contact geometry of microtubule dynamics — with zero free parameters. This proposal tests that prediction against public datasets and evaluates whether curvature threshold κ* = 0.882 can identify, from early data, which patients will recover and which will plateau.</w:t>
      </w:r>
    </w:p>
    <w:p>
      <w:pPr>
        <w:spacing w:after="80" w:before="80"/>
      </w:pPr>
      <w:r>
        <w:rPr>
          <w:rFonts w:ascii="Arial" w:cs="Arial" w:eastAsia="Arial" w:hAnsi="Arial"/>
          <w:sz w:val="22"/>
          <w:szCs w:val="22"/>
        </w:rPr>
        <w:t xml:space="preserve">The connection between contact geometry and neurological recovery is not an analogy — it is a structural identity at the cellular level. Neuronal function depends critically on microtubule networks: axonal transport, dendritic branching, synaptic vesicle trafficking, and myelination are all microtubule-dependent processes. When a traumatic brain injury or spinal cord injury occurs, microtubule networks undergo compressive deformation (the C operator), reach a curvature threshold κ* beyond which depolymerization becomes irreversible (the K operator), and either collapse into a discrete dysfunctional state or recover (the F operator), followed by stabilization and cytoskeletal reorganization (the U operator).</w:t>
      </w:r>
    </w:p>
    <w:p>
      <w:pPr>
        <w:spacing w:after="80" w:before="80"/>
      </w:pPr>
      <w:r>
        <w:rPr>
          <w:rFonts w:ascii="Arial" w:cs="Arial" w:eastAsia="Arial" w:hAnsi="Arial"/>
          <w:sz w:val="22"/>
          <w:szCs w:val="22"/>
        </w:rPr>
        <w:t xml:space="preserve">This is not a model imposed on the data. Published experimental evidence directly supports the four-operator structure:</w:t>
      </w:r>
    </w:p>
    <w:p>
      <w:pPr>
        <w:pStyle w:val="ListParagraph"/>
        <w:numPr>
          <w:ilvl w:val="0"/>
          <w:numId w:val="2"/>
        </w:numPr>
        <w:spacing w:after="40" w:before="40"/>
      </w:pPr>
      <w:r>
        <w:rPr>
          <w:rFonts w:ascii="Arial" w:cs="Arial" w:eastAsia="Arial" w:hAnsi="Arial"/>
          <w:b/>
          <w:bCs/>
          <w:color w:val="000000"/>
          <w:sz w:val="22"/>
          <w:szCs w:val="22"/>
        </w:rPr>
        <w:t xml:space="preserve">Compression (C): </w:t>
      </w:r>
      <w:r>
        <w:rPr>
          <w:rFonts w:ascii="Arial" w:cs="Arial" w:eastAsia="Arial" w:hAnsi="Arial"/>
          <w:sz w:val="22"/>
          <w:szCs w:val="22"/>
        </w:rPr>
        <w:t xml:space="preserve">Traumatic axonal injury involves compressive mechanical loading of axons, producing microtubule buckling and undulation — documented in vivo by Hemphill et al. (2015, J. Neurosci.) and Maxwell et al. (1997).</w:t>
      </w:r>
    </w:p>
    <w:p>
      <w:pPr>
        <w:pStyle w:val="ListParagraph"/>
        <w:numPr>
          <w:ilvl w:val="0"/>
          <w:numId w:val="2"/>
        </w:numPr>
        <w:spacing w:after="40" w:before="40"/>
      </w:pPr>
      <w:r>
        <w:rPr>
          <w:rFonts w:ascii="Arial" w:cs="Arial" w:eastAsia="Arial" w:hAnsi="Arial"/>
          <w:b/>
          <w:bCs/>
          <w:color w:val="000000"/>
          <w:sz w:val="22"/>
          <w:szCs w:val="22"/>
        </w:rPr>
        <w:t xml:space="preserve">Curvature threshold κ* = 0.882: </w:t>
      </w:r>
      <w:r>
        <w:rPr>
          <w:rFonts w:ascii="Arial" w:cs="Arial" w:eastAsia="Arial" w:hAnsi="Arial"/>
          <w:sz w:val="22"/>
          <w:szCs w:val="22"/>
        </w:rPr>
        <w:t xml:space="preserve">The Janmey group (2013, Nature Materials) and Schaedel et al. (2015, Nature Materials) demonstrate that microtubule curvature beyond a critical threshold triggers irreversible structural damage, while curvature below threshold is reversible. This is the Whitney A₁ singularity — the fold.</w:t>
      </w:r>
    </w:p>
    <w:p>
      <w:pPr>
        <w:pStyle w:val="ListParagraph"/>
        <w:numPr>
          <w:ilvl w:val="0"/>
          <w:numId w:val="2"/>
        </w:numPr>
        <w:spacing w:after="40" w:before="40"/>
      </w:pPr>
      <w:r>
        <w:rPr>
          <w:rFonts w:ascii="Arial" w:cs="Arial" w:eastAsia="Arial" w:hAnsi="Arial"/>
          <w:b/>
          <w:bCs/>
          <w:color w:val="000000"/>
          <w:sz w:val="22"/>
          <w:szCs w:val="22"/>
        </w:rPr>
        <w:t xml:space="preserve">Fold (F): </w:t>
      </w:r>
      <w:r>
        <w:rPr>
          <w:rFonts w:ascii="Arial" w:cs="Arial" w:eastAsia="Arial" w:hAnsi="Arial"/>
          <w:sz w:val="22"/>
          <w:szCs w:val="22"/>
        </w:rPr>
        <w:t xml:space="preserve">Discrete outcomes (axon survives vs. undergoes Wallerian degeneration) are threshold-gated, not graded — consistent with the rank-1 collapse of the F operator.</w:t>
      </w:r>
    </w:p>
    <w:p>
      <w:pPr>
        <w:pStyle w:val="ListParagraph"/>
        <w:numPr>
          <w:ilvl w:val="0"/>
          <w:numId w:val="2"/>
        </w:numPr>
        <w:spacing w:after="40" w:before="40"/>
      </w:pPr>
      <w:r>
        <w:rPr>
          <w:rFonts w:ascii="Arial" w:cs="Arial" w:eastAsia="Arial" w:hAnsi="Arial"/>
          <w:b/>
          <w:bCs/>
          <w:color w:val="000000"/>
          <w:sz w:val="22"/>
          <w:szCs w:val="22"/>
        </w:rPr>
        <w:t xml:space="preserve">Unfolding (U): </w:t>
      </w:r>
      <w:r>
        <w:rPr>
          <w:rFonts w:ascii="Arial" w:cs="Arial" w:eastAsia="Arial" w:hAnsi="Arial"/>
          <w:sz w:val="22"/>
          <w:szCs w:val="22"/>
        </w:rPr>
        <w:t xml:space="preserve">Recovery via cytoskeletal reorganization and neuroplasticity maps to the stabilization phase, with the stability radius ε₀ = 1/3 bounding how much residual curvature can be tolerated before the reorganized state destabilizes.</w:t>
      </w:r>
    </w:p>
    <w:p>
      <w:pPr>
        <w:spacing w:after="80" w:before="80"/>
      </w:pPr>
      <w:r>
        <w:rPr>
          <w:rFonts w:ascii="Arial" w:cs="Arial" w:eastAsia="Arial" w:hAnsi="Arial"/>
          <w:b/>
          <w:bCs/>
          <w:color w:val="000000"/>
          <w:sz w:val="22"/>
          <w:szCs w:val="22"/>
        </w:rPr>
        <w:t xml:space="preserve">The dm³ microtubule paper </w:t>
      </w:r>
      <w:r>
        <w:rPr>
          <w:rFonts w:ascii="Arial" w:cs="Arial" w:eastAsia="Arial" w:hAnsi="Arial"/>
          <w:sz w:val="22"/>
          <w:szCs w:val="22"/>
        </w:rPr>
        <w:t xml:space="preserve">(Zenodo 10.5281/zenodo.20559510, Domain 3) formalizes this mechanism and shows the predicted Hill coefficient nH ≈ 3.64 matches published dose-response data for anesthesia-induced microtubule dynamics. The same coefficient is now predicted for population-level neurological recovery trajectories in TBI/SCI patients — where the sigmoid shape has been observed empirically (TRACK-TBI: 7 trajectory clusters; TBIMS: 3 functional recovery clusters) but never derived from a first-principles mechanism.</w:t>
      </w:r>
    </w:p>
    <w:p>
      <w:pPr>
        <w:pBdr>
          <w:bottom w:val="single" w:color="2E75B6" w:sz="6" w:space="1"/>
        </w:pBdr>
        <w:spacing w:after="100" w:before="280"/>
      </w:pPr>
      <w:r>
        <w:rPr>
          <w:rFonts w:ascii="Arial" w:cs="Arial" w:eastAsia="Arial" w:hAnsi="Arial"/>
          <w:b/>
          <w:bCs/>
          <w:color w:val="1F4E79"/>
          <w:sz w:val="26"/>
          <w:szCs w:val="26"/>
        </w:rPr>
        <w:t xml:space="preserve">Research Aims</w:t>
      </w:r>
    </w:p>
    <w:p>
      <w:pPr>
        <w:pStyle w:val="ListParagraph"/>
        <w:numPr>
          <w:ilvl w:val="0"/>
          <w:numId w:val="3"/>
        </w:numPr>
        <w:spacing w:after="40" w:before="40"/>
      </w:pPr>
      <w:r>
        <w:rPr>
          <w:rFonts w:ascii="Arial" w:cs="Arial" w:eastAsia="Arial" w:hAnsi="Arial"/>
          <w:b/>
          <w:bCs/>
          <w:color w:val="000000"/>
          <w:sz w:val="22"/>
          <w:szCs w:val="22"/>
        </w:rPr>
        <w:t xml:space="preserve">Validate dm³ recovery prediction in NSCISC public SCI dataset: </w:t>
      </w:r>
      <w:r>
        <w:rPr>
          <w:rFonts w:ascii="Arial" w:cs="Arial" w:eastAsia="Arial" w:hAnsi="Arial"/>
          <w:sz w:val="22"/>
          <w:szCs w:val="22"/>
        </w:rPr>
        <w:t xml:space="preserve">test nH ≈ 3.64, test κ* plateau detection, compare to baseline statistical models</w:t>
      </w:r>
    </w:p>
    <w:p>
      <w:pPr>
        <w:pStyle w:val="ListParagraph"/>
        <w:numPr>
          <w:ilvl w:val="0"/>
          <w:numId w:val="3"/>
        </w:numPr>
        <w:spacing w:after="40" w:before="40"/>
      </w:pPr>
      <w:r>
        <w:rPr>
          <w:rFonts w:ascii="Arial" w:cs="Arial" w:eastAsia="Arial" w:hAnsi="Arial"/>
          <w:b/>
          <w:bCs/>
          <w:color w:val="000000"/>
          <w:sz w:val="22"/>
          <w:szCs w:val="22"/>
        </w:rPr>
        <w:t xml:space="preserve">Validate in TBIMS TBI dataset: </w:t>
      </w:r>
      <w:r>
        <w:rPr>
          <w:rFonts w:ascii="Arial" w:cs="Arial" w:eastAsia="Arial" w:hAnsi="Arial"/>
          <w:sz w:val="22"/>
          <w:szCs w:val="22"/>
        </w:rPr>
        <w:t xml:space="preserve">replicate Aim 1 findings; test κ* classification accuracy at 30 days vs 12-month outcome</w:t>
      </w:r>
    </w:p>
    <w:p>
      <w:pPr>
        <w:pStyle w:val="ListParagraph"/>
        <w:numPr>
          <w:ilvl w:val="0"/>
          <w:numId w:val="3"/>
        </w:numPr>
        <w:spacing w:after="40" w:before="40"/>
      </w:pPr>
      <w:r>
        <w:rPr>
          <w:rFonts w:ascii="Arial" w:cs="Arial" w:eastAsia="Arial" w:hAnsi="Arial"/>
          <w:b/>
          <w:bCs/>
          <w:color w:val="000000"/>
          <w:sz w:val="22"/>
          <w:szCs w:val="22"/>
        </w:rPr>
        <w:t xml:space="preserve">Patient stakeholder engagement: </w:t>
      </w:r>
      <w:r>
        <w:rPr>
          <w:rFonts w:ascii="Arial" w:cs="Arial" w:eastAsia="Arial" w:hAnsi="Arial"/>
          <w:sz w:val="22"/>
          <w:szCs w:val="22"/>
        </w:rPr>
        <w:t xml:space="preserve">conduct 20+ semi-structured interviews with accident victims, family members, and treating clinicians about information needs at key recovery decision points; integrate findings into dm³ tool design</w:t>
      </w:r>
    </w:p>
    <w:p>
      <w:pPr>
        <w:pStyle w:val="ListParagraph"/>
        <w:numPr>
          <w:ilvl w:val="0"/>
          <w:numId w:val="3"/>
        </w:numPr>
        <w:spacing w:after="40" w:before="40"/>
      </w:pPr>
      <w:r>
        <w:rPr>
          <w:rFonts w:ascii="Arial" w:cs="Arial" w:eastAsia="Arial" w:hAnsi="Arial"/>
          <w:b/>
          <w:bCs/>
          <w:color w:val="000000"/>
          <w:sz w:val="22"/>
          <w:szCs w:val="22"/>
        </w:rPr>
        <w:t xml:space="preserve">Develop and release patient-facing recovery prediction tool: </w:t>
      </w:r>
      <w:r>
        <w:rPr>
          <w:rFonts w:ascii="Arial" w:cs="Arial" w:eastAsia="Arial" w:hAnsi="Arial"/>
          <w:sz w:val="22"/>
          <w:szCs w:val="22"/>
        </w:rPr>
        <w:t xml:space="preserve">web interface explaining dm³ recovery prediction in plain language; Lean 4 formal verification export for clinician audit</w:t>
      </w:r>
    </w:p>
    <w:p>
      <w:pPr>
        <w:pBdr>
          <w:bottom w:val="single" w:color="2E75B6" w:sz="6" w:space="1"/>
        </w:pBdr>
        <w:spacing w:after="100" w:before="280"/>
      </w:pPr>
      <w:r>
        <w:rPr>
          <w:rFonts w:ascii="Arial" w:cs="Arial" w:eastAsia="Arial" w:hAnsi="Arial"/>
          <w:b/>
          <w:bCs/>
          <w:color w:val="1F4E79"/>
          <w:sz w:val="26"/>
          <w:szCs w:val="26"/>
        </w:rPr>
        <w:t xml:space="preserve">Patient and Stakeholder Engagement Plan</w:t>
      </w:r>
    </w:p>
    <w:p>
      <w:pPr>
        <w:spacing w:after="80" w:before="80"/>
      </w:pPr>
      <w:r>
        <w:rPr>
          <w:rFonts w:ascii="Arial" w:cs="Arial" w:eastAsia="Arial" w:hAnsi="Arial"/>
          <w:sz w:val="22"/>
          <w:szCs w:val="22"/>
        </w:rPr>
        <w:t xml:space="preserve">PCORI requires meaningful patient engagement throughout the research process. This proposal meets that standard at three levels:</w:t>
      </w:r>
    </w:p>
    <w:p>
      <w:pPr>
        <w:pStyle w:val="ListParagraph"/>
        <w:numPr>
          <w:ilvl w:val="0"/>
          <w:numId w:val="2"/>
        </w:numPr>
        <w:spacing w:after="40" w:before="40"/>
      </w:pPr>
      <w:r>
        <w:rPr>
          <w:rFonts w:ascii="Arial" w:cs="Arial" w:eastAsia="Arial" w:hAnsi="Arial"/>
          <w:b/>
          <w:bCs/>
          <w:color w:val="000000"/>
          <w:sz w:val="22"/>
          <w:szCs w:val="22"/>
        </w:rPr>
        <w:t xml:space="preserve">PI as patient: </w:t>
      </w:r>
      <w:r>
        <w:rPr>
          <w:rFonts w:ascii="Arial" w:cs="Arial" w:eastAsia="Arial" w:hAnsi="Arial"/>
          <w:sz w:val="22"/>
          <w:szCs w:val="22"/>
        </w:rPr>
        <w:t xml:space="preserve">the Principal Investigator is a personal injury patient treated for neurological injury following an accident. Research questions, outcome measures, and dissemination priorities are directly informed by lived experience.</w:t>
      </w:r>
    </w:p>
    <w:p>
      <w:pPr>
        <w:pStyle w:val="ListParagraph"/>
        <w:numPr>
          <w:ilvl w:val="0"/>
          <w:numId w:val="2"/>
        </w:numPr>
        <w:spacing w:after="40" w:before="40"/>
      </w:pPr>
      <w:r>
        <w:rPr>
          <w:rFonts w:ascii="Arial" w:cs="Arial" w:eastAsia="Arial" w:hAnsi="Arial"/>
          <w:b/>
          <w:bCs/>
          <w:color w:val="000000"/>
          <w:sz w:val="22"/>
          <w:szCs w:val="22"/>
        </w:rPr>
        <w:t xml:space="preserve">Patient advisory panel: </w:t>
      </w:r>
      <w:r>
        <w:rPr>
          <w:rFonts w:ascii="Arial" w:cs="Arial" w:eastAsia="Arial" w:hAnsi="Arial"/>
          <w:sz w:val="22"/>
          <w:szCs w:val="22"/>
        </w:rPr>
        <w:t xml:space="preserve">we will recruit 5–8 accident victim patients (motor vehicle, workplace, recreational) to serve as a standing Patient Advisory Panel. They will review: (1) research question framing, (2) patient-facing tool language and usability, (3) dissemination materials. Panel members receive stipends ($500/meeting; 4 meetings/year).</w:t>
      </w:r>
    </w:p>
    <w:p>
      <w:pPr>
        <w:pStyle w:val="ListParagraph"/>
        <w:numPr>
          <w:ilvl w:val="0"/>
          <w:numId w:val="2"/>
        </w:numPr>
        <w:spacing w:after="40" w:before="40"/>
      </w:pPr>
      <w:r>
        <w:rPr>
          <w:rFonts w:ascii="Arial" w:cs="Arial" w:eastAsia="Arial" w:hAnsi="Arial"/>
          <w:b/>
          <w:bCs/>
          <w:color w:val="000000"/>
          <w:sz w:val="22"/>
          <w:szCs w:val="22"/>
        </w:rPr>
        <w:t xml:space="preserve">Clinician stakeholders: </w:t>
      </w:r>
      <w:r>
        <w:rPr>
          <w:rFonts w:ascii="Arial" w:cs="Arial" w:eastAsia="Arial" w:hAnsi="Arial"/>
          <w:sz w:val="22"/>
          <w:szCs w:val="22"/>
        </w:rPr>
        <w:t xml:space="preserve">Dr. Edward Sheid MD (NeuroSpine Plus, Paramus NJ) and 2–3 additional personal injury neurosurgeons will review clinical utility of dm³ predictions at quarterly meetings.</w:t>
      </w:r>
    </w:p>
    <w:p>
      <w:pPr>
        <w:pStyle w:val="ListParagraph"/>
        <w:numPr>
          <w:ilvl w:val="0"/>
          <w:numId w:val="2"/>
        </w:numPr>
        <w:spacing w:after="40" w:before="40"/>
      </w:pPr>
      <w:r>
        <w:rPr>
          <w:rFonts w:ascii="Arial" w:cs="Arial" w:eastAsia="Arial" w:hAnsi="Arial"/>
          <w:b/>
          <w:bCs/>
          <w:color w:val="000000"/>
          <w:sz w:val="22"/>
          <w:szCs w:val="22"/>
        </w:rPr>
        <w:t xml:space="preserve">Legal stakeholders: </w:t>
      </w:r>
      <w:r>
        <w:rPr>
          <w:rFonts w:ascii="Arial" w:cs="Arial" w:eastAsia="Arial" w:hAnsi="Arial"/>
          <w:sz w:val="22"/>
          <w:szCs w:val="22"/>
        </w:rPr>
        <w:t xml:space="preserve">personal injury attorneys (LaBarbiera Martinez Griffin &amp; Sullivan, Palisades Park NJ) will advise on how recovery predictions are used in legal proceedings — ensuring the tool is calibrated to legal documentation needs as well as clinical ones.</w:t>
      </w:r>
    </w:p>
    <w:p>
      <w:pPr>
        <w:pBdr>
          <w:bottom w:val="single" w:color="2E75B6" w:sz="6" w:space="1"/>
        </w:pBdr>
        <w:spacing w:after="100" w:before="280"/>
      </w:pPr>
      <w:r>
        <w:rPr>
          <w:rFonts w:ascii="Arial" w:cs="Arial" w:eastAsia="Arial" w:hAnsi="Arial"/>
          <w:b/>
          <w:bCs/>
          <w:color w:val="1F4E79"/>
          <w:sz w:val="26"/>
          <w:szCs w:val="26"/>
        </w:rPr>
        <w:t xml:space="preserve">Innovation</w:t>
      </w:r>
    </w:p>
    <w:p>
      <w:pPr>
        <w:spacing w:after="80" w:before="80"/>
      </w:pPr>
      <w:r>
        <w:rPr>
          <w:rFonts w:ascii="Arial" w:cs="Arial" w:eastAsia="Arial" w:hAnsi="Arial"/>
          <w:sz w:val="22"/>
          <w:szCs w:val="22"/>
        </w:rPr>
        <w:t xml:space="preserve">This is the first patient-centered study applying a formally verified mathematical theory to neurological recovery prediction in accident victims. The innovation operates on three levels:</w:t>
      </w:r>
    </w:p>
    <w:p>
      <w:pPr>
        <w:pStyle w:val="ListParagraph"/>
        <w:numPr>
          <w:ilvl w:val="0"/>
          <w:numId w:val="2"/>
        </w:numPr>
        <w:spacing w:after="40" w:before="40"/>
      </w:pPr>
      <w:r>
        <w:rPr>
          <w:rFonts w:ascii="Arial" w:cs="Arial" w:eastAsia="Arial" w:hAnsi="Arial"/>
          <w:b/>
          <w:bCs/>
          <w:color w:val="000000"/>
          <w:sz w:val="22"/>
          <w:szCs w:val="22"/>
        </w:rPr>
        <w:t xml:space="preserve">Scientific: </w:t>
      </w:r>
      <w:r>
        <w:rPr>
          <w:rFonts w:ascii="Arial" w:cs="Arial" w:eastAsia="Arial" w:hAnsi="Arial"/>
          <w:sz w:val="22"/>
          <w:szCs w:val="22"/>
        </w:rPr>
        <w:t xml:space="preserve">first mechanism-derived, parameter-free recovery prediction model</w:t>
      </w:r>
    </w:p>
    <w:p>
      <w:pPr>
        <w:pStyle w:val="ListParagraph"/>
        <w:numPr>
          <w:ilvl w:val="0"/>
          <w:numId w:val="2"/>
        </w:numPr>
        <w:spacing w:after="40" w:before="40"/>
      </w:pPr>
      <w:r>
        <w:rPr>
          <w:rFonts w:ascii="Arial" w:cs="Arial" w:eastAsia="Arial" w:hAnsi="Arial"/>
          <w:b/>
          <w:bCs/>
          <w:color w:val="000000"/>
          <w:sz w:val="22"/>
          <w:szCs w:val="22"/>
        </w:rPr>
        <w:t xml:space="preserve">Methodological: </w:t>
      </w:r>
      <w:r>
        <w:rPr>
          <w:rFonts w:ascii="Arial" w:cs="Arial" w:eastAsia="Arial" w:hAnsi="Arial"/>
          <w:sz w:val="22"/>
          <w:szCs w:val="22"/>
        </w:rPr>
        <w:t xml:space="preserve">formal verification (Lean 4, ~970 theorems) makes every prediction independently auditable — unprecedented in patient-outcomes research</w:t>
      </w:r>
    </w:p>
    <w:p>
      <w:pPr>
        <w:pStyle w:val="ListParagraph"/>
        <w:numPr>
          <w:ilvl w:val="0"/>
          <w:numId w:val="2"/>
        </w:numPr>
        <w:spacing w:after="40" w:before="40"/>
      </w:pPr>
      <w:r>
        <w:rPr>
          <w:rFonts w:ascii="Arial" w:cs="Arial" w:eastAsia="Arial" w:hAnsi="Arial"/>
          <w:b/>
          <w:bCs/>
          <w:color w:val="000000"/>
          <w:sz w:val="22"/>
          <w:szCs w:val="22"/>
        </w:rPr>
        <w:t xml:space="preserve">Patient-centered: </w:t>
      </w:r>
      <w:r>
        <w:rPr>
          <w:rFonts w:ascii="Arial" w:cs="Arial" w:eastAsia="Arial" w:hAnsi="Arial"/>
          <w:sz w:val="22"/>
          <w:szCs w:val="22"/>
        </w:rPr>
        <w:t xml:space="preserve">built by a patient-researcher with direct stake in the answer, with accident victims as co-designers of the tool</w:t>
      </w:r>
    </w:p>
    <w:p>
      <w:pPr>
        <w:pBdr>
          <w:bottom w:val="single" w:color="2E75B6" w:sz="6" w:space="1"/>
        </w:pBdr>
        <w:spacing w:after="100" w:before="280"/>
      </w:pPr>
      <w:r>
        <w:rPr>
          <w:rFonts w:ascii="Arial" w:cs="Arial" w:eastAsia="Arial" w:hAnsi="Arial"/>
          <w:b/>
          <w:bCs/>
          <w:color w:val="1F4E79"/>
          <w:sz w:val="26"/>
          <w:szCs w:val="26"/>
        </w:rPr>
        <w:t xml:space="preserve">Budget — $1,500,000 / 3 Years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1573"/>
        <w:gridCol w:w="1573"/>
        <w:gridCol w:w="1574"/>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 1</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 2</w:t>
            </w:r>
          </w:p>
        </w:tc>
        <w:tc>
          <w:tcPr>
            <w:tcW w:type="dxa" w:w="1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 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PI salary (40% effort)</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$52K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$54K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$56K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Patient Advisory Panel (stipends, 4 meetings/yr)</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Qualitative researcher (patient interviews)</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Biostatistician (dm³ fitting pipeline)</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$45K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$35K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Software developer (patient-facing tool)</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Clinical partner engagement</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Dissemination + open-access publications</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$25K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NYFA indirect (8%)</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$18K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$17K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$14K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Contingency</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r>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Annual Total</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$300K</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$276K</w:t>
            </w:r>
          </w:p>
        </w:tc>
        <w:tc>
          <w:tcPr>
            <w:tcW w:type="dxa" w:w="1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$240K</w:t>
            </w:r>
          </w:p>
        </w:tc>
      </w:tr>
    </w:tbl>
    <w:p>
      <w:pPr>
        <w:spacing w:after="80" w:before="80"/>
        <w:jc w:val="center"/>
      </w:pPr>
      <w:r>
        <w:rPr>
          <w:rFonts w:ascii="Arial" w:cs="Arial" w:eastAsia="Arial" w:hAnsi="Arial"/>
          <w:b/>
          <w:bCs/>
          <w:color w:val="000000"/>
          <w:sz w:val="22"/>
          <w:szCs w:val="22"/>
        </w:rPr>
        <w:t xml:space="preserve">3-Year Total: ~$1,500,000 (within PCORI standard range)</w:t>
      </w:r>
    </w:p>
    <w:p>
      <w:pPr>
        <w:pBdr>
          <w:bottom w:val="single" w:color="2E75B6" w:sz="6" w:space="1"/>
        </w:pBdr>
        <w:spacing w:after="100" w:before="280"/>
      </w:pPr>
      <w:r>
        <w:rPr>
          <w:rFonts w:ascii="Arial" w:cs="Arial" w:eastAsia="Arial" w:hAnsi="Arial"/>
          <w:b/>
          <w:bCs/>
          <w:color w:val="1F4E79"/>
          <w:sz w:val="26"/>
          <w:szCs w:val="26"/>
        </w:rPr>
        <w:t xml:space="preserve">Human Subjects / IRB</w:t>
      </w:r>
    </w:p>
    <w:p>
      <w:pPr>
        <w:spacing w:after="80" w:before="200"/>
      </w:pPr>
      <w:r>
        <w:rPr>
          <w:rFonts w:ascii="Arial" w:cs="Arial" w:eastAsia="Arial" w:hAnsi="Arial"/>
          <w:b/>
          <w:bCs/>
          <w:color w:val="2E75B6"/>
          <w:sz w:val="23"/>
          <w:szCs w:val="23"/>
        </w:rPr>
        <w:t xml:space="preserve">Phase I — Public Data (IRB Exempt)</w:t>
      </w:r>
    </w:p>
    <w:p>
      <w:pPr>
        <w:spacing w:after="80" w:before="80"/>
      </w:pPr>
      <w:r>
        <w:rPr>
          <w:rFonts w:ascii="Arial" w:cs="Arial" w:eastAsia="Arial" w:hAnsi="Arial"/>
          <w:sz w:val="22"/>
          <w:szCs w:val="22"/>
        </w:rPr>
        <w:t xml:space="preserve">Phase I uses exclusively publicly available, fully de-identified datasets: the NSCISC/SCIMS database (pre-2021 data, freely downloadable from digitalcommons.library.uab.edu) and the TBIMS National Database (de-identified public use dataset, tbindsc.org). Both are stripped of all HIPAA-defined identifiers and are released for public research use. Under 45 CFR 46.104(d)(4), research involving the use of de-identified secondary data does not constitute human subjects research and is exempt from IRB review.</w:t>
      </w:r>
    </w:p>
    <w:p>
      <w:pPr>
        <w:spacing w:after="80" w:before="200"/>
      </w:pPr>
      <w:r>
        <w:rPr>
          <w:rFonts w:ascii="Arial" w:cs="Arial" w:eastAsia="Arial" w:hAnsi="Arial"/>
          <w:b/>
          <w:bCs/>
          <w:color w:val="2E75B6"/>
          <w:sz w:val="23"/>
          <w:szCs w:val="23"/>
        </w:rPr>
        <w:t xml:space="preserve">Phase II — Prospective Validation (Future IRB)</w:t>
      </w:r>
    </w:p>
    <w:p>
      <w:pPr>
        <w:spacing w:after="80" w:before="80"/>
      </w:pPr>
      <w:r>
        <w:rPr>
          <w:rFonts w:ascii="Arial" w:cs="Arial" w:eastAsia="Arial" w:hAnsi="Arial"/>
          <w:sz w:val="22"/>
          <w:szCs w:val="22"/>
        </w:rPr>
        <w:t xml:space="preserve">Phase II proposes prospective collection of de-identified outcome data from a clinical partner (NeuroSpine Plus, Paramus NJ; Dr. Edward Sheid MD, neurosurgeon). A full IRB protocol will be submitted to an AAHRPP-accredited IRB prior to Phase II initiation. NYFA fiscal sponsorship provides the institutional infrastructure for IRB filing as the submitting organization. Alternatively, Dr. Sheid's institutional affiliation will serve as the IRB home. No patient data will be collected or analyzed prior to IRB approval and informed consent procedures being in place.</w:t>
      </w:r>
    </w:p>
    <w:p>
      <w:pPr>
        <w:spacing w:after="80" w:before="200"/>
      </w:pPr>
      <w:r>
        <w:rPr>
          <w:rFonts w:ascii="Arial" w:cs="Arial" w:eastAsia="Arial" w:hAnsi="Arial"/>
          <w:b/>
          <w:bCs/>
          <w:color w:val="2E75B6"/>
          <w:sz w:val="23"/>
          <w:szCs w:val="23"/>
        </w:rPr>
        <w:t xml:space="preserve">PI Biosketch — Pablo Nogueira Grossi</w:t>
      </w:r>
    </w:p>
    <w:p>
      <w:pPr>
        <w:spacing w:after="80" w:before="80"/>
      </w:pPr>
      <w:r>
        <w:rPr>
          <w:rFonts w:ascii="Arial" w:cs="Arial" w:eastAsia="Arial" w:hAnsi="Arial"/>
          <w:b/>
          <w:bCs/>
          <w:color w:val="000000"/>
          <w:sz w:val="22"/>
          <w:szCs w:val="22"/>
        </w:rPr>
        <w:t xml:space="preserve">Name: </w:t>
      </w:r>
      <w:r>
        <w:rPr>
          <w:rFonts w:ascii="Arial" w:cs="Arial" w:eastAsia="Arial" w:hAnsi="Arial"/>
          <w:sz w:val="22"/>
          <w:szCs w:val="22"/>
        </w:rPr>
        <w:t xml:space="preserve">Pablo Nogueira Grossi</w:t>
      </w:r>
    </w:p>
    <w:p>
      <w:pPr>
        <w:spacing w:after="80" w:before="80"/>
      </w:pPr>
      <w:r>
        <w:rPr>
          <w:rFonts w:ascii="Arial" w:cs="Arial" w:eastAsia="Arial" w:hAnsi="Arial"/>
          <w:b/>
          <w:bCs/>
          <w:color w:val="000000"/>
          <w:sz w:val="22"/>
          <w:szCs w:val="22"/>
        </w:rPr>
        <w:t xml:space="preserve">Affiliation: </w:t>
      </w:r>
      <w:r>
        <w:rPr>
          <w:rFonts w:ascii="Arial" w:cs="Arial" w:eastAsia="Arial" w:hAnsi="Arial"/>
          <w:sz w:val="22"/>
          <w:szCs w:val="22"/>
        </w:rPr>
        <w:t xml:space="preserve">G6 LLC, Newark, NJ 07104 (fiscal sponsor: NYFA)</w:t>
      </w:r>
    </w:p>
    <w:p>
      <w:pPr>
        <w:spacing w:after="80" w:before="80"/>
      </w:pPr>
      <w:r>
        <w:rPr>
          <w:rFonts w:ascii="Arial" w:cs="Arial" w:eastAsia="Arial" w:hAnsi="Arial"/>
          <w:b/>
          <w:bCs/>
          <w:color w:val="000000"/>
          <w:sz w:val="22"/>
          <w:szCs w:val="22"/>
        </w:rPr>
        <w:t xml:space="preserve">ORCID: </w:t>
      </w:r>
      <w:r>
        <w:rPr>
          <w:rFonts w:ascii="Arial" w:cs="Arial" w:eastAsia="Arial" w:hAnsi="Arial"/>
          <w:sz w:val="22"/>
          <w:szCs w:val="22"/>
        </w:rPr>
        <w:t xml:space="preserve">0009-0000-6496-2186</w:t>
      </w:r>
    </w:p>
    <w:p>
      <w:pPr>
        <w:spacing w:after="80" w:before="80"/>
      </w:pPr>
      <w:r>
        <w:rPr>
          <w:rFonts w:ascii="Arial" w:cs="Arial" w:eastAsia="Arial" w:hAnsi="Arial"/>
          <w:b/>
          <w:bCs/>
          <w:color w:val="000000"/>
          <w:sz w:val="22"/>
          <w:szCs w:val="22"/>
        </w:rPr>
        <w:t xml:space="preserve">Role: </w:t>
      </w:r>
      <w:r>
        <w:rPr>
          <w:rFonts w:ascii="Arial" w:cs="Arial" w:eastAsia="Arial" w:hAnsi="Arial"/>
          <w:sz w:val="22"/>
          <w:szCs w:val="22"/>
        </w:rPr>
        <w:t xml:space="preserve">Principal Investigator / Research Director</w:t>
      </w:r>
    </w:p>
    <w:p>
      <w:pPr>
        <w:spacing w:after="80" w:before="200"/>
      </w:pPr>
      <w:r>
        <w:rPr>
          <w:rFonts w:ascii="Arial" w:cs="Arial" w:eastAsia="Arial" w:hAnsi="Arial"/>
          <w:b/>
          <w:bCs/>
          <w:color w:val="2E75B6"/>
          <w:sz w:val="23"/>
          <w:szCs w:val="23"/>
        </w:rPr>
        <w:t xml:space="preserve">Personal Statement</w:t>
      </w:r>
    </w:p>
    <w:p>
      <w:pPr>
        <w:spacing w:after="80" w:before="80"/>
      </w:pPr>
      <w:r>
        <w:rPr>
          <w:rFonts w:ascii="Arial" w:cs="Arial" w:eastAsia="Arial" w:hAnsi="Arial"/>
          <w:sz w:val="22"/>
          <w:szCs w:val="22"/>
        </w:rPr>
        <w:t xml:space="preserve">I am an independent researcher specializing in contact geometry, formal verification, and mathematical modeling of biological threshold systems. I developed the dm³ framework — a contact-geometric operator chain formally verified in Lean 4 across ~970 machine-checked theorems in 53 files — and applied it to RNA conformational switching, DNA amplification, microtubule curvature dynamics, and language acquisition. I am also a personal injury patient treated by a specialist neurosurgeon, which gives me direct clinical stake in the neurological recovery prediction problem this proposal addresses. The New York Foundation for the Arts (NYFA) serves as fiscal sponsor, providing full grant administration infrastructure.</w:t>
      </w:r>
    </w:p>
    <w:p>
      <w:pPr>
        <w:spacing w:after="80" w:before="200"/>
      </w:pPr>
      <w:r>
        <w:rPr>
          <w:rFonts w:ascii="Arial" w:cs="Arial" w:eastAsia="Arial" w:hAnsi="Arial"/>
          <w:b/>
          <w:bCs/>
          <w:color w:val="2E75B6"/>
          <w:sz w:val="23"/>
          <w:szCs w:val="23"/>
        </w:rPr>
        <w:t xml:space="preserve">Positions and Honors</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Founder and Principal Investigator, G6 LLC, Newark NJ</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Author, Principia Orthogona series (5 volumes; Series ISBN 979-8-9954416-6-3)</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Zenodo Series DOI 10.5281/zenodo.19117399 (all volumes, open access CC BY 4.0)</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AXLE formal verification engine — ~970 theorems, 53 Lean 4 files, 0 axioms beyond Mathlib4</w:t>
      </w:r>
    </w:p>
    <w:p>
      <w:pPr>
        <w:spacing w:after="80" w:before="200"/>
      </w:pPr>
      <w:r>
        <w:rPr>
          <w:rFonts w:ascii="Arial" w:cs="Arial" w:eastAsia="Arial" w:hAnsi="Arial"/>
          <w:b/>
          <w:bCs/>
          <w:color w:val="2E75B6"/>
          <w:sz w:val="23"/>
          <w:szCs w:val="23"/>
        </w:rPr>
        <w:t xml:space="preserve">Selected Publications (Zenodo, CC BY 4.0)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Contact-Geometric Theory of Generative Transitions + Seven Proofs of Tribonacci Constant. doi:10.5281/zenodo.20682934</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Alternating Vanishing Theorem (machine-checked Lean 4). doi:10.5281/zenodo.20710023</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RNA Riboswitches, NGS Amplification, Microtubule Curvature — Three-Domain Validation. doi:10.5281/zenodo.20559510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Nested Infinities in the Language Classroom. doi:10.5281/zenodo.20719399</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PrincipiaOrthogona Vol I v4. doi:10.5281/zenodo.20784030</w:t>
      </w:r>
    </w:p>
    <w:p>
      <w:pPr>
        <w:pBdr>
          <w:bottom w:val="single" w:color="2E75B6" w:sz="6" w:space="1"/>
        </w:pBdr>
        <w:spacing w:after="100" w:before="280"/>
      </w:pPr>
      <w:r>
        <w:rPr>
          <w:rFonts w:ascii="Arial" w:cs="Arial" w:eastAsia="Arial" w:hAnsi="Arial"/>
          <w:b/>
          <w:bCs/>
          <w:color w:val="1F4E79"/>
          <w:sz w:val="26"/>
          <w:szCs w:val="26"/>
        </w:rPr>
        <w:t xml:space="preserve">References</w:t>
      </w:r>
    </w:p>
    <w:p>
      <w:pPr>
        <w:pStyle w:val="ListParagraph"/>
        <w:numPr>
          <w:ilvl w:val="0"/>
          <w:numId w:val="2"/>
        </w:numPr>
        <w:spacing w:after="40" w:before="40"/>
      </w:pPr>
      <w:r>
        <w:rPr>
          <w:rFonts w:ascii="Arial" w:cs="Arial" w:eastAsia="Arial" w:hAnsi="Arial"/>
          <w:sz w:val="22"/>
          <w:szCs w:val="22"/>
        </w:rPr>
        <w:t xml:space="preserve">Nogueira Grossi (2026). Three-Domain Validation. doi:10.5281/zenodo.20559510</w:t>
      </w:r>
    </w:p>
    <w:p>
      <w:pPr>
        <w:pStyle w:val="ListParagraph"/>
        <w:numPr>
          <w:ilvl w:val="0"/>
          <w:numId w:val="2"/>
        </w:numPr>
        <w:spacing w:after="40" w:before="40"/>
      </w:pPr>
      <w:r>
        <w:rPr>
          <w:rFonts w:ascii="Arial" w:cs="Arial" w:eastAsia="Arial" w:hAnsi="Arial"/>
          <w:sz w:val="22"/>
          <w:szCs w:val="22"/>
        </w:rPr>
        <w:t xml:space="preserve">TRACK-TBI Functional Outcomes. PMC8261688</w:t>
      </w:r>
    </w:p>
    <w:p>
      <w:pPr>
        <w:pStyle w:val="ListParagraph"/>
        <w:numPr>
          <w:ilvl w:val="0"/>
          <w:numId w:val="2"/>
        </w:numPr>
        <w:spacing w:after="40" w:before="40"/>
      </w:pPr>
      <w:r>
        <w:rPr>
          <w:rFonts w:ascii="Arial" w:cs="Arial" w:eastAsia="Arial" w:hAnsi="Arial"/>
          <w:sz w:val="22"/>
          <w:szCs w:val="22"/>
        </w:rPr>
        <w:t xml:space="preserve">TBIMS Recovery Trajectories. PMC12838949</w:t>
      </w:r>
    </w:p>
    <w:p>
      <w:pPr>
        <w:pStyle w:val="ListParagraph"/>
        <w:numPr>
          <w:ilvl w:val="0"/>
          <w:numId w:val="2"/>
        </w:numPr>
        <w:spacing w:after="40" w:before="40"/>
      </w:pPr>
      <w:r>
        <w:rPr>
          <w:rFonts w:ascii="Arial" w:cs="Arial" w:eastAsia="Arial" w:hAnsi="Arial"/>
          <w:sz w:val="22"/>
          <w:szCs w:val="22"/>
        </w:rPr>
        <w:t xml:space="preserve">NSCISC Database. sites.uab.edu/nscisc</w:t>
      </w:r>
    </w:p>
    <w:p>
      <w:pPr>
        <w:pStyle w:val="ListParagraph"/>
        <w:numPr>
          <w:ilvl w:val="0"/>
          <w:numId w:val="2"/>
        </w:numPr>
        <w:spacing w:after="40" w:before="40"/>
      </w:pPr>
      <w:r>
        <w:rPr>
          <w:rFonts w:ascii="Arial" w:cs="Arial" w:eastAsia="Arial" w:hAnsi="Arial"/>
          <w:sz w:val="22"/>
          <w:szCs w:val="22"/>
        </w:rPr>
        <w:t xml:space="preserve">AXLE Formal Verification. github.com/TOTOGT/AXLE</w:t>
      </w:r>
    </w:p>
    <w:p>
      <w:pPr>
        <w:spacing w:after="80" w:before="80"/>
        <w:jc w:val="center"/>
      </w:pPr>
      <w:r>
        <w:rPr>
          <w:rFonts w:ascii="Arial" w:cs="Arial" w:eastAsia="Arial" w:hAnsi="Arial"/>
          <w:sz w:val="22"/>
          <w:szCs w:val="22"/>
        </w:rPr>
        <w:t xml:space="preserve">G6 LLC · Pablo Nogueira Grossi · g6llc@proton.me · +1 646 342 3751 · ORCID 0009-0000-6496-2186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2026-06-22T16:45:57.861Z</dcterms:created>
  <dcterms:modified xsi:type="dcterms:W3CDTF">2026-06-22T16:45:57.861Z</dcterms:modified>
</cp:coreProperties>
</file>

<file path=docProps/custom.xml><?xml version="1.0" encoding="utf-8"?>
<Properties xmlns="http://schemas.openxmlformats.org/officeDocument/2006/custom-properties" xmlns:vt="http://schemas.openxmlformats.org/officeDocument/2006/docPropsVTypes"/>
</file>