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0056B8"/>
          <w:sz w:val="44"/>
          <w:szCs w:val="44"/>
        </w:rPr>
        <w:t xml:space="preserve">Anabeeb HPWJ Fundamentals</w:t>
      </w:r>
    </w:p>
    <w:p>
      <w:pPr>
        <w:spacing w:after="120"/>
        <w:jc w:val="center"/>
      </w:pPr>
      <w:r>
        <w:rPr>
          <w:b/>
          <w:bCs/>
          <w:color w:val="C00000"/>
          <w:sz w:val="30"/>
          <w:szCs w:val="30"/>
        </w:rPr>
        <w:t xml:space="preserve">Written Examination — Marking Key (ASSESSOR COPY ONLY)</w:t>
      </w:r>
    </w:p>
    <w:p>
      <w:pPr>
        <w:spacing w:after="300"/>
        <w:jc w:val="center"/>
      </w:pPr>
      <w:r>
        <w:rPr>
          <w:b/>
          <w:bCs/>
          <w:color w:val="F28523"/>
          <w:sz w:val="22"/>
          <w:szCs w:val="22"/>
        </w:rPr>
        <w:t xml:space="preserve">ATC-HPWJ-OP-001   |   Total marks: 70   |   Pass mark: 56 (80%)</w:t>
      </w:r>
    </w:p>
    <w:p>
      <w:pPr>
        <w:spacing w:after="140" w:line="264"/>
      </w:pPr>
      <w:r>
        <w:rPr>
          <w:i/>
          <w:iCs/>
        </w:rPr>
        <w:t xml:space="preserve">Control: This document must not be visible to candidates at any time. Store separately from exam papers. Version-control any question changes together with this key.</w:t>
      </w:r>
    </w:p>
    <w:p>
      <w:pPr>
        <w:pStyle w:val="Heading1"/>
        <w:spacing w:after="140" w:before="320"/>
      </w:pPr>
      <w:r>
        <w:t xml:space="preserve">Exam Blueprint Compliance</w:t>
      </w:r>
    </w:p>
    <w:p>
      <w:pPr>
        <w:spacing w:after="140" w:line="264"/>
      </w:pPr>
      <w:r>
        <w:t xml:space="preserve">Core safety rules (team size, pressure ceiling, rupture disc, exclusion, stop-work, reaction-force limits, hose/lance/AWD rules): approximately 40 of 70 marks (≈57%) — exceeds the 30% minimum.</w:t>
      </w:r>
    </w:p>
    <w:p>
      <w:pPr>
        <w:spacing w:after="140" w:line="264"/>
      </w:pPr>
      <w:r>
        <w:t xml:space="preserve">Injection-injury recognition and emergency response (Q5–Q8, Q34, Q35, Q39, Q44): 14 of 70 marks (20%) — meets the 20% minimum.</w:t>
      </w:r>
    </w:p>
    <w:p>
      <w:pPr>
        <w:pStyle w:val="Heading1"/>
        <w:spacing w:after="140" w:before="320"/>
      </w:pPr>
      <w:r>
        <w:t xml:space="preserve">Section A — Correct Letters</w:t>
      </w:r>
    </w:p>
    <w:p>
      <w:pPr>
        <w:spacing w:after="100" w:line="264"/>
      </w:pPr>
      <w:r>
        <w:rPr>
          <w:b/>
          <w:bCs/>
        </w:rPr>
        <w:t xml:space="preserve">Q1: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Q3: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Q4: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Q5: </w:t>
      </w:r>
      <w:r>
        <w:t xml:space="preserve">D</w:t>
      </w:r>
    </w:p>
    <w:p>
      <w:pPr>
        <w:spacing w:after="100" w:line="264"/>
      </w:pPr>
      <w:r>
        <w:rPr>
          <w:b/>
          <w:bCs/>
        </w:rPr>
        <w:t xml:space="preserve">Q6: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Q7: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Q8: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Q9: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Q10: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Q11: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Q12: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Q13: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Q14: </w:t>
      </w:r>
      <w:r>
        <w:t xml:space="preserve">D</w:t>
      </w:r>
    </w:p>
    <w:p>
      <w:pPr>
        <w:spacing w:after="100" w:line="264"/>
      </w:pPr>
      <w:r>
        <w:rPr>
          <w:b/>
          <w:bCs/>
        </w:rPr>
        <w:t xml:space="preserve">Q15: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Q16: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Q17: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Q18: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Q19: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Q20: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Q21: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Q22: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Q23: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Q24: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Q25: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Q26: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Q27: </w:t>
      </w:r>
      <w:r>
        <w:t xml:space="preserve">C</w:t>
      </w:r>
    </w:p>
    <w:p>
      <w:pPr>
        <w:spacing w:after="100" w:line="264"/>
      </w:pPr>
      <w:r>
        <w:rPr>
          <w:b/>
          <w:bCs/>
        </w:rPr>
        <w:t xml:space="preserve">Q28: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Q29: </w:t>
      </w:r>
      <w:r>
        <w:t xml:space="preserve">B</w:t>
      </w:r>
    </w:p>
    <w:p>
      <w:pPr>
        <w:spacing w:after="100" w:line="264"/>
      </w:pPr>
      <w:r>
        <w:rPr>
          <w:b/>
          <w:bCs/>
        </w:rPr>
        <w:t xml:space="preserve">Q30: </w:t>
      </w:r>
      <w:r>
        <w:t xml:space="preserve">C</w:t>
      </w:r>
    </w:p>
    <w:p>
      <w:r>
        <w:br w:type="page"/>
      </w:r>
    </w:p>
    <w:p>
      <w:pPr>
        <w:pStyle w:val="Heading1"/>
        <w:spacing w:after="140" w:before="320"/>
      </w:pPr>
      <w:r>
        <w:t xml:space="preserve">Section B — Model Answers</w:t>
      </w:r>
    </w:p>
    <w:p>
      <w:pPr>
        <w:spacing w:after="100" w:line="264"/>
      </w:pPr>
      <w:r>
        <w:rPr>
          <w:b/>
          <w:bCs/>
        </w:rPr>
        <w:t xml:space="preserve">Q31: </w:t>
      </w:r>
      <w:r>
        <w:t xml:space="preserve">Lance operator; pump operator; dedicated emergency-stop person. (All three for full marks; 1 mark for two correct.)</w:t>
      </w:r>
    </w:p>
    <w:p>
      <w:pPr>
        <w:spacing w:after="100" w:line="264"/>
      </w:pPr>
      <w:r>
        <w:rPr>
          <w:b/>
          <w:bCs/>
        </w:rPr>
        <w:t xml:space="preserve">Q32: </w:t>
      </w:r>
      <w:r>
        <w:t xml:space="preserve">Force (lbf) ≈ 0.052 × flow (GPM) × √pressure (psi). (Formula structure correct = 2; missing square root = 0.)</w:t>
      </w:r>
    </w:p>
    <w:p>
      <w:pPr>
        <w:spacing w:after="100" w:line="264"/>
      </w:pPr>
      <w:r>
        <w:rPr>
          <w:b/>
          <w:bCs/>
        </w:rPr>
        <w:t xml:space="preserve">Q33: </w:t>
      </w:r>
      <w:r>
        <w:t xml:space="preserve">Dump pressure and stop immediately (1); because no change of state is safe without confirmed communication / restart only after communication is re-established (1).</w:t>
      </w:r>
    </w:p>
    <w:p>
      <w:pPr>
        <w:spacing w:after="100" w:line="264"/>
      </w:pPr>
      <w:r>
        <w:rPr>
          <w:b/>
          <w:bCs/>
        </w:rPr>
        <w:t xml:space="preserve">Q34: </w:t>
      </w:r>
      <w:r>
        <w:t xml:space="preserve">Any two of: the entry wound often looks minor while internal damage is severe; injected fluid spreads and damage worsens rapidly; delay in correct treatment drives poor outcomes. (1 each.)</w:t>
      </w:r>
    </w:p>
    <w:p>
      <w:pPr>
        <w:spacing w:after="100" w:line="264"/>
      </w:pPr>
      <w:r>
        <w:rPr>
          <w:b/>
          <w:bCs/>
        </w:rPr>
        <w:t xml:space="preserve">Q35: </w:t>
      </w:r>
      <w:r>
        <w:t xml:space="preserve">A waterproof card explaining the injection-injury mechanism for medical responders (1); carried immediately accessible at all times on every job (1).</w:t>
      </w:r>
    </w:p>
    <w:p>
      <w:pPr>
        <w:spacing w:after="100" w:line="264"/>
      </w:pPr>
      <w:r>
        <w:rPr>
          <w:b/>
          <w:bCs/>
        </w:rPr>
        <w:t xml:space="preserve">Q36: </w:t>
      </w:r>
      <w:r>
        <w:t xml:space="preserve">Simultaneous operations — jetting while other work happens nearby (1); example, e.g. crane lifting overhead, hot work near the jetting area, another crew sharing the ground (1).</w:t>
      </w:r>
    </w:p>
    <w:p>
      <w:pPr>
        <w:spacing w:after="100" w:line="264"/>
      </w:pPr>
      <w:r>
        <w:rPr>
          <w:b/>
          <w:bCs/>
        </w:rPr>
        <w:t xml:space="preserve">Q37: </w:t>
      </w:r>
      <w:r>
        <w:t xml:space="preserve">Any two of: skipped/inadequate pre-use inspection; loss of control of a flexible lance; poor coordination between simultaneous activities (SIMOPS). (1 each.)</w:t>
      </w:r>
    </w:p>
    <w:p>
      <w:pPr>
        <w:spacing w:after="100" w:line="264"/>
      </w:pPr>
      <w:r>
        <w:rPr>
          <w:b/>
          <w:bCs/>
        </w:rPr>
        <w:t xml:space="preserve">Q38: </w:t>
      </w:r>
      <w:r>
        <w:t xml:space="preserve">PPE is rated by pressure class (1); equipment rated for a lower class does not protect at higher pressures — e.g. a 10,000 psi suit does not protect on a 40,000 psi job (1).</w:t>
      </w:r>
    </w:p>
    <w:p>
      <w:pPr>
        <w:spacing w:after="100" w:line="264"/>
      </w:pPr>
      <w:r>
        <w:rPr>
          <w:b/>
          <w:bCs/>
        </w:rPr>
        <w:t xml:space="preserve">Q39: </w:t>
      </w:r>
      <w:r>
        <w:t xml:space="preserve">Dump pressure / stop the jet (1); because no response is safe, and no rescue possible, until the energy source is removed (1).</w:t>
      </w:r>
    </w:p>
    <w:p>
      <w:pPr>
        <w:spacing w:after="100" w:line="264"/>
      </w:pPr>
      <w:r>
        <w:rPr>
          <w:b/>
          <w:bCs/>
        </w:rPr>
        <w:t xml:space="preserve">Q40: </w:t>
      </w:r>
      <w:r>
        <w:t xml:space="preserve">It warns that the nozzle tip is about to exit the tube (1); the exit moment is the highest back-out / loss-of-control risk (1).</w:t>
      </w:r>
    </w:p>
    <w:p>
      <w:pPr>
        <w:pStyle w:val="Heading1"/>
        <w:spacing w:after="140" w:before="320"/>
      </w:pPr>
      <w:r>
        <w:t xml:space="preserve">Section C — Model Answers</w:t>
      </w:r>
    </w:p>
    <w:p>
      <w:pPr>
        <w:spacing w:after="100" w:line="264"/>
      </w:pPr>
      <w:r>
        <w:rPr>
          <w:b/>
          <w:bCs/>
        </w:rPr>
        <w:t xml:space="preserve">Q41: </w:t>
      </w:r>
      <w:r>
        <w:t xml:space="preserve">Force ≈ 0.052 × 8 × 110 ≈ 45.8 lbf (1) ≈ 204 N (1). Passes the 250 N absolute limit (1). Must still check: under one third of the specific operator's body weight AND barrel geometry keeps the jet off the operator's own feet/legs (1).</w:t>
      </w:r>
    </w:p>
    <w:p>
      <w:pPr>
        <w:spacing w:after="100" w:line="264"/>
      </w:pPr>
      <w:r>
        <w:rPr>
          <w:b/>
          <w:bCs/>
        </w:rPr>
        <w:t xml:space="preserve">Q42: </w:t>
      </w:r>
      <w:r>
        <w:t xml:space="preserve">Force ≈ 0.233 × 40 × 34.6 ≈ 322 N (2). Exceeds the 250 N absolute limit (1). Hand-held operation is not permitted as configured — the job needs mechanical support, a different nozzle, reduced parameters, or automation (1).</w:t>
      </w:r>
    </w:p>
    <w:p>
      <w:pPr>
        <w:spacing w:after="100" w:line="264"/>
      </w:pPr>
      <w:r>
        <w:rPr>
          <w:b/>
          <w:bCs/>
        </w:rPr>
        <w:t xml:space="preserve">Q43: </w:t>
      </w:r>
      <w:r>
        <w:t xml:space="preserve">Stop work / dump pressure (1). Do not attempt to negotiate or resolve the work-area conflict yourself (1). Raise it with the supervisor immediately (1). Work restarts only after supervisors coordinate — daily SIMOPS coordination, agreed zoning, and marked boundaries re-established (1).</w:t>
      </w:r>
    </w:p>
    <w:p>
      <w:pPr>
        <w:spacing w:after="100" w:line="264"/>
      </w:pPr>
      <w:r>
        <w:rPr>
          <w:b/>
          <w:bCs/>
        </w:rPr>
        <w:t xml:space="preserve">Q44: </w:t>
      </w:r>
      <w:r>
        <w:t xml:space="preserve">Dump pressure and stop work first (1). Treat as a medical emergency regardless of appearance / never wait and see (1). Deliver the script: 'This is a high-pressure water injection injury' + location, and get emergency help (1). Present the Medical Alert Card to responders and do not allow him to continue working (1).</w:t>
      </w:r>
    </w:p>
    <w:p>
      <w:pPr>
        <w:spacing w:after="100" w:line="264"/>
      </w:pPr>
      <w:r>
        <w:rPr>
          <w:b/>
          <w:bCs/>
        </w:rPr>
        <w:t xml:space="preserve">Q45: </w:t>
      </w:r>
      <w:r>
        <w:t xml:space="preserve">Refuse to operate — a flexible lance without a correctly installed and verified AWD is not permitted, no exceptions (2). Call stop-work — the call is absolute and cannot be overridden for schedule (1). Escalate beyond the supervisor if pressed (HSE / management), citing that this exact failure mode has killed an operator (1).</w:t>
      </w:r>
    </w:p>
    <w:p>
      <w:pPr>
        <w:pStyle w:val="Heading2"/>
        <w:spacing w:after="100" w:before="260"/>
      </w:pPr>
      <w:r>
        <w:t xml:space="preserve">Marking guidance</w:t>
      </w:r>
    </w:p>
    <w:p>
      <w:pPr>
        <w:spacing w:after="140" w:line="264"/>
      </w:pPr>
      <w:r>
        <w:t xml:space="preserve">Section C answers need not match the model wording — award marks for each distinct correct element as bracketed. For calculations, accept small rounding differences (±5%). An answer that reaches the wrong pass/fail decision from a correct calculation scores the calculation marks but not the decision mark. An answer that skips the calculation but states the correct decision with reasoning scores the decision mark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8523" w:sz="12" w:space="4"/>
      </w:pBdr>
      <w:spacing w:after="140" w:before="320"/>
    </w:pPr>
    <w:rPr>
      <w:rFonts w:ascii="Calibri" w:cs="Calibri" w:eastAsia="Calibri" w:hAnsi="Calibri"/>
      <w:b/>
      <w:bCs/>
      <w:color w:val="0056B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0056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2026-07-19T03:33:19.377Z</dcterms:created>
  <dcterms:modified xsi:type="dcterms:W3CDTF">2026-07-19T03:33:19.377Z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