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Rule="atLeast" w:line="283"/>
        <w:rPr>
          <w:sz w:val="22"/>
        </w:rPr>
      </w:pPr>
      <w:r>
        <w:rPr>
          <w:sz w:val="22"/>
        </w:rPr>
      </w:r>
      <w:r>
        <w:rPr>
          <w:sz w:val="22"/>
        </w:rPr>
        <w:t xml:space="preserve"> 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</w:r>
      <w:r>
        <w:rPr>
          <w:sz w:val="22"/>
        </w:rPr>
      </w:r>
      <w:r/>
    </w:p>
    <w:p>
      <w:pPr>
        <w:pStyle w:val="129"/>
        <w:jc w:val="right"/>
      </w:pPr>
      <w:r>
        <w:t xml:space="preserve">Тестирование плагина сонаты.</w:t>
      </w:r>
      <w:r/>
    </w:p>
    <w:p>
      <w:r/>
      <w:r/>
    </w:p>
    <w:p>
      <w:pPr>
        <w:spacing w:lineRule="atLeast" w:line="283"/>
        <w:rPr>
          <w:sz w:val="22"/>
        </w:rPr>
      </w:pPr>
      <w:r>
        <w:rPr>
          <w:b/>
          <w:sz w:val="22"/>
        </w:rPr>
        <w:t xml:space="preserve">Описание тестового стенда: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Тестируемая система развернута в виртуальной машине (на текущий момент только alt-7.0.5 спт). Соната сконфигурирована на получение потока данных от хоста и трансляцию XDR-NMEA на хост. А так же логирование входящих и исходящих пакетов в фаил. В log4cxx.properties значения логеров Sonata ( SonataToNmeaConverter, SonataDataReciver )установлено в TRACE.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С хост-системы подается нагрузка имитирующая пакеты приходящие с Базовой станции. Хост-система так же извлекает транслированные XDR-NMEA. Т.е. общая схема взаимодействия: хост (упражнения) -&gt; SUT -&gt; хост проверка результата.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b/>
          <w:sz w:val="22"/>
        </w:rPr>
        <w:t xml:space="preserve">Построение тестового набора: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Причинно-следственная диаграмма Сонаты инициируется пришедшим пакетом данных, при этом:</w:t>
      </w:r>
      <w:r>
        <w:rPr>
          <w:sz w:val="22"/>
        </w:rPr>
      </w:r>
      <w:r/>
    </w:p>
    <w:p>
      <w:pPr>
        <w:spacing w:lineRule="atLeast" w:line="283"/>
        <w:rPr>
          <w:i/>
          <w:sz w:val="22"/>
        </w:rPr>
      </w:pPr>
      <w:r>
        <w:rPr>
          <w:i/>
          <w:sz w:val="22"/>
        </w:rPr>
        <w:t xml:space="preserve">( Причина</w:t>
      </w:r>
      <w:r>
        <w:rPr>
          <w:i/>
        </w:rPr>
      </w:r>
      <w:r/>
    </w:p>
    <w:p>
      <w:pPr>
        <w:ind w:firstLine="709"/>
        <w:spacing w:lineRule="atLeast" w:line="283"/>
        <w:rPr>
          <w:i/>
          <w:sz w:val="22"/>
        </w:rPr>
      </w:pPr>
      <w:r>
        <w:rPr>
          <w:i/>
          <w:sz w:val="22"/>
        </w:rPr>
        <w:t xml:space="preserve">| Следствие )</w:t>
      </w:r>
      <w:r>
        <w:rPr>
          <w:i/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1. Пакет содержит некорректную контрольную сумму        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        | Пакет отброшен. В логе присутсвует соответсвующая запись.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2. Пакет больше ожидаемого размера      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        | Пакет отброшен. В логе присутсвует соответсвующая запись.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3. Пакет меньше ожидаемого размера                                     </w:t>
      </w:r>
      <w:r>
        <w:rPr>
          <w:sz w:val="22"/>
        </w:rPr>
      </w:r>
      <w:r/>
    </w:p>
    <w:p>
      <w:pPr>
        <w:ind w:firstLine="709"/>
        <w:spacing w:lineRule="atLeast" w:line="283"/>
        <w:rPr>
          <w:sz w:val="22"/>
        </w:rPr>
      </w:pPr>
      <w:r>
        <w:rPr>
          <w:sz w:val="22"/>
        </w:rPr>
        <w:t xml:space="preserve">| Пакет отброшен. В логе присутсвует соответсвующая запись.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4. Пакет не содержит Нав.Данных (message_id != 0b00)                  </w:t>
      </w:r>
      <w:r>
        <w:rPr>
          <w:sz w:val="22"/>
        </w:rPr>
      </w:r>
      <w:r/>
    </w:p>
    <w:p>
      <w:pPr>
        <w:ind w:firstLine="709"/>
        <w:spacing w:lineRule="atLeast" w:line="283"/>
        <w:rPr>
          <w:sz w:val="22"/>
        </w:rPr>
      </w:pPr>
      <w:r>
        <w:rPr>
          <w:sz w:val="22"/>
        </w:rPr>
        <w:t xml:space="preserve"> | Пакет отброшен. В логе присутсвует запись о получении пакета.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5. Пакет содержит данные в пределах допустимого диапазона             </w:t>
      </w:r>
      <w:r>
        <w:rPr>
          <w:sz w:val="22"/>
        </w:rPr>
      </w:r>
      <w:r/>
    </w:p>
    <w:p>
      <w:pPr>
        <w:ind w:firstLine="709"/>
        <w:spacing w:lineRule="atLeast" w:line="283"/>
        <w:rPr>
          <w:sz w:val="22"/>
        </w:rPr>
      </w:pPr>
      <w:r>
        <w:rPr>
          <w:sz w:val="22"/>
        </w:rPr>
        <w:t xml:space="preserve"> | Данные корректно сконвертированы. В логе соответсвющая информация.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6. (*)Пакет содержит данные выходящие за пределы допустимого диапазона </w:t>
      </w:r>
      <w:r>
        <w:rPr>
          <w:sz w:val="22"/>
        </w:rPr>
      </w:r>
      <w:r/>
    </w:p>
    <w:p>
      <w:pPr>
        <w:ind w:firstLine="709"/>
        <w:spacing w:lineRule="atLeast" w:line="283"/>
        <w:rPr>
          <w:sz w:val="22"/>
        </w:rPr>
      </w:pPr>
      <w:r>
        <w:rPr>
          <w:sz w:val="22"/>
        </w:rPr>
        <w:t xml:space="preserve">| Поведение не определено. Приложение работоспособно.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Логика работы сонаты для корректных данных (Функц.Тест №5) линейна и по существу представляет собой конвертирование данных из формата БС в формат NMEA, а так же в отсутвии явных требований к поведению при выходе за допустимый диапазон, тестовый набор следует сосредоточить на выявление дефектов конвертации данных в допустимых диапазонах (Поскольку отказались от преобразования значений для широты и долготы, то для включения всех классов эквивалентности достаточно проверить границы верхнего и нижнего диапазона):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В частности для параметров: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* ID НСМ: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0                             </w:t>
        <w:tab/>
        <w:t xml:space="preserve">(a)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4096                            </w:t>
        <w:tab/>
      </w:r>
      <w:r>
        <w:rPr>
          <w:sz w:val="22"/>
        </w:rPr>
        <w:t xml:space="preserve">(</w:t>
      </w:r>
      <w:r>
        <w:rPr>
          <w:sz w:val="22"/>
        </w:rPr>
        <w:t xml:space="preserve">b)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* Широта:                           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00-00-00.0                      </w:t>
        <w:tab/>
      </w:r>
      <w:r>
        <w:rPr>
          <w:sz w:val="22"/>
        </w:rPr>
        <w:t xml:space="preserve">(</w:t>
      </w:r>
      <w:r>
        <w:rPr>
          <w:sz w:val="22"/>
        </w:rPr>
        <w:t xml:space="preserve">c)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89-59-59-59.9                   </w:t>
        <w:tab/>
      </w:r>
      <w:r>
        <w:rPr>
          <w:sz w:val="22"/>
        </w:rPr>
        <w:t xml:space="preserve">(</w:t>
      </w:r>
      <w:r>
        <w:rPr>
          <w:sz w:val="22"/>
        </w:rPr>
        <w:t xml:space="preserve">d)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* Долгота:      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000-00-00.0                     </w:t>
        <w:tab/>
      </w:r>
      <w:r>
        <w:rPr>
          <w:sz w:val="22"/>
        </w:rPr>
        <w:t xml:space="preserve">(</w:t>
      </w:r>
      <w:r>
        <w:rPr>
          <w:sz w:val="22"/>
        </w:rPr>
        <w:t xml:space="preserve">e)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179-59-59.9                     </w:t>
        <w:tab/>
      </w:r>
      <w:r>
        <w:rPr>
          <w:sz w:val="22"/>
        </w:rPr>
        <w:t xml:space="preserve">(</w:t>
      </w:r>
      <w:r>
        <w:rPr>
          <w:sz w:val="22"/>
        </w:rPr>
        <w:t xml:space="preserve">f)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* Скорость: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0 00                            </w:t>
        <w:tab/>
      </w:r>
      <w:r>
        <w:rPr>
          <w:sz w:val="22"/>
        </w:rPr>
        <w:t xml:space="preserve">(</w:t>
      </w:r>
      <w:r>
        <w:rPr>
          <w:sz w:val="22"/>
        </w:rPr>
        <w:t xml:space="preserve">g)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7 99                            </w:t>
        <w:tab/>
      </w:r>
      <w:r>
        <w:rPr>
          <w:sz w:val="22"/>
        </w:rPr>
        <w:t xml:space="preserve">(</w:t>
      </w:r>
      <w:r>
        <w:rPr>
          <w:sz w:val="22"/>
        </w:rPr>
        <w:t xml:space="preserve">h)   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* Курс (course):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0 00                            </w:t>
        <w:tab/>
      </w:r>
      <w:r>
        <w:rPr>
          <w:sz w:val="22"/>
        </w:rPr>
        <w:t xml:space="preserve">(</w:t>
      </w:r>
      <w:r>
        <w:rPr>
          <w:sz w:val="22"/>
        </w:rPr>
        <w:t xml:space="preserve">i)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3 59                             </w:t>
        <w:tab/>
      </w:r>
      <w:r>
        <w:rPr>
          <w:sz w:val="22"/>
        </w:rPr>
        <w:t xml:space="preserve">(</w:t>
      </w:r>
      <w:r>
        <w:rPr>
          <w:sz w:val="22"/>
        </w:rPr>
        <w:t xml:space="preserve">j)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* Состояние E|W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E                               </w:t>
        <w:tab/>
      </w:r>
      <w:r>
        <w:rPr>
          <w:sz w:val="22"/>
        </w:rPr>
        <w:t xml:space="preserve">(</w:t>
      </w:r>
      <w:r>
        <w:rPr>
          <w:sz w:val="22"/>
        </w:rPr>
        <w:t xml:space="preserve">l)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W                               </w:t>
        <w:tab/>
      </w:r>
      <w:r>
        <w:rPr>
          <w:sz w:val="22"/>
        </w:rPr>
        <w:t xml:space="preserve">(</w:t>
      </w:r>
      <w:r>
        <w:rPr>
          <w:sz w:val="22"/>
        </w:rPr>
        <w:t xml:space="preserve">m)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* Состояние N|S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N                               </w:t>
        <w:tab/>
      </w:r>
      <w:r>
        <w:rPr>
          <w:sz w:val="22"/>
        </w:rPr>
        <w:t xml:space="preserve">(</w:t>
      </w:r>
      <w:r>
        <w:rPr>
          <w:sz w:val="22"/>
        </w:rPr>
        <w:t xml:space="preserve">n)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S                               </w:t>
        <w:tab/>
      </w:r>
      <w:r>
        <w:rPr>
          <w:sz w:val="22"/>
        </w:rPr>
        <w:t xml:space="preserve">(</w:t>
      </w:r>
      <w:r>
        <w:rPr>
          <w:sz w:val="22"/>
        </w:rPr>
        <w:t xml:space="preserve">o)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* Состояние A|V (Требований не предьявлено, должно игнорироваться)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A                               </w:t>
        <w:tab/>
      </w:r>
      <w:r>
        <w:rPr>
          <w:sz w:val="22"/>
        </w:rPr>
        <w:t xml:space="preserve">(</w:t>
      </w:r>
      <w:r>
        <w:rPr>
          <w:sz w:val="22"/>
        </w:rPr>
        <w:t xml:space="preserve">p)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    V                               </w:t>
        <w:tab/>
      </w:r>
      <w:r>
        <w:rPr>
          <w:sz w:val="22"/>
        </w:rPr>
        <w:t xml:space="preserve">(</w:t>
      </w:r>
      <w:r>
        <w:rPr>
          <w:sz w:val="22"/>
        </w:rPr>
        <w:t xml:space="preserve">q)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* Остальные параметры не учавствуют в формировании XDR-NMEA и могут принимать произвольные значения.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  <w:t xml:space="preserve">Таким образом функц.тест №5 конкретизируется следующими данными:</w:t>
      </w:r>
      <w:r>
        <w:rPr>
          <w:sz w:val="22"/>
        </w:rPr>
      </w:r>
      <w:r/>
    </w:p>
    <w:tbl>
      <w:tblPr>
        <w:tblStyle w:val="104"/>
        <w:tblW w:w="0" w:type="auto"/>
        <w:tblInd w:w="-119" w:type="dxa"/>
        <w:tblLayout w:type="fixed"/>
        <w:tblLook w:val="04A0" w:firstRow="1" w:lastRow="0" w:firstColumn="1" w:lastColumn="0" w:noHBand="0" w:noVBand="1"/>
      </w:tblPr>
      <w:tblGrid>
        <w:gridCol w:w="1276"/>
        <w:gridCol w:w="1221"/>
        <w:gridCol w:w="1701"/>
        <w:gridCol w:w="1046"/>
        <w:gridCol w:w="992"/>
        <w:gridCol w:w="1276"/>
        <w:gridCol w:w="1134"/>
        <w:gridCol w:w="1134"/>
      </w:tblGrid>
      <w:tr>
        <w:trPr>
          <w:trHeight w:val="384"/>
        </w:trPr>
        <w:tc>
          <w:tcPr>
            <w:tcW w:w="1276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Sonata ID</w:t>
            </w:r>
            <w:r>
              <w:rPr>
                <w:sz w:val="22"/>
              </w:rPr>
            </w:r>
            <w:r/>
          </w:p>
        </w:tc>
        <w:tc>
          <w:tcPr>
            <w:tcW w:w="1221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Lat</w:t>
            </w:r>
            <w:r>
              <w:rPr>
                <w:sz w:val="22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Lon</w:t>
            </w:r>
            <w:r>
              <w:rPr>
                <w:sz w:val="22"/>
              </w:rPr>
            </w:r>
            <w:r/>
          </w:p>
        </w:tc>
        <w:tc>
          <w:tcPr>
            <w:tcW w:w="1046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Vel</w:t>
            </w:r>
            <w:r>
              <w:rPr>
                <w:sz w:val="22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Course</w:t>
            </w:r>
            <w:r>
              <w:rPr>
                <w:sz w:val="22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State EW</w:t>
            </w:r>
            <w:r>
              <w:rPr>
                <w:sz w:val="22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State NS</w:t>
            </w:r>
            <w:r>
              <w:rPr>
                <w:sz w:val="22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State A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0</w:t>
            </w:r>
            <w:r>
              <w:rPr>
                <w:sz w:val="20"/>
              </w:rPr>
            </w:r>
            <w:r/>
          </w:p>
        </w:tc>
        <w:tc>
          <w:tcPr>
            <w:tcW w:w="122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00-00-00.0</w:t>
            </w:r>
            <w:r>
              <w:rPr>
                <w:sz w:val="20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000-00-00.0</w:t>
            </w:r>
            <w:r>
              <w:rPr>
                <w:sz w:val="20"/>
              </w:rPr>
            </w:r>
            <w:r/>
          </w:p>
        </w:tc>
        <w:tc>
          <w:tcPr>
            <w:tcW w:w="104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000</w:t>
            </w:r>
            <w:r>
              <w:rPr>
                <w:sz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000</w:t>
            </w:r>
            <w:r>
              <w:rPr>
                <w:sz w:val="20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E</w:t>
            </w:r>
            <w:r>
              <w:rPr>
                <w:sz w:val="20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N</w:t>
            </w:r>
            <w:r>
              <w:rPr>
                <w:sz w:val="20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A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4095</w:t>
            </w:r>
            <w:r/>
          </w:p>
        </w:tc>
        <w:tc>
          <w:tcPr>
            <w:tcW w:w="122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8</w:t>
            </w:r>
            <w:r>
              <w:rPr>
                <w:sz w:val="20"/>
              </w:rPr>
              <w:t xml:space="preserve">9-59-59-59.9</w:t>
            </w:r>
            <w:r>
              <w:rPr>
                <w:sz w:val="20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179-59-59.9</w:t>
            </w:r>
            <w:r>
              <w:rPr>
                <w:sz w:val="20"/>
              </w:rPr>
            </w:r>
            <w:r/>
          </w:p>
        </w:tc>
        <w:tc>
          <w:tcPr>
            <w:tcW w:w="104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799</w:t>
            </w:r>
            <w:r>
              <w:rPr>
                <w:sz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359</w:t>
            </w:r>
            <w:r>
              <w:rPr>
                <w:sz w:val="20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W</w:t>
            </w:r>
            <w:r>
              <w:rPr>
                <w:sz w:val="20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S</w:t>
            </w:r>
            <w:r>
              <w:rPr>
                <w:sz w:val="20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A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4095</w:t>
            </w:r>
            <w:r/>
          </w:p>
        </w:tc>
        <w:tc>
          <w:tcPr>
            <w:tcW w:w="122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89-59-59-59.9</w:t>
            </w:r>
            <w:r>
              <w:rPr>
                <w:sz w:val="20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179-59-59.9</w:t>
            </w:r>
            <w:r>
              <w:rPr>
                <w:sz w:val="20"/>
              </w:rPr>
            </w:r>
            <w:r/>
          </w:p>
        </w:tc>
        <w:tc>
          <w:tcPr>
            <w:tcW w:w="104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799</w:t>
            </w:r>
            <w:r>
              <w:rPr>
                <w:sz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359</w:t>
            </w:r>
            <w:r>
              <w:rPr>
                <w:sz w:val="20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W</w:t>
            </w:r>
            <w:r>
              <w:rPr>
                <w:sz w:val="20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S</w:t>
            </w:r>
            <w:r>
              <w:rPr>
                <w:sz w:val="20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V (1)</w:t>
            </w:r>
            <w:r>
              <w:rPr>
                <w:sz w:val="20"/>
              </w:rPr>
            </w:r>
            <w:r/>
          </w:p>
        </w:tc>
      </w:tr>
    </w:tbl>
    <w:p>
      <w:pPr>
        <w:spacing w:lineRule="atLeast" w:line="283"/>
        <w:rPr>
          <w:sz w:val="22"/>
        </w:rPr>
      </w:pPr>
      <w:r>
        <w:rPr>
          <w:i/>
          <w:sz w:val="22"/>
        </w:rPr>
        <w:t xml:space="preserve">(1) Специальный случай, метка валидности данных игнорируется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</w:r>
      <w:r>
        <w:rPr>
          <w:sz w:val="22"/>
        </w:rPr>
        <w:t xml:space="preserve">(#TBD: В случае автоматизации набор следует расширить на паросочетания).</w:t>
      </w:r>
      <w:r>
        <w:rPr>
          <w:sz w:val="22"/>
        </w:rPr>
      </w:r>
      <w:r/>
    </w:p>
    <w:p>
      <w:pPr>
        <w:spacing w:lineRule="atLeast" w:line="283"/>
        <w:rPr>
          <w:sz w:val="22"/>
        </w:rPr>
      </w:pPr>
      <w:r>
        <w:rPr>
          <w:sz w:val="22"/>
        </w:rPr>
      </w:r>
      <w:r/>
    </w:p>
    <w:p>
      <w:pPr>
        <w:ind w:left="0" w:right="0" w:hanging="118"/>
        <w:spacing w:lineRule="atLeast" w:line="283"/>
        <w:rPr>
          <w:sz w:val="22"/>
        </w:rPr>
      </w:pPr>
      <w:r>
        <w:rPr>
          <w:b/>
          <w:sz w:val="22"/>
        </w:rPr>
        <w:t xml:space="preserve">Алгоритм построения сообщений имитирующих БС:</w:t>
      </w:r>
      <w:r>
        <w:rPr>
          <w:sz w:val="22"/>
        </w:rPr>
      </w:r>
      <w:r/>
    </w:p>
    <w:p>
      <w:r>
        <w:t xml:space="preserve">1) Согласно таблице битовых смещений формируется пакет данных полученных от МНС</w:t>
      </w:r>
      <w:r/>
    </w:p>
    <w:p>
      <w:r>
        <w:t xml:space="preserve">2) Пакет конвертируется в шестнадцатиричное представление ( acsii printable)</w:t>
      </w:r>
      <w:r/>
    </w:p>
    <w:p>
      <w:r>
        <w:t xml:space="preserve">3) В конец сконвертированного представления добавляется символ уровня сигнала ( 0 .. F )</w:t>
      </w:r>
      <w:r/>
    </w:p>
    <w:p>
      <w:r>
        <w:t xml:space="preserve">4) Для байт полученного на предыдущем шаге представления выполняется вычисление контрольной суммы.</w:t>
      </w:r>
      <w:r/>
    </w:p>
    <w:p>
      <w:r>
        <w:t xml:space="preserve">5) контрольная сумма конвертируется в шестнадцатиричное представления (acsii printable)</w:t>
      </w:r>
      <w:r/>
    </w:p>
    <w:p>
      <w:r>
        <w:t xml:space="preserve">6) Выполняется конкатенация сконвретированных представлений полученных на шаге 3 и 5. Результат заключается в символы '$' и '\n'</w:t>
      </w:r>
      <w:r/>
    </w:p>
    <w:p>
      <w:r>
        <w:t xml:space="preserve">7) Полученный результата передается на вход Сонаты в качестве имитации пакета от Базовой станции.</w:t>
      </w:r>
      <w:r/>
    </w:p>
    <w:p>
      <w:r/>
      <w:r/>
    </w:p>
    <w:p>
      <w:pPr>
        <w:rPr>
          <w:b/>
        </w:rPr>
      </w:pPr>
      <w:r>
        <w:rPr>
          <w:b/>
        </w:rPr>
        <w:t xml:space="preserve">Имитация пакетов Базовой станции:</w:t>
      </w:r>
      <w:r>
        <w:rPr>
          <w:b/>
        </w:rPr>
      </w:r>
      <w:r/>
    </w:p>
    <w:p>
      <w:r>
        <w:t xml:space="preserve">Тест </w:t>
        <w:tab/>
        <w:t xml:space="preserve">| Пакет </w:t>
      </w:r>
      <w:r/>
    </w:p>
    <w:p>
      <w:r>
        <w:t xml:space="preserve">1 </w:t>
        <w:tab/>
        <w:t xml:space="preserve">|  $001B756D649540F3262A50007EF00\n</w:t>
      </w:r>
      <w:r/>
    </w:p>
    <w:p>
      <w:r>
        <w:t xml:space="preserve">2 </w:t>
        <w:tab/>
        <w:t xml:space="preserve">| </w:t>
      </w:r>
      <w:r>
        <w:t xml:space="preserve"> $00220E02D1A14E22FFAE12CD112BA72\n</w:t>
      </w:r>
      <w:r/>
    </w:p>
    <w:p>
      <w:r>
        <w:t xml:space="preserve">3 </w:t>
        <w:tab/>
        <w:t xml:space="preserve">| </w:t>
      </w:r>
      <w:r>
        <w:t xml:space="preserve"> $00220E02D1A14E22FFAE12CDFA1\n</w:t>
      </w:r>
      <w:r/>
    </w:p>
    <w:p>
      <w:r>
        <w:t xml:space="preserve">4 </w:t>
        <w:tab/>
        <w:t xml:space="preserve">| </w:t>
      </w:r>
      <w:r>
        <w:t xml:space="preserve"> $4006CBB77366EDDCFC7BB80000A2B\n</w:t>
      </w:r>
      <w:r/>
    </w:p>
    <w:p>
      <w:pPr>
        <w:ind w:left="0" w:right="0" w:hanging="0"/>
        <w:spacing w:after="236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5.1</w:t>
        <w:tab/>
        <w:t xml:space="preserve">|</w:t>
      </w:r>
      <w:r>
        <w:t xml:space="preserve">  $00000000000000000000080000B2A\n</w:t>
      </w:r>
      <w:r/>
    </w:p>
    <w:p>
      <w:r>
        <w:t xml:space="preserve">5.2</w:t>
        <w:tab/>
        <w:t xml:space="preserve">|</w:t>
      </w:r>
      <w:r>
        <w:t xml:space="preserve">  </w:t>
      </w:r>
      <w:r>
        <w:t xml:space="preserve">$3FFECBB77366EDDCFC7BBE0000C74\n</w:t>
      </w:r>
      <w:r/>
    </w:p>
    <w:p>
      <w:r>
        <w:t xml:space="preserve">5.3</w:t>
        <w:tab/>
        <w:t xml:space="preserve">| </w:t>
      </w:r>
      <w:r>
        <w:t xml:space="preserve"> </w:t>
      </w:r>
      <w:r>
        <w:t xml:space="preserve">$3FFECBB77366EDDCFC7BB60000D66\n</w:t>
      </w:r>
      <w:r/>
    </w:p>
    <w:p>
      <w:r>
        <w:t xml:space="preserve">6 </w:t>
        <w:tab/>
        <w:t xml:space="preserve">| </w:t>
      </w:r>
      <w:r>
        <w:t xml:space="preserve"> $000FCBB773E6EDDCFE7FB80000C4E\n </w:t>
      </w:r>
      <w:r/>
    </w:p>
    <w:p>
      <w:pPr>
        <w:ind w:left="0" w:right="0" w:hanging="0"/>
        <w:spacing w:after="236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 </w:t>
      </w:r>
      <w:r/>
    </w:p>
    <w:sectPr>
      <w:type w:val="nextPage"/>
      <w:pgSz w:w="11906" w:h="16838"/>
      <w:pgMar w:top="1134" w:right="850" w:bottom="1134" w:left="122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103">
    <w:name w:val="Default Paragraph Font"/>
    <w:uiPriority w:val="1"/>
    <w:semiHidden/>
    <w:unhideWhenUsed/>
  </w:style>
  <w:style w:type="table" w:styleId="104">
    <w:name w:val="Table Grid"/>
    <w:basedOn w:val="13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5">
    <w:name w:val="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06">
    <w:name w:val="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07">
    <w:name w:val="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08">
    <w:name w:val="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09">
    <w:name w:val="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10">
    <w:name w:val="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11">
    <w:name w:val="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12">
    <w:name w:val="Bordered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13">
    <w:name w:val="Bordered - Accent 1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14">
    <w:name w:val="Bordered - Accent 2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15">
    <w:name w:val="Bordered - Accent 3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16">
    <w:name w:val="Bordered - Accent 4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17">
    <w:name w:val="Bordered - Accent 5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18">
    <w:name w:val="Bordered - Accent 6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19">
    <w:name w:val="Bordered &amp; 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20">
    <w:name w:val="Bordered &amp; 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21">
    <w:name w:val="Bordered &amp; 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22">
    <w:name w:val="Bordered &amp; 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23">
    <w:name w:val="Bordered &amp; 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24">
    <w:name w:val="Bordered &amp; 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25">
    <w:name w:val="Bordered &amp; 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26">
    <w:name w:val="Hyperlink"/>
    <w:uiPriority w:val="99"/>
    <w:unhideWhenUsed/>
    <w:rPr>
      <w:color w:val="0000FF" w:themeColor="hyperlink"/>
      <w:u w:val="single"/>
    </w:rPr>
  </w:style>
  <w:style w:type="paragraph" w:default="1" w:styleId="127">
    <w:name w:val="Normal"/>
    <w:qFormat/>
  </w:style>
  <w:style w:type="paragraph" w:styleId="128">
    <w:name w:val="Heading 1"/>
    <w:basedOn w:val="127"/>
    <w:next w:val="12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9">
    <w:name w:val="Heading 2"/>
    <w:basedOn w:val="127"/>
    <w:next w:val="12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0">
    <w:name w:val="Heading 3"/>
    <w:basedOn w:val="127"/>
    <w:next w:val="12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1">
    <w:name w:val="Heading 4"/>
    <w:basedOn w:val="127"/>
    <w:next w:val="12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2">
    <w:name w:val="Heading 5"/>
    <w:basedOn w:val="127"/>
    <w:next w:val="12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3">
    <w:name w:val="Heading 6"/>
    <w:basedOn w:val="127"/>
    <w:next w:val="12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4">
    <w:name w:val="Heading 7"/>
    <w:basedOn w:val="127"/>
    <w:next w:val="12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35">
    <w:name w:val="Heading 8"/>
    <w:basedOn w:val="127"/>
    <w:next w:val="12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36">
    <w:name w:val="Heading 9"/>
    <w:basedOn w:val="127"/>
    <w:next w:val="12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3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38">
    <w:name w:val="No List"/>
    <w:uiPriority w:val="99"/>
    <w:semiHidden/>
    <w:unhideWhenUsed/>
  </w:style>
  <w:style w:type="paragraph" w:styleId="139">
    <w:name w:val="Foot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0">
    <w:name w:val="Head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1">
    <w:name w:val="No Spacing"/>
    <w:basedOn w:val="127"/>
    <w:qFormat/>
    <w:uiPriority w:val="1"/>
    <w:pPr>
      <w:spacing w:lineRule="auto" w:line="240" w:after="0"/>
    </w:pPr>
  </w:style>
  <w:style w:type="paragraph" w:styleId="142">
    <w:name w:val="Quote"/>
    <w:basedOn w:val="127"/>
    <w:next w:val="12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43">
    <w:name w:val="Subtitle"/>
    <w:basedOn w:val="127"/>
    <w:next w:val="12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44">
    <w:name w:val="Intense Quote"/>
    <w:basedOn w:val="127"/>
    <w:next w:val="12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45">
    <w:name w:val="Title"/>
    <w:basedOn w:val="127"/>
    <w:next w:val="12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46">
    <w:name w:val="List Paragraph"/>
    <w:basedOn w:val="12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