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2EE607" w14:textId="5D3B7936" w:rsidR="00A753DE" w:rsidRDefault="00104F6A">
      <w:r>
        <w:t xml:space="preserve">Please be advised that an Office action has been received in the above-identified matter.  Per Honeywell’s billing policy, most matters (Aero matters excluded) are assigned a prosecution budget.  This budget amount is to cover </w:t>
      </w:r>
      <w:r w:rsidR="00A753DE">
        <w:t xml:space="preserve">all </w:t>
      </w:r>
      <w:r>
        <w:t xml:space="preserve">time billed for work completed after the filing of the application through to allowance.  </w:t>
      </w:r>
    </w:p>
    <w:p w14:paraId="659E657D" w14:textId="5D18BEE5" w:rsidR="00A753DE" w:rsidRDefault="00104F6A">
      <w:r>
        <w:t xml:space="preserve">To assist you with monitoring </w:t>
      </w:r>
      <w:r w:rsidR="00A753DE">
        <w:t xml:space="preserve">billings relative to the budget, attached </w:t>
      </w:r>
      <w:r w:rsidR="00C252E3">
        <w:t>is</w:t>
      </w:r>
      <w:r w:rsidR="00A753DE">
        <w:t xml:space="preserve"> a listing of all billed time entries to date</w:t>
      </w:r>
      <w:r w:rsidR="00AB0A42">
        <w:t xml:space="preserve"> for this matter</w:t>
      </w:r>
      <w:r w:rsidR="00A753DE">
        <w:t xml:space="preserve">.  </w:t>
      </w:r>
      <w:r w:rsidR="00AB0A42">
        <w:t xml:space="preserve">The entries have been split into two groups: Application “filing” and “prosecution” and total billed amounts </w:t>
      </w:r>
      <w:r w:rsidR="00F5446D">
        <w:t>are</w:t>
      </w:r>
      <w:r w:rsidR="00AB0A42">
        <w:t xml:space="preserve"> provided for each.  Subtracting the “prosecution total” from the cap listed below</w:t>
      </w:r>
      <w:r w:rsidR="00F5446D">
        <w:t xml:space="preserve"> will give you the amount of budget remaining.</w:t>
      </w:r>
      <w:r w:rsidR="00A753DE">
        <w:t xml:space="preserve">  </w:t>
      </w:r>
    </w:p>
    <w:p w14:paraId="3C22C556" w14:textId="77E38D2E" w:rsidR="00A753DE" w:rsidRDefault="00A753DE">
      <w:r>
        <w:t xml:space="preserve">The prosecution target/caps for various countries are provided below.  If it is believed that the work involved to respond to the Action will cause the total billings to exceed the prosecution budget, it may be advisable to contact Honeywell for approval or </w:t>
      </w:r>
      <w:r w:rsidR="00C252E3">
        <w:t xml:space="preserve">request </w:t>
      </w:r>
      <w:r>
        <w:t xml:space="preserve">an increase to the budget. </w:t>
      </w:r>
    </w:p>
    <w:tbl>
      <w:tblPr>
        <w:tblW w:w="8040" w:type="dxa"/>
        <w:tblLook w:val="04A0" w:firstRow="1" w:lastRow="0" w:firstColumn="1" w:lastColumn="0" w:noHBand="0" w:noVBand="1"/>
      </w:tblPr>
      <w:tblGrid>
        <w:gridCol w:w="3940"/>
        <w:gridCol w:w="2050"/>
        <w:gridCol w:w="2050"/>
      </w:tblGrid>
      <w:tr w:rsidR="00A753DE" w:rsidRPr="000C043D" w14:paraId="0CDCC4F0" w14:textId="77777777" w:rsidTr="00E300E0">
        <w:trPr>
          <w:trHeight w:val="540"/>
        </w:trPr>
        <w:tc>
          <w:tcPr>
            <w:tcW w:w="8040" w:type="dxa"/>
            <w:gridSpan w:val="3"/>
            <w:tcBorders>
              <w:top w:val="single" w:sz="4" w:space="0" w:color="auto"/>
              <w:left w:val="single" w:sz="4" w:space="0" w:color="auto"/>
              <w:bottom w:val="single" w:sz="4" w:space="0" w:color="auto"/>
              <w:right w:val="single" w:sz="4" w:space="0" w:color="auto"/>
            </w:tcBorders>
            <w:shd w:val="clear" w:color="000000" w:fill="FFF2CC"/>
            <w:noWrap/>
            <w:vAlign w:val="center"/>
            <w:hideMark/>
          </w:tcPr>
          <w:p w14:paraId="0A58D47F" w14:textId="77777777" w:rsidR="00A753DE" w:rsidRPr="000C043D" w:rsidRDefault="00A753DE" w:rsidP="00E300E0">
            <w:pPr>
              <w:spacing w:after="0" w:line="240" w:lineRule="auto"/>
              <w:jc w:val="center"/>
              <w:rPr>
                <w:rFonts w:ascii="Calibri" w:eastAsia="Times New Roman" w:hAnsi="Calibri" w:cs="Calibri"/>
                <w:b/>
                <w:bCs/>
                <w:color w:val="000000"/>
                <w:sz w:val="20"/>
                <w:szCs w:val="20"/>
              </w:rPr>
            </w:pPr>
            <w:r w:rsidRPr="000C043D">
              <w:rPr>
                <w:rFonts w:ascii="Calibri" w:eastAsia="Times New Roman" w:hAnsi="Calibri" w:cs="Calibri"/>
                <w:b/>
                <w:bCs/>
                <w:color w:val="000000"/>
                <w:sz w:val="20"/>
                <w:szCs w:val="20"/>
              </w:rPr>
              <w:t>Prosecution of Utility Application</w:t>
            </w:r>
          </w:p>
        </w:tc>
      </w:tr>
      <w:tr w:rsidR="00A753DE" w:rsidRPr="000C043D" w14:paraId="05484662" w14:textId="77777777" w:rsidTr="00E300E0">
        <w:trPr>
          <w:trHeight w:val="1457"/>
        </w:trPr>
        <w:tc>
          <w:tcPr>
            <w:tcW w:w="804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14:paraId="0C7BD287"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For all substantive services after the filing of a patent application, during the prosecution and prior to the notice of allowance where your firm is providing arguments to the patent office on prosecution‐related services or providing instructions to the prosecuting agent on a counterpart application. For clarity, the administrative services set forth in Honeywell’s administrative fee schedule are excluded from this phase.</w:t>
            </w:r>
          </w:p>
        </w:tc>
      </w:tr>
      <w:tr w:rsidR="00A753DE" w:rsidRPr="000C043D" w14:paraId="1463998C" w14:textId="77777777" w:rsidTr="00E300E0">
        <w:trPr>
          <w:trHeight w:val="300"/>
        </w:trPr>
        <w:tc>
          <w:tcPr>
            <w:tcW w:w="3940" w:type="dxa"/>
            <w:tcBorders>
              <w:top w:val="nil"/>
              <w:left w:val="single" w:sz="4" w:space="0" w:color="auto"/>
              <w:bottom w:val="single" w:sz="4" w:space="0" w:color="auto"/>
              <w:right w:val="single" w:sz="4" w:space="0" w:color="auto"/>
            </w:tcBorders>
            <w:shd w:val="clear" w:color="000000" w:fill="FFF2CC"/>
            <w:noWrap/>
            <w:vAlign w:val="center"/>
            <w:hideMark/>
          </w:tcPr>
          <w:p w14:paraId="40C0E010" w14:textId="77777777" w:rsidR="00A753DE" w:rsidRPr="000C043D" w:rsidRDefault="00A753DE" w:rsidP="00E300E0">
            <w:pPr>
              <w:spacing w:after="0" w:line="240" w:lineRule="auto"/>
              <w:jc w:val="center"/>
              <w:rPr>
                <w:rFonts w:ascii="Calibri" w:eastAsia="Times New Roman" w:hAnsi="Calibri" w:cs="Calibri"/>
                <w:b/>
                <w:bCs/>
                <w:color w:val="000000"/>
                <w:sz w:val="20"/>
                <w:szCs w:val="20"/>
              </w:rPr>
            </w:pPr>
            <w:r w:rsidRPr="000C043D">
              <w:rPr>
                <w:rFonts w:ascii="Calibri" w:eastAsia="Times New Roman" w:hAnsi="Calibri" w:cs="Calibri"/>
                <w:b/>
                <w:bCs/>
                <w:color w:val="000000"/>
                <w:sz w:val="20"/>
                <w:szCs w:val="20"/>
              </w:rPr>
              <w:t>Country</w:t>
            </w:r>
          </w:p>
        </w:tc>
        <w:tc>
          <w:tcPr>
            <w:tcW w:w="2050" w:type="dxa"/>
            <w:tcBorders>
              <w:top w:val="nil"/>
              <w:left w:val="nil"/>
              <w:bottom w:val="single" w:sz="4" w:space="0" w:color="auto"/>
              <w:right w:val="single" w:sz="4" w:space="0" w:color="auto"/>
            </w:tcBorders>
            <w:shd w:val="clear" w:color="000000" w:fill="FFF2CC"/>
            <w:noWrap/>
            <w:vAlign w:val="center"/>
            <w:hideMark/>
          </w:tcPr>
          <w:p w14:paraId="4260A413" w14:textId="77777777" w:rsidR="00A753DE" w:rsidRPr="000C043D" w:rsidRDefault="00A753DE" w:rsidP="00E300E0">
            <w:pPr>
              <w:spacing w:after="0" w:line="240" w:lineRule="auto"/>
              <w:jc w:val="center"/>
              <w:rPr>
                <w:rFonts w:ascii="Calibri" w:eastAsia="Times New Roman" w:hAnsi="Calibri" w:cs="Calibri"/>
                <w:b/>
                <w:bCs/>
                <w:color w:val="000000"/>
                <w:sz w:val="20"/>
                <w:szCs w:val="20"/>
              </w:rPr>
            </w:pPr>
            <w:r w:rsidRPr="000C043D">
              <w:rPr>
                <w:rFonts w:ascii="Calibri" w:eastAsia="Times New Roman" w:hAnsi="Calibri" w:cs="Calibri"/>
                <w:b/>
                <w:bCs/>
                <w:color w:val="000000"/>
                <w:sz w:val="20"/>
                <w:szCs w:val="20"/>
              </w:rPr>
              <w:t>Target</w:t>
            </w:r>
          </w:p>
        </w:tc>
        <w:tc>
          <w:tcPr>
            <w:tcW w:w="2050" w:type="dxa"/>
            <w:tcBorders>
              <w:top w:val="nil"/>
              <w:left w:val="nil"/>
              <w:bottom w:val="single" w:sz="4" w:space="0" w:color="auto"/>
              <w:right w:val="single" w:sz="4" w:space="0" w:color="auto"/>
            </w:tcBorders>
            <w:shd w:val="clear" w:color="000000" w:fill="FFF2CC"/>
            <w:noWrap/>
            <w:vAlign w:val="center"/>
            <w:hideMark/>
          </w:tcPr>
          <w:p w14:paraId="108333B6" w14:textId="77777777" w:rsidR="00A753DE" w:rsidRPr="000C043D" w:rsidRDefault="00A753DE" w:rsidP="00E300E0">
            <w:pPr>
              <w:spacing w:after="0" w:line="240" w:lineRule="auto"/>
              <w:jc w:val="center"/>
              <w:rPr>
                <w:rFonts w:ascii="Calibri" w:eastAsia="Times New Roman" w:hAnsi="Calibri" w:cs="Calibri"/>
                <w:b/>
                <w:bCs/>
                <w:color w:val="000000"/>
                <w:sz w:val="20"/>
                <w:szCs w:val="20"/>
              </w:rPr>
            </w:pPr>
            <w:r w:rsidRPr="000C043D">
              <w:rPr>
                <w:rFonts w:ascii="Calibri" w:eastAsia="Times New Roman" w:hAnsi="Calibri" w:cs="Calibri"/>
                <w:b/>
                <w:bCs/>
                <w:color w:val="000000"/>
                <w:sz w:val="20"/>
                <w:szCs w:val="20"/>
              </w:rPr>
              <w:t>Cap</w:t>
            </w:r>
          </w:p>
        </w:tc>
      </w:tr>
      <w:tr w:rsidR="00A753DE" w:rsidRPr="000C043D" w14:paraId="0C8598AC" w14:textId="77777777" w:rsidTr="00E300E0">
        <w:trPr>
          <w:trHeight w:val="300"/>
        </w:trPr>
        <w:tc>
          <w:tcPr>
            <w:tcW w:w="3940" w:type="dxa"/>
            <w:tcBorders>
              <w:top w:val="nil"/>
              <w:left w:val="single" w:sz="4" w:space="0" w:color="auto"/>
              <w:bottom w:val="single" w:sz="4" w:space="0" w:color="auto"/>
              <w:right w:val="single" w:sz="4" w:space="0" w:color="auto"/>
            </w:tcBorders>
            <w:shd w:val="clear" w:color="auto" w:fill="auto"/>
            <w:noWrap/>
            <w:vAlign w:val="center"/>
            <w:hideMark/>
          </w:tcPr>
          <w:p w14:paraId="4C064DD3"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Australia</w:t>
            </w:r>
          </w:p>
        </w:tc>
        <w:tc>
          <w:tcPr>
            <w:tcW w:w="2050" w:type="dxa"/>
            <w:tcBorders>
              <w:top w:val="nil"/>
              <w:left w:val="nil"/>
              <w:bottom w:val="single" w:sz="4" w:space="0" w:color="auto"/>
              <w:right w:val="single" w:sz="4" w:space="0" w:color="auto"/>
            </w:tcBorders>
            <w:shd w:val="clear" w:color="auto" w:fill="auto"/>
            <w:noWrap/>
            <w:vAlign w:val="center"/>
            <w:hideMark/>
          </w:tcPr>
          <w:p w14:paraId="28E479CF"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$1,500</w:t>
            </w:r>
          </w:p>
        </w:tc>
        <w:tc>
          <w:tcPr>
            <w:tcW w:w="2050" w:type="dxa"/>
            <w:tcBorders>
              <w:top w:val="nil"/>
              <w:left w:val="nil"/>
              <w:bottom w:val="single" w:sz="4" w:space="0" w:color="auto"/>
              <w:right w:val="single" w:sz="4" w:space="0" w:color="auto"/>
            </w:tcBorders>
            <w:shd w:val="clear" w:color="auto" w:fill="auto"/>
            <w:noWrap/>
            <w:vAlign w:val="center"/>
            <w:hideMark/>
          </w:tcPr>
          <w:p w14:paraId="6021D217"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$2,500</w:t>
            </w:r>
          </w:p>
        </w:tc>
      </w:tr>
      <w:tr w:rsidR="00A753DE" w:rsidRPr="000C043D" w14:paraId="02D38E71" w14:textId="77777777" w:rsidTr="00E300E0">
        <w:trPr>
          <w:trHeight w:val="300"/>
        </w:trPr>
        <w:tc>
          <w:tcPr>
            <w:tcW w:w="3940" w:type="dxa"/>
            <w:tcBorders>
              <w:top w:val="nil"/>
              <w:left w:val="single" w:sz="4" w:space="0" w:color="auto"/>
              <w:bottom w:val="single" w:sz="4" w:space="0" w:color="auto"/>
              <w:right w:val="single" w:sz="4" w:space="0" w:color="auto"/>
            </w:tcBorders>
            <w:shd w:val="clear" w:color="auto" w:fill="auto"/>
            <w:noWrap/>
            <w:vAlign w:val="center"/>
            <w:hideMark/>
          </w:tcPr>
          <w:p w14:paraId="7C3EA991"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Canada</w:t>
            </w:r>
          </w:p>
        </w:tc>
        <w:tc>
          <w:tcPr>
            <w:tcW w:w="2050" w:type="dxa"/>
            <w:tcBorders>
              <w:top w:val="nil"/>
              <w:left w:val="nil"/>
              <w:bottom w:val="single" w:sz="4" w:space="0" w:color="auto"/>
              <w:right w:val="single" w:sz="4" w:space="0" w:color="auto"/>
            </w:tcBorders>
            <w:shd w:val="clear" w:color="auto" w:fill="auto"/>
            <w:noWrap/>
            <w:vAlign w:val="center"/>
            <w:hideMark/>
          </w:tcPr>
          <w:p w14:paraId="0AFC0A87"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$1,800</w:t>
            </w:r>
          </w:p>
        </w:tc>
        <w:tc>
          <w:tcPr>
            <w:tcW w:w="2050" w:type="dxa"/>
            <w:tcBorders>
              <w:top w:val="nil"/>
              <w:left w:val="nil"/>
              <w:bottom w:val="single" w:sz="4" w:space="0" w:color="auto"/>
              <w:right w:val="single" w:sz="4" w:space="0" w:color="auto"/>
            </w:tcBorders>
            <w:shd w:val="clear" w:color="auto" w:fill="auto"/>
            <w:noWrap/>
            <w:vAlign w:val="center"/>
            <w:hideMark/>
          </w:tcPr>
          <w:p w14:paraId="022C916C"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$3,000</w:t>
            </w:r>
          </w:p>
        </w:tc>
      </w:tr>
      <w:tr w:rsidR="00A753DE" w:rsidRPr="000C043D" w14:paraId="367D52CD" w14:textId="77777777" w:rsidTr="00E300E0">
        <w:trPr>
          <w:trHeight w:val="300"/>
        </w:trPr>
        <w:tc>
          <w:tcPr>
            <w:tcW w:w="3940" w:type="dxa"/>
            <w:tcBorders>
              <w:top w:val="nil"/>
              <w:left w:val="single" w:sz="4" w:space="0" w:color="auto"/>
              <w:bottom w:val="single" w:sz="4" w:space="0" w:color="auto"/>
              <w:right w:val="single" w:sz="4" w:space="0" w:color="auto"/>
            </w:tcBorders>
            <w:shd w:val="clear" w:color="auto" w:fill="auto"/>
            <w:noWrap/>
            <w:vAlign w:val="center"/>
            <w:hideMark/>
          </w:tcPr>
          <w:p w14:paraId="090C2CFE"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China</w:t>
            </w:r>
          </w:p>
        </w:tc>
        <w:tc>
          <w:tcPr>
            <w:tcW w:w="2050" w:type="dxa"/>
            <w:tcBorders>
              <w:top w:val="nil"/>
              <w:left w:val="nil"/>
              <w:bottom w:val="single" w:sz="4" w:space="0" w:color="auto"/>
              <w:right w:val="single" w:sz="4" w:space="0" w:color="auto"/>
            </w:tcBorders>
            <w:shd w:val="clear" w:color="auto" w:fill="auto"/>
            <w:noWrap/>
            <w:vAlign w:val="center"/>
            <w:hideMark/>
          </w:tcPr>
          <w:p w14:paraId="3326CFA1"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$2,100</w:t>
            </w:r>
          </w:p>
        </w:tc>
        <w:tc>
          <w:tcPr>
            <w:tcW w:w="2050" w:type="dxa"/>
            <w:tcBorders>
              <w:top w:val="nil"/>
              <w:left w:val="nil"/>
              <w:bottom w:val="single" w:sz="4" w:space="0" w:color="auto"/>
              <w:right w:val="single" w:sz="4" w:space="0" w:color="auto"/>
            </w:tcBorders>
            <w:shd w:val="clear" w:color="auto" w:fill="auto"/>
            <w:noWrap/>
            <w:vAlign w:val="center"/>
            <w:hideMark/>
          </w:tcPr>
          <w:p w14:paraId="72F83104"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$3,600</w:t>
            </w:r>
          </w:p>
        </w:tc>
      </w:tr>
      <w:tr w:rsidR="00A753DE" w:rsidRPr="000C043D" w14:paraId="241C7117" w14:textId="77777777" w:rsidTr="00E300E0">
        <w:trPr>
          <w:trHeight w:val="300"/>
        </w:trPr>
        <w:tc>
          <w:tcPr>
            <w:tcW w:w="3940" w:type="dxa"/>
            <w:tcBorders>
              <w:top w:val="nil"/>
              <w:left w:val="single" w:sz="4" w:space="0" w:color="auto"/>
              <w:bottom w:val="single" w:sz="4" w:space="0" w:color="auto"/>
              <w:right w:val="single" w:sz="4" w:space="0" w:color="auto"/>
            </w:tcBorders>
            <w:shd w:val="clear" w:color="auto" w:fill="auto"/>
            <w:noWrap/>
            <w:vAlign w:val="center"/>
            <w:hideMark/>
          </w:tcPr>
          <w:p w14:paraId="00DE4F21"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Europe</w:t>
            </w:r>
          </w:p>
        </w:tc>
        <w:tc>
          <w:tcPr>
            <w:tcW w:w="2050" w:type="dxa"/>
            <w:tcBorders>
              <w:top w:val="nil"/>
              <w:left w:val="nil"/>
              <w:bottom w:val="single" w:sz="4" w:space="0" w:color="auto"/>
              <w:right w:val="single" w:sz="4" w:space="0" w:color="auto"/>
            </w:tcBorders>
            <w:shd w:val="clear" w:color="auto" w:fill="auto"/>
            <w:noWrap/>
            <w:vAlign w:val="center"/>
            <w:hideMark/>
          </w:tcPr>
          <w:p w14:paraId="6B8E517E"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$1,800</w:t>
            </w:r>
          </w:p>
        </w:tc>
        <w:tc>
          <w:tcPr>
            <w:tcW w:w="2050" w:type="dxa"/>
            <w:tcBorders>
              <w:top w:val="nil"/>
              <w:left w:val="nil"/>
              <w:bottom w:val="single" w:sz="4" w:space="0" w:color="auto"/>
              <w:right w:val="single" w:sz="4" w:space="0" w:color="auto"/>
            </w:tcBorders>
            <w:shd w:val="clear" w:color="auto" w:fill="auto"/>
            <w:noWrap/>
            <w:vAlign w:val="center"/>
            <w:hideMark/>
          </w:tcPr>
          <w:p w14:paraId="4DD94AEE"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$3,100</w:t>
            </w:r>
          </w:p>
        </w:tc>
      </w:tr>
      <w:tr w:rsidR="00A753DE" w:rsidRPr="000C043D" w14:paraId="6B48D391" w14:textId="77777777" w:rsidTr="00E300E0">
        <w:trPr>
          <w:trHeight w:val="300"/>
        </w:trPr>
        <w:tc>
          <w:tcPr>
            <w:tcW w:w="3940" w:type="dxa"/>
            <w:tcBorders>
              <w:top w:val="nil"/>
              <w:left w:val="single" w:sz="4" w:space="0" w:color="auto"/>
              <w:bottom w:val="single" w:sz="4" w:space="0" w:color="auto"/>
              <w:right w:val="single" w:sz="4" w:space="0" w:color="auto"/>
            </w:tcBorders>
            <w:shd w:val="clear" w:color="auto" w:fill="auto"/>
            <w:noWrap/>
            <w:vAlign w:val="center"/>
            <w:hideMark/>
          </w:tcPr>
          <w:p w14:paraId="722B5705"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India</w:t>
            </w:r>
          </w:p>
        </w:tc>
        <w:tc>
          <w:tcPr>
            <w:tcW w:w="2050" w:type="dxa"/>
            <w:tcBorders>
              <w:top w:val="nil"/>
              <w:left w:val="nil"/>
              <w:bottom w:val="single" w:sz="4" w:space="0" w:color="auto"/>
              <w:right w:val="single" w:sz="4" w:space="0" w:color="auto"/>
            </w:tcBorders>
            <w:shd w:val="clear" w:color="auto" w:fill="auto"/>
            <w:noWrap/>
            <w:vAlign w:val="center"/>
            <w:hideMark/>
          </w:tcPr>
          <w:p w14:paraId="03B64897"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$1,500</w:t>
            </w:r>
          </w:p>
        </w:tc>
        <w:tc>
          <w:tcPr>
            <w:tcW w:w="2050" w:type="dxa"/>
            <w:tcBorders>
              <w:top w:val="nil"/>
              <w:left w:val="nil"/>
              <w:bottom w:val="single" w:sz="4" w:space="0" w:color="auto"/>
              <w:right w:val="single" w:sz="4" w:space="0" w:color="auto"/>
            </w:tcBorders>
            <w:shd w:val="clear" w:color="auto" w:fill="auto"/>
            <w:noWrap/>
            <w:vAlign w:val="center"/>
            <w:hideMark/>
          </w:tcPr>
          <w:p w14:paraId="030B8062"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$2,000</w:t>
            </w:r>
          </w:p>
        </w:tc>
      </w:tr>
      <w:tr w:rsidR="00A753DE" w:rsidRPr="000C043D" w14:paraId="39159514" w14:textId="77777777" w:rsidTr="00E300E0">
        <w:trPr>
          <w:trHeight w:val="300"/>
        </w:trPr>
        <w:tc>
          <w:tcPr>
            <w:tcW w:w="3940" w:type="dxa"/>
            <w:tcBorders>
              <w:top w:val="nil"/>
              <w:left w:val="single" w:sz="4" w:space="0" w:color="auto"/>
              <w:bottom w:val="single" w:sz="4" w:space="0" w:color="auto"/>
              <w:right w:val="single" w:sz="4" w:space="0" w:color="auto"/>
            </w:tcBorders>
            <w:shd w:val="clear" w:color="auto" w:fill="auto"/>
            <w:noWrap/>
            <w:vAlign w:val="center"/>
            <w:hideMark/>
          </w:tcPr>
          <w:p w14:paraId="63E942B5"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Japan</w:t>
            </w:r>
          </w:p>
        </w:tc>
        <w:tc>
          <w:tcPr>
            <w:tcW w:w="2050" w:type="dxa"/>
            <w:tcBorders>
              <w:top w:val="nil"/>
              <w:left w:val="nil"/>
              <w:bottom w:val="single" w:sz="4" w:space="0" w:color="auto"/>
              <w:right w:val="single" w:sz="4" w:space="0" w:color="auto"/>
            </w:tcBorders>
            <w:shd w:val="clear" w:color="auto" w:fill="auto"/>
            <w:noWrap/>
            <w:vAlign w:val="center"/>
            <w:hideMark/>
          </w:tcPr>
          <w:p w14:paraId="06B11337"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$1,800</w:t>
            </w:r>
          </w:p>
        </w:tc>
        <w:tc>
          <w:tcPr>
            <w:tcW w:w="2050" w:type="dxa"/>
            <w:tcBorders>
              <w:top w:val="nil"/>
              <w:left w:val="nil"/>
              <w:bottom w:val="single" w:sz="4" w:space="0" w:color="auto"/>
              <w:right w:val="single" w:sz="4" w:space="0" w:color="auto"/>
            </w:tcBorders>
            <w:shd w:val="clear" w:color="auto" w:fill="auto"/>
            <w:noWrap/>
            <w:vAlign w:val="center"/>
            <w:hideMark/>
          </w:tcPr>
          <w:p w14:paraId="523AE950"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$3,500</w:t>
            </w:r>
          </w:p>
        </w:tc>
      </w:tr>
      <w:tr w:rsidR="00A753DE" w:rsidRPr="000C043D" w14:paraId="2B331346" w14:textId="77777777" w:rsidTr="00E300E0">
        <w:trPr>
          <w:trHeight w:val="300"/>
        </w:trPr>
        <w:tc>
          <w:tcPr>
            <w:tcW w:w="3940" w:type="dxa"/>
            <w:tcBorders>
              <w:top w:val="nil"/>
              <w:left w:val="single" w:sz="4" w:space="0" w:color="auto"/>
              <w:bottom w:val="single" w:sz="4" w:space="0" w:color="auto"/>
              <w:right w:val="single" w:sz="4" w:space="0" w:color="auto"/>
            </w:tcBorders>
            <w:shd w:val="clear" w:color="auto" w:fill="auto"/>
            <w:noWrap/>
            <w:vAlign w:val="center"/>
            <w:hideMark/>
          </w:tcPr>
          <w:p w14:paraId="0C04F324"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United States</w:t>
            </w:r>
          </w:p>
        </w:tc>
        <w:tc>
          <w:tcPr>
            <w:tcW w:w="2050" w:type="dxa"/>
            <w:tcBorders>
              <w:top w:val="nil"/>
              <w:left w:val="nil"/>
              <w:bottom w:val="single" w:sz="4" w:space="0" w:color="auto"/>
              <w:right w:val="single" w:sz="4" w:space="0" w:color="auto"/>
            </w:tcBorders>
            <w:shd w:val="clear" w:color="auto" w:fill="auto"/>
            <w:noWrap/>
            <w:vAlign w:val="center"/>
            <w:hideMark/>
          </w:tcPr>
          <w:p w14:paraId="34F05B82"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$3,100</w:t>
            </w:r>
          </w:p>
        </w:tc>
        <w:tc>
          <w:tcPr>
            <w:tcW w:w="2050" w:type="dxa"/>
            <w:tcBorders>
              <w:top w:val="nil"/>
              <w:left w:val="nil"/>
              <w:bottom w:val="single" w:sz="4" w:space="0" w:color="auto"/>
              <w:right w:val="single" w:sz="4" w:space="0" w:color="auto"/>
            </w:tcBorders>
            <w:shd w:val="clear" w:color="auto" w:fill="auto"/>
            <w:noWrap/>
            <w:vAlign w:val="center"/>
            <w:hideMark/>
          </w:tcPr>
          <w:p w14:paraId="03F3633F"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$6,200</w:t>
            </w:r>
          </w:p>
        </w:tc>
      </w:tr>
    </w:tbl>
    <w:p w14:paraId="61771E6C" w14:textId="77777777" w:rsidR="00A753DE" w:rsidRDefault="00A753DE" w:rsidP="00A753DE"/>
    <w:p w14:paraId="31D705B4" w14:textId="77777777" w:rsidR="00A753DE" w:rsidRDefault="00A753DE" w:rsidP="00A753DE">
      <w:r>
        <w:t>If this is an Aerospace matter, budgets are applied to the action (examples below).  If questions, please refer to the Honeywell Aerospace Prosecution Fee Schedule.</w:t>
      </w:r>
    </w:p>
    <w:tbl>
      <w:tblPr>
        <w:tblW w:w="8090" w:type="dxa"/>
        <w:tblLook w:val="04A0" w:firstRow="1" w:lastRow="0" w:firstColumn="1" w:lastColumn="0" w:noHBand="0" w:noVBand="1"/>
      </w:tblPr>
      <w:tblGrid>
        <w:gridCol w:w="3950"/>
        <w:gridCol w:w="4140"/>
      </w:tblGrid>
      <w:tr w:rsidR="00A753DE" w:rsidRPr="000C043D" w14:paraId="0ED65C36" w14:textId="77777777" w:rsidTr="00A753DE">
        <w:trPr>
          <w:trHeight w:val="340"/>
        </w:trPr>
        <w:tc>
          <w:tcPr>
            <w:tcW w:w="3950" w:type="dxa"/>
            <w:tcBorders>
              <w:top w:val="single" w:sz="8" w:space="0" w:color="auto"/>
              <w:left w:val="single" w:sz="8" w:space="0" w:color="auto"/>
              <w:bottom w:val="single" w:sz="8" w:space="0" w:color="auto"/>
              <w:right w:val="single" w:sz="8" w:space="0" w:color="auto"/>
            </w:tcBorders>
            <w:shd w:val="clear" w:color="000000" w:fill="FFF2CC"/>
            <w:vAlign w:val="center"/>
            <w:hideMark/>
          </w:tcPr>
          <w:p w14:paraId="21029685" w14:textId="77777777" w:rsidR="00A753DE" w:rsidRPr="000C043D" w:rsidRDefault="00A753DE" w:rsidP="00E300E0">
            <w:pPr>
              <w:spacing w:after="0" w:line="240" w:lineRule="auto"/>
              <w:jc w:val="center"/>
              <w:rPr>
                <w:rFonts w:ascii="Calibri" w:eastAsia="Times New Roman" w:hAnsi="Calibri" w:cs="Calibri"/>
                <w:b/>
                <w:bCs/>
                <w:color w:val="000000"/>
                <w:sz w:val="20"/>
                <w:szCs w:val="20"/>
              </w:rPr>
            </w:pPr>
            <w:r w:rsidRPr="000C043D">
              <w:rPr>
                <w:rFonts w:ascii="Calibri" w:eastAsia="Times New Roman" w:hAnsi="Calibri" w:cs="Calibri"/>
                <w:b/>
                <w:bCs/>
                <w:color w:val="000000"/>
                <w:sz w:val="20"/>
                <w:szCs w:val="20"/>
              </w:rPr>
              <w:t>Not To Exceed Fee Tasks (Capped)</w:t>
            </w:r>
          </w:p>
        </w:tc>
        <w:tc>
          <w:tcPr>
            <w:tcW w:w="4140" w:type="dxa"/>
            <w:tcBorders>
              <w:top w:val="single" w:sz="8" w:space="0" w:color="auto"/>
              <w:left w:val="nil"/>
              <w:bottom w:val="single" w:sz="8" w:space="0" w:color="auto"/>
              <w:right w:val="single" w:sz="8" w:space="0" w:color="auto"/>
            </w:tcBorders>
            <w:shd w:val="clear" w:color="000000" w:fill="FFF2CC"/>
            <w:vAlign w:val="center"/>
            <w:hideMark/>
          </w:tcPr>
          <w:p w14:paraId="7B5534C5" w14:textId="77777777" w:rsidR="00A753DE" w:rsidRPr="000C043D" w:rsidRDefault="00A753DE" w:rsidP="00E300E0">
            <w:pPr>
              <w:spacing w:after="0" w:line="240" w:lineRule="auto"/>
              <w:jc w:val="center"/>
              <w:rPr>
                <w:rFonts w:ascii="Calibri" w:eastAsia="Times New Roman" w:hAnsi="Calibri" w:cs="Calibri"/>
                <w:b/>
                <w:bCs/>
                <w:color w:val="000000"/>
                <w:sz w:val="20"/>
                <w:szCs w:val="20"/>
              </w:rPr>
            </w:pPr>
            <w:r w:rsidRPr="000C043D">
              <w:rPr>
                <w:rFonts w:ascii="Calibri" w:eastAsia="Times New Roman" w:hAnsi="Calibri" w:cs="Calibri"/>
                <w:b/>
                <w:bCs/>
                <w:color w:val="000000"/>
                <w:sz w:val="20"/>
                <w:szCs w:val="20"/>
              </w:rPr>
              <w:t>Attorney Fee</w:t>
            </w:r>
          </w:p>
        </w:tc>
      </w:tr>
      <w:tr w:rsidR="00A753DE" w:rsidRPr="000C043D" w14:paraId="13F65388" w14:textId="77777777" w:rsidTr="00E300E0">
        <w:trPr>
          <w:trHeight w:val="583"/>
        </w:trPr>
        <w:tc>
          <w:tcPr>
            <w:tcW w:w="3950" w:type="dxa"/>
            <w:tcBorders>
              <w:top w:val="nil"/>
              <w:left w:val="single" w:sz="8" w:space="0" w:color="auto"/>
              <w:bottom w:val="single" w:sz="8" w:space="0" w:color="auto"/>
              <w:right w:val="single" w:sz="8" w:space="0" w:color="auto"/>
            </w:tcBorders>
            <w:shd w:val="clear" w:color="auto" w:fill="auto"/>
            <w:vAlign w:val="center"/>
            <w:hideMark/>
          </w:tcPr>
          <w:p w14:paraId="509C33CC"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U.S. Office Action Response</w:t>
            </w:r>
          </w:p>
        </w:tc>
        <w:tc>
          <w:tcPr>
            <w:tcW w:w="4140" w:type="dxa"/>
            <w:tcBorders>
              <w:top w:val="nil"/>
              <w:left w:val="nil"/>
              <w:bottom w:val="single" w:sz="8" w:space="0" w:color="auto"/>
              <w:right w:val="single" w:sz="8" w:space="0" w:color="auto"/>
            </w:tcBorders>
            <w:shd w:val="clear" w:color="auto" w:fill="auto"/>
            <w:vAlign w:val="center"/>
            <w:hideMark/>
          </w:tcPr>
          <w:p w14:paraId="137BEB15"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$2,000</w:t>
            </w:r>
            <w:r w:rsidRPr="000C043D">
              <w:rPr>
                <w:rFonts w:ascii="Calibri" w:eastAsia="Times New Roman" w:hAnsi="Calibri" w:cs="Calibri"/>
                <w:color w:val="000000"/>
                <w:sz w:val="20"/>
                <w:szCs w:val="20"/>
              </w:rPr>
              <w:br/>
              <w:t xml:space="preserve">(Add’l $300 fee allowed for Examiner interview) </w:t>
            </w:r>
          </w:p>
        </w:tc>
      </w:tr>
      <w:tr w:rsidR="00A753DE" w:rsidRPr="000C043D" w14:paraId="4F2D166A" w14:textId="77777777" w:rsidTr="00A753DE">
        <w:trPr>
          <w:trHeight w:val="367"/>
        </w:trPr>
        <w:tc>
          <w:tcPr>
            <w:tcW w:w="3950" w:type="dxa"/>
            <w:tcBorders>
              <w:top w:val="nil"/>
              <w:left w:val="single" w:sz="8" w:space="0" w:color="auto"/>
              <w:bottom w:val="single" w:sz="8" w:space="0" w:color="auto"/>
              <w:right w:val="single" w:sz="8" w:space="0" w:color="auto"/>
            </w:tcBorders>
            <w:shd w:val="clear" w:color="auto" w:fill="auto"/>
            <w:vAlign w:val="center"/>
            <w:hideMark/>
          </w:tcPr>
          <w:p w14:paraId="6BEF4625" w14:textId="77777777" w:rsidR="00A753DE" w:rsidRPr="000C043D" w:rsidRDefault="00A753DE" w:rsidP="00E300E0">
            <w:pPr>
              <w:spacing w:after="0" w:line="240" w:lineRule="auto"/>
              <w:jc w:val="both"/>
              <w:rPr>
                <w:rFonts w:ascii="Calibri" w:eastAsia="Times New Roman" w:hAnsi="Calibri" w:cs="Calibri"/>
                <w:color w:val="000000"/>
                <w:sz w:val="20"/>
                <w:szCs w:val="20"/>
              </w:rPr>
            </w:pPr>
            <w:r w:rsidRPr="000C043D">
              <w:rPr>
                <w:rFonts w:ascii="Calibri" w:eastAsia="Times New Roman" w:hAnsi="Calibri" w:cs="Calibri"/>
                <w:color w:val="000000"/>
                <w:sz w:val="20"/>
                <w:szCs w:val="20"/>
              </w:rPr>
              <w:t>Appeal - Notice of Appeal/Pre-Appeal Brief</w:t>
            </w:r>
          </w:p>
        </w:tc>
        <w:tc>
          <w:tcPr>
            <w:tcW w:w="4140" w:type="dxa"/>
            <w:tcBorders>
              <w:top w:val="nil"/>
              <w:left w:val="nil"/>
              <w:bottom w:val="single" w:sz="8" w:space="0" w:color="auto"/>
              <w:right w:val="single" w:sz="8" w:space="0" w:color="auto"/>
            </w:tcBorders>
            <w:shd w:val="clear" w:color="auto" w:fill="auto"/>
            <w:vAlign w:val="center"/>
            <w:hideMark/>
          </w:tcPr>
          <w:p w14:paraId="5562ED0E"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 xml:space="preserve">$1,200 </w:t>
            </w:r>
          </w:p>
        </w:tc>
      </w:tr>
      <w:tr w:rsidR="00A753DE" w:rsidRPr="000C043D" w14:paraId="51727B9E" w14:textId="77777777" w:rsidTr="00A753DE">
        <w:trPr>
          <w:trHeight w:val="340"/>
        </w:trPr>
        <w:tc>
          <w:tcPr>
            <w:tcW w:w="3950" w:type="dxa"/>
            <w:tcBorders>
              <w:top w:val="nil"/>
              <w:left w:val="single" w:sz="8" w:space="0" w:color="auto"/>
              <w:bottom w:val="single" w:sz="8" w:space="0" w:color="auto"/>
              <w:right w:val="single" w:sz="8" w:space="0" w:color="auto"/>
            </w:tcBorders>
            <w:shd w:val="clear" w:color="auto" w:fill="auto"/>
            <w:vAlign w:val="center"/>
            <w:hideMark/>
          </w:tcPr>
          <w:p w14:paraId="0FC1C2AB"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 xml:space="preserve">Appeal Brief </w:t>
            </w:r>
          </w:p>
        </w:tc>
        <w:tc>
          <w:tcPr>
            <w:tcW w:w="4140" w:type="dxa"/>
            <w:tcBorders>
              <w:top w:val="nil"/>
              <w:left w:val="nil"/>
              <w:bottom w:val="single" w:sz="8" w:space="0" w:color="auto"/>
              <w:right w:val="single" w:sz="8" w:space="0" w:color="auto"/>
            </w:tcBorders>
            <w:shd w:val="clear" w:color="auto" w:fill="auto"/>
            <w:vAlign w:val="center"/>
            <w:hideMark/>
          </w:tcPr>
          <w:p w14:paraId="1755CBA7"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 xml:space="preserve">$2,400 </w:t>
            </w:r>
          </w:p>
        </w:tc>
      </w:tr>
      <w:tr w:rsidR="00A753DE" w:rsidRPr="000C043D" w14:paraId="5E63D803" w14:textId="77777777" w:rsidTr="00A753DE">
        <w:trPr>
          <w:trHeight w:val="340"/>
        </w:trPr>
        <w:tc>
          <w:tcPr>
            <w:tcW w:w="3950" w:type="dxa"/>
            <w:tcBorders>
              <w:top w:val="nil"/>
              <w:left w:val="single" w:sz="8" w:space="0" w:color="auto"/>
              <w:bottom w:val="single" w:sz="8" w:space="0" w:color="auto"/>
              <w:right w:val="single" w:sz="8" w:space="0" w:color="auto"/>
            </w:tcBorders>
            <w:shd w:val="clear" w:color="auto" w:fill="auto"/>
            <w:vAlign w:val="center"/>
            <w:hideMark/>
          </w:tcPr>
          <w:p w14:paraId="2FFD2DD9"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Appeal Reply Brief</w:t>
            </w:r>
          </w:p>
        </w:tc>
        <w:tc>
          <w:tcPr>
            <w:tcW w:w="4140" w:type="dxa"/>
            <w:tcBorders>
              <w:top w:val="nil"/>
              <w:left w:val="nil"/>
              <w:bottom w:val="single" w:sz="8" w:space="0" w:color="auto"/>
              <w:right w:val="single" w:sz="8" w:space="0" w:color="auto"/>
            </w:tcBorders>
            <w:shd w:val="clear" w:color="auto" w:fill="auto"/>
            <w:vAlign w:val="center"/>
            <w:hideMark/>
          </w:tcPr>
          <w:p w14:paraId="1ED4A252"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 xml:space="preserve">$1,800 </w:t>
            </w:r>
          </w:p>
        </w:tc>
      </w:tr>
      <w:tr w:rsidR="00A753DE" w:rsidRPr="000C043D" w14:paraId="6C54B1F4" w14:textId="77777777" w:rsidTr="00A753DE">
        <w:trPr>
          <w:trHeight w:val="340"/>
        </w:trPr>
        <w:tc>
          <w:tcPr>
            <w:tcW w:w="3950" w:type="dxa"/>
            <w:tcBorders>
              <w:top w:val="nil"/>
              <w:left w:val="single" w:sz="8" w:space="0" w:color="auto"/>
              <w:bottom w:val="single" w:sz="8" w:space="0" w:color="auto"/>
              <w:right w:val="single" w:sz="8" w:space="0" w:color="auto"/>
            </w:tcBorders>
            <w:shd w:val="clear" w:color="auto" w:fill="auto"/>
            <w:vAlign w:val="center"/>
            <w:hideMark/>
          </w:tcPr>
          <w:p w14:paraId="3762DC15"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Foreign Office Action</w:t>
            </w:r>
          </w:p>
        </w:tc>
        <w:tc>
          <w:tcPr>
            <w:tcW w:w="4140" w:type="dxa"/>
            <w:tcBorders>
              <w:top w:val="nil"/>
              <w:left w:val="nil"/>
              <w:bottom w:val="single" w:sz="8" w:space="0" w:color="auto"/>
              <w:right w:val="single" w:sz="8" w:space="0" w:color="auto"/>
            </w:tcBorders>
            <w:shd w:val="clear" w:color="auto" w:fill="auto"/>
            <w:vAlign w:val="center"/>
            <w:hideMark/>
          </w:tcPr>
          <w:p w14:paraId="66A1E82B"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 xml:space="preserve">$1,800 </w:t>
            </w:r>
          </w:p>
        </w:tc>
      </w:tr>
      <w:tr w:rsidR="00A753DE" w:rsidRPr="000C043D" w14:paraId="57A0AF4D" w14:textId="77777777" w:rsidTr="00A753DE">
        <w:trPr>
          <w:trHeight w:val="340"/>
        </w:trPr>
        <w:tc>
          <w:tcPr>
            <w:tcW w:w="3950" w:type="dxa"/>
            <w:tcBorders>
              <w:top w:val="nil"/>
              <w:left w:val="single" w:sz="8" w:space="0" w:color="auto"/>
              <w:bottom w:val="single" w:sz="8" w:space="0" w:color="auto"/>
              <w:right w:val="single" w:sz="8" w:space="0" w:color="auto"/>
            </w:tcBorders>
            <w:shd w:val="clear" w:color="auto" w:fill="auto"/>
            <w:vAlign w:val="center"/>
            <w:hideMark/>
          </w:tcPr>
          <w:p w14:paraId="083BD2E8" w14:textId="77777777" w:rsidR="00A753DE" w:rsidRPr="000C043D" w:rsidRDefault="00A753DE" w:rsidP="00E300E0">
            <w:pPr>
              <w:spacing w:after="0" w:line="240" w:lineRule="auto"/>
              <w:rPr>
                <w:rFonts w:ascii="Calibri" w:eastAsia="Times New Roman" w:hAnsi="Calibri" w:cs="Calibri"/>
                <w:color w:val="000000"/>
                <w:sz w:val="20"/>
                <w:szCs w:val="20"/>
              </w:rPr>
            </w:pPr>
            <w:r w:rsidRPr="000C043D">
              <w:rPr>
                <w:rFonts w:ascii="Calibri" w:eastAsia="Times New Roman" w:hAnsi="Calibri" w:cs="Calibri"/>
                <w:color w:val="000000"/>
                <w:sz w:val="20"/>
                <w:szCs w:val="20"/>
              </w:rPr>
              <w:t>Response to a Restriction Requirement</w:t>
            </w:r>
          </w:p>
        </w:tc>
        <w:tc>
          <w:tcPr>
            <w:tcW w:w="4140" w:type="dxa"/>
            <w:tcBorders>
              <w:top w:val="nil"/>
              <w:left w:val="nil"/>
              <w:bottom w:val="single" w:sz="8" w:space="0" w:color="auto"/>
              <w:right w:val="single" w:sz="8" w:space="0" w:color="auto"/>
            </w:tcBorders>
            <w:shd w:val="clear" w:color="auto" w:fill="auto"/>
            <w:vAlign w:val="center"/>
            <w:hideMark/>
          </w:tcPr>
          <w:p w14:paraId="7A16CC18" w14:textId="77777777" w:rsidR="00A753DE" w:rsidRPr="000C043D" w:rsidRDefault="00A753DE" w:rsidP="00E300E0">
            <w:pPr>
              <w:spacing w:after="0" w:line="240" w:lineRule="auto"/>
              <w:jc w:val="center"/>
              <w:rPr>
                <w:rFonts w:ascii="Calibri" w:eastAsia="Times New Roman" w:hAnsi="Calibri" w:cs="Calibri"/>
                <w:color w:val="000000"/>
                <w:sz w:val="20"/>
                <w:szCs w:val="20"/>
              </w:rPr>
            </w:pPr>
            <w:r w:rsidRPr="000C043D">
              <w:rPr>
                <w:rFonts w:ascii="Calibri" w:eastAsia="Times New Roman" w:hAnsi="Calibri" w:cs="Calibri"/>
                <w:color w:val="000000"/>
                <w:sz w:val="20"/>
                <w:szCs w:val="20"/>
              </w:rPr>
              <w:t xml:space="preserve">$500 </w:t>
            </w:r>
          </w:p>
        </w:tc>
      </w:tr>
    </w:tbl>
    <w:p w14:paraId="0DC017B9" w14:textId="08A85071" w:rsidR="0074663C" w:rsidRDefault="00A753DE">
      <w:r>
        <w:t xml:space="preserve">   </w:t>
      </w:r>
      <w:r w:rsidR="00104F6A">
        <w:t xml:space="preserve">  </w:t>
      </w:r>
    </w:p>
    <w:sectPr w:rsidR="00746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6A"/>
    <w:rsid w:val="00104F6A"/>
    <w:rsid w:val="0074663C"/>
    <w:rsid w:val="00A753DE"/>
    <w:rsid w:val="00AB0A42"/>
    <w:rsid w:val="00C252E3"/>
    <w:rsid w:val="00EF4545"/>
    <w:rsid w:val="00F432E5"/>
    <w:rsid w:val="00F54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F64CA"/>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HoneywellBudget.dotx</Template>
  <TotalTime>0</TotalTime>
  <Pages>1</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J. Hanson</dc:creator>
  <cp:keywords/>
  <dc:description/>
  <cp:lastModifiedBy>Jacob Burns</cp:lastModifiedBy>
  <cp:revision>2</cp:revision>
  <dcterms:created xsi:type="dcterms:W3CDTF">2024-06-03T23:51:00Z</dcterms:created>
  <dcterms:modified xsi:type="dcterms:W3CDTF">2024-06-03T23:51:00Z</dcterms:modified>
</cp:coreProperties>
</file>