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REGULATION OF BUTYROPHILIN 2A1 (BTN2A1)</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3730.226WO1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 xml:space="preserve">Applicant: </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1650 Owens Street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San Francisco</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CA</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 xml:space="preserve">US  </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94158</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 xml:space="preserve">Assignee: </w:t>
            </w:r>
            <w:proofErr w:type="gramStart"/>
            <w:r w:rsidRPr="00853C80">
              <w:rPr>
                <w:b/>
              </w:rPr>
            </w:r>
            <w:r>
              <w:t xml:space="preserve">  </w:t>
            </w:r>
            <w:r w:rsidRPr="007B6205">
              <w:t>The J. David Gladstone Institutes, a testamentary trust established under the Will of J. David Gladstone</w:t>
            </w:r>
            <w:proofErr w:type="gramEnd"/>
            <w:r w:rsidRPr="007B6205"/>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1650 Owens Street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San Francisco</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CA</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94158</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42,989</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3730.226WO1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PC/TUS2024034,486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REGULATION OF BUTYROPHILIN 2A1 (BTN2A1)</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