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D66CF" w14:textId="25A5CA70" w:rsidR="004F3778" w:rsidRDefault="001700CC" w:rsidP="004F3778">
      <w:pPr>
        <w:pStyle w:val="NormalWeb"/>
        <w:spacing w:before="0" w:beforeAutospacing="0" w:after="0" w:afterAutospacing="0"/>
      </w:pPr>
      <w:r>
        <w:t xml:space="preserve">Subject line: &lt;&lt;orgName&gt;&gt;: &lt;&lt;clientRefNo&gt;&gt; / SLW Ref: &lt;&lt;matterNo&gt;&gt; / </w:t>
      </w:r>
      <w:r w:rsidR="004F3778" w:rsidRPr="004F3778">
        <w:t>Instructions Needed - National Stage Filings</w:t>
      </w:r>
    </w:p>
    <w:p w14:paraId="258E0D1C" w14:textId="77777777" w:rsidR="004F3778" w:rsidRDefault="004F3778" w:rsidP="004F3778">
      <w:pPr>
        <w:pStyle w:val="NormalWeb"/>
        <w:spacing w:before="0" w:beforeAutospacing="0" w:after="0" w:afterAutospacing="0"/>
      </w:pPr>
    </w:p>
    <w:p w14:paraId="5599B2F4" w14:textId="77777777" w:rsidR="004F3778" w:rsidRDefault="004F3778" w:rsidP="004F3778">
      <w:pPr>
        <w:pStyle w:val="NormalWeb"/>
        <w:spacing w:before="0" w:beforeAutospacing="0" w:after="0" w:afterAutospacing="0"/>
      </w:pPr>
    </w:p>
    <w:p w14:paraId="047314EF" w14:textId="77777777" w:rsidR="004F3778" w:rsidRDefault="004F3778" w:rsidP="004F3778">
      <w:pPr>
        <w:pStyle w:val="NormalWeb"/>
        <w:spacing w:before="0" w:beforeAutospacing="0" w:after="0" w:afterAutospacing="0"/>
      </w:pPr>
    </w:p>
    <w:p w14:paraId="4DF6C394" w14:textId="77777777" w:rsidR="004F3778" w:rsidRDefault="004F3778" w:rsidP="004F3778">
      <w:pPr>
        <w:pStyle w:val="NormalWeb"/>
        <w:spacing w:before="0" w:beforeAutospacing="0" w:after="0" w:afterAutospacing="0"/>
      </w:pPr>
      <w:r>
        <w:t>Body:</w:t>
      </w:r>
    </w:p>
    <w:p w14:paraId="0EB9EBCC" w14:textId="77777777" w:rsidR="004F3778" w:rsidRDefault="004F3778" w:rsidP="004F3778">
      <w:pPr>
        <w:pStyle w:val="NormalWeb"/>
        <w:spacing w:before="0" w:beforeAutospacing="0" w:after="0" w:afterAutospacing="0"/>
      </w:pPr>
    </w:p>
    <w:p w14:paraId="0D979B39" w14:textId="77777777" w:rsidR="004F3778" w:rsidRDefault="004F3778" w:rsidP="004F3778">
      <w:pPr>
        <w:pStyle w:val="NormalWeb"/>
      </w:pPr>
      <w:r>
        <w:t xml:space="preserve">SCHWEGMAN LUNDBERG &amp; WOESSNER, P.A. </w:t>
      </w:r>
    </w:p>
    <w:p w14:paraId="0C2A9055" w14:textId="77777777" w:rsidR="004F3778" w:rsidRDefault="004F3778" w:rsidP="004F3778">
      <w:pPr>
        <w:pStyle w:val="NormalWeb"/>
      </w:pPr>
    </w:p>
    <w:p w14:paraId="57EFD050" w14:textId="77777777" w:rsidR="004F3778" w:rsidRDefault="004F3778" w:rsidP="004F3778">
      <w:r>
        <w:t>&lt;&lt;This.WAName&gt;&gt; &lt;&lt;This.WAPhone&gt;&gt;  &lt;&lt;This.WAEmail&gt;&gt;</w:t>
      </w:r>
    </w:p>
    <w:p w14:paraId="26177930" w14:textId="77777777" w:rsidR="004F3778" w:rsidRDefault="004F3778" w:rsidP="004F3778">
      <w:r>
        <w:t>&lt;&lt;This.paraName&gt;&gt; &lt;&lt;This.paraPhone&gt;&gt;  &lt;&lt;This.paraEmail&gt;&gt;</w:t>
      </w:r>
    </w:p>
    <w:p w14:paraId="63DF1012" w14:textId="77777777" w:rsidR="00AB34FE" w:rsidRDefault="00AB34FE">
      <w:pPr>
        <w:rPr>
          <w:sz w:val="24"/>
          <w:szCs w:val="24"/>
        </w:rPr>
      </w:pPr>
    </w:p>
    <w:p w14:paraId="7F786F42" w14:textId="77777777" w:rsidR="00AB34FE" w:rsidRPr="002571DE" w:rsidRDefault="00AB34FE">
      <w:pPr>
        <w:rPr>
          <w:sz w:val="24"/>
          <w:szCs w:val="24"/>
        </w:rPr>
      </w:pPr>
      <w:r w:rsidRPr="002571DE">
        <w:rPr>
          <w:sz w:val="24"/>
          <w:szCs w:val="24"/>
        </w:rPr>
        <w:t>Re:</w:t>
      </w:r>
      <w:r w:rsidRPr="002571DE">
        <w:rPr>
          <w:sz w:val="24"/>
          <w:szCs w:val="24"/>
        </w:rPr>
        <w:tab/>
      </w:r>
      <w:r w:rsidR="002125D4" w:rsidRPr="002571DE">
        <w:rPr>
          <w:sz w:val="24"/>
          <w:szCs w:val="24"/>
        </w:rPr>
        <w:t xml:space="preserve">&lt;&lt;orgName&gt;&gt; </w:t>
      </w:r>
      <w:r w:rsidR="002125D4" w:rsidRPr="002571DE">
        <w:rPr>
          <w:bCs/>
          <w:noProof/>
          <w:sz w:val="24"/>
          <w:szCs w:val="24"/>
        </w:rPr>
        <w:t>&lt;&lt;clientRefNo&gt;&gt;</w:t>
      </w:r>
      <w:r w:rsidR="002125D4" w:rsidRPr="002571DE">
        <w:rPr>
          <w:b/>
          <w:bCs/>
          <w:noProof/>
          <w:sz w:val="24"/>
          <w:szCs w:val="24"/>
        </w:rPr>
        <w:t xml:space="preserve"> -</w:t>
      </w:r>
      <w:r w:rsidR="002125D4" w:rsidRPr="002571DE">
        <w:rPr>
          <w:noProof/>
          <w:sz w:val="24"/>
          <w:szCs w:val="24"/>
        </w:rPr>
        <w:t xml:space="preserve"> SLW Ref. No. &lt;&lt;matterNo&gt;&gt;</w:t>
      </w:r>
    </w:p>
    <w:p w14:paraId="4A512652" w14:textId="77777777" w:rsidR="00AB34FE" w:rsidRPr="002571DE" w:rsidRDefault="00AB34FE">
      <w:pPr>
        <w:rPr>
          <w:sz w:val="24"/>
          <w:szCs w:val="24"/>
        </w:rPr>
      </w:pPr>
      <w:r w:rsidRPr="002571DE">
        <w:rPr>
          <w:sz w:val="24"/>
          <w:szCs w:val="24"/>
        </w:rPr>
        <w:tab/>
        <w:t xml:space="preserve">International Patent Application No. </w:t>
      </w:r>
      <w:r w:rsidR="002125D4" w:rsidRPr="002571DE">
        <w:rPr>
          <w:noProof/>
          <w:sz w:val="24"/>
          <w:szCs w:val="24"/>
        </w:rPr>
        <w:t>&lt;&lt;serialNo&gt;&gt;</w:t>
      </w:r>
    </w:p>
    <w:p w14:paraId="2637EEA2" w14:textId="77777777" w:rsidR="00AB34FE" w:rsidRDefault="00AB34FE">
      <w:pPr>
        <w:ind w:left="720"/>
        <w:rPr>
          <w:noProof/>
          <w:sz w:val="24"/>
          <w:szCs w:val="24"/>
        </w:rPr>
      </w:pPr>
      <w:r w:rsidRPr="002571DE">
        <w:rPr>
          <w:sz w:val="24"/>
          <w:szCs w:val="24"/>
        </w:rPr>
        <w:t xml:space="preserve">Title: </w:t>
      </w:r>
      <w:r w:rsidR="002125D4" w:rsidRPr="002571DE">
        <w:rPr>
          <w:noProof/>
          <w:sz w:val="24"/>
          <w:szCs w:val="24"/>
        </w:rPr>
        <w:t>&lt;&lt;title&gt;&gt;</w:t>
      </w:r>
    </w:p>
    <w:p w14:paraId="2D9A3AEB" w14:textId="4DA30EF5" w:rsidR="007C533D" w:rsidRDefault="007C533D">
      <w:pPr>
        <w:ind w:left="720"/>
        <w:rPr>
          <w:noProof/>
          <w:sz w:val="24"/>
          <w:szCs w:val="24"/>
        </w:rPr>
      </w:pPr>
      <w:r>
        <w:rPr>
          <w:noProof/>
          <w:sz w:val="24"/>
          <w:szCs w:val="24"/>
        </w:rPr>
        <w:t>Inventor(s): &lt;&lt;inventorList&gt;&gt;</w:t>
      </w:r>
    </w:p>
    <w:p w14:paraId="21F2C6BC" w14:textId="45C35191" w:rsidR="007C533D" w:rsidRPr="002571DE" w:rsidRDefault="007C533D">
      <w:pPr>
        <w:ind w:left="720"/>
        <w:rPr>
          <w:sz w:val="24"/>
          <w:szCs w:val="24"/>
        </w:rPr>
      </w:pPr>
      <w:r>
        <w:rPr>
          <w:noProof/>
          <w:sz w:val="24"/>
          <w:szCs w:val="24"/>
        </w:rPr>
        <w:t xml:space="preserve">Earliest Priority Information: Serial No. </w:t>
      </w:r>
    </w:p>
    <w:p w14:paraId="4ACA8455" w14:textId="6B6F7447" w:rsidR="00AB34FE" w:rsidRPr="00344DB0" w:rsidRDefault="00344DB0">
      <w:pPr>
        <w:rPr>
          <w:sz w:val="24"/>
          <w:szCs w:val="24"/>
          <w:u w:val="thick"/>
        </w:rPr>
      </w:pPr>
      <w:r>
        <w:t>__________________________________________________________________________________________</w:t>
      </w:r>
    </w:p>
    <w:p w14:paraId="564395A8" w14:textId="544AFD43" w:rsidR="00AB34FE" w:rsidRDefault="00000000">
      <w:pPr>
        <w:rPr>
          <w:sz w:val="24"/>
          <w:szCs w:val="24"/>
        </w:rPr>
      </w:pPr>
      <w:r>
        <w:rPr>
          <w:noProof/>
        </w:rPr>
        <w:pict w14:anchorId="04BE1527">
          <v:line id="_x0000_s1026" style="position:absolute;z-index:1;mso-position-horizontal-relative:margin" from="0,0" to="0,0" o:allowincell="f" strokecolor="#020000" strokeweight=".96pt">
            <w10:wrap anchorx="margin"/>
          </v:line>
        </w:pict>
      </w:r>
    </w:p>
    <w:p w14:paraId="79D133A1" w14:textId="1F29D2EC" w:rsidR="005259A8" w:rsidRPr="006573F5" w:rsidRDefault="005259A8" w:rsidP="005259A8">
      <w:pPr>
        <w:tabs>
          <w:tab w:val="left" w:pos="720"/>
          <w:tab w:val="left" w:pos="1440"/>
        </w:tabs>
        <w:ind w:left="1440" w:hanging="1440"/>
        <w:rPr>
          <w:sz w:val="24"/>
          <w:szCs w:val="24"/>
        </w:rPr>
      </w:pPr>
      <w:r w:rsidRPr="006573F5">
        <w:rPr>
          <w:b/>
          <w:sz w:val="24"/>
          <w:szCs w:val="24"/>
          <w:u w:val="single"/>
        </w:rPr>
        <w:t>ACTION</w:t>
      </w:r>
      <w:r w:rsidRPr="006573F5">
        <w:rPr>
          <w:sz w:val="24"/>
          <w:szCs w:val="24"/>
          <w:u w:val="single"/>
        </w:rPr>
        <w:t>:</w:t>
      </w:r>
      <w:r w:rsidR="00440C32">
        <w:rPr>
          <w:sz w:val="24"/>
          <w:szCs w:val="24"/>
        </w:rPr>
        <w:t xml:space="preserve"> </w:t>
      </w:r>
      <w:r w:rsidRPr="006573F5">
        <w:rPr>
          <w:b/>
          <w:sz w:val="24"/>
          <w:szCs w:val="24"/>
        </w:rPr>
        <w:t>NATIONAL STAGE INSTRUCTIONS NEEDED</w:t>
      </w:r>
    </w:p>
    <w:p w14:paraId="69B6B361" w14:textId="77777777" w:rsidR="005259A8" w:rsidRPr="006573F5" w:rsidRDefault="005259A8" w:rsidP="005259A8">
      <w:pPr>
        <w:rPr>
          <w:sz w:val="24"/>
          <w:szCs w:val="24"/>
        </w:rPr>
      </w:pPr>
    </w:p>
    <w:p w14:paraId="210C6EE0" w14:textId="75D2A5FB" w:rsidR="005259A8" w:rsidRPr="006573F5" w:rsidRDefault="005259A8" w:rsidP="005259A8">
      <w:pPr>
        <w:rPr>
          <w:b/>
          <w:bCs/>
          <w:sz w:val="24"/>
          <w:szCs w:val="24"/>
        </w:rPr>
      </w:pPr>
      <w:r w:rsidRPr="006573F5">
        <w:rPr>
          <w:b/>
          <w:sz w:val="24"/>
          <w:szCs w:val="24"/>
          <w:u w:val="single"/>
        </w:rPr>
        <w:t>RESPONSE REQUIRED NO LATER THAN</w:t>
      </w:r>
      <w:r w:rsidRPr="006573F5">
        <w:rPr>
          <w:sz w:val="24"/>
          <w:szCs w:val="24"/>
        </w:rPr>
        <w:t>:</w:t>
      </w:r>
      <w:r w:rsidR="00440C32">
        <w:rPr>
          <w:sz w:val="24"/>
          <w:szCs w:val="24"/>
        </w:rPr>
        <w:t xml:space="preserve"> </w:t>
      </w:r>
      <w:r w:rsidRPr="006573F5">
        <w:rPr>
          <w:b/>
          <w:sz w:val="24"/>
          <w:szCs w:val="24"/>
        </w:rPr>
        <w:t>&lt;&lt;instDate&gt;&gt;</w:t>
      </w:r>
    </w:p>
    <w:p w14:paraId="75064AA8" w14:textId="77777777" w:rsidR="005259A8" w:rsidRPr="006573F5" w:rsidRDefault="005259A8" w:rsidP="005259A8">
      <w:pPr>
        <w:rPr>
          <w:sz w:val="24"/>
          <w:szCs w:val="24"/>
        </w:rPr>
      </w:pPr>
    </w:p>
    <w:p w14:paraId="0D6B1395" w14:textId="77777777" w:rsidR="005259A8" w:rsidRPr="006573F5" w:rsidRDefault="005259A8" w:rsidP="005259A8">
      <w:pPr>
        <w:tabs>
          <w:tab w:val="left" w:pos="720"/>
          <w:tab w:val="left" w:pos="1440"/>
          <w:tab w:val="left" w:pos="2160"/>
        </w:tabs>
        <w:rPr>
          <w:b/>
          <w:sz w:val="24"/>
          <w:szCs w:val="24"/>
          <w:u w:val="single"/>
        </w:rPr>
      </w:pPr>
      <w:r w:rsidRPr="006573F5">
        <w:rPr>
          <w:b/>
          <w:sz w:val="24"/>
          <w:szCs w:val="24"/>
          <w:u w:val="single"/>
        </w:rPr>
        <w:t xml:space="preserve">NON-EXTENDABLE DEADLINE: &lt;&lt;npdueDate&gt;&gt; (Local Time in Each Country) </w:t>
      </w:r>
    </w:p>
    <w:p w14:paraId="5FDAFB0B" w14:textId="1AEB821B" w:rsidR="005259A8" w:rsidRDefault="00344DB0" w:rsidP="005259A8">
      <w:pPr>
        <w:rPr>
          <w:sz w:val="28"/>
          <w:szCs w:val="28"/>
        </w:rPr>
      </w:pPr>
      <w:r>
        <w:t>__________________________________________________________________________________________ </w:t>
      </w:r>
    </w:p>
    <w:p w14:paraId="5119FE5C" w14:textId="35C2B89F" w:rsidR="005259A8" w:rsidRDefault="00000000" w:rsidP="005259A8">
      <w:pPr>
        <w:rPr>
          <w:sz w:val="24"/>
          <w:szCs w:val="24"/>
        </w:rPr>
      </w:pPr>
      <w:r>
        <w:rPr>
          <w:noProof/>
        </w:rPr>
        <w:pict w14:anchorId="6C1B1DE9">
          <v:line id="_x0000_s1030" style="position:absolute;z-index:2;mso-position-horizontal-relative:margin" from="0,0" to="0,0" o:allowincell="f" strokecolor="#020000" strokeweight=".96pt">
            <w10:wrap anchorx="margin"/>
          </v:line>
        </w:pict>
      </w:r>
      <w:r w:rsidR="005259A8" w:rsidRPr="002E049A">
        <w:rPr>
          <w:sz w:val="24"/>
          <w:szCs w:val="24"/>
        </w:rPr>
        <w:t xml:space="preserve"> </w:t>
      </w:r>
      <w:r w:rsidR="005259A8" w:rsidRPr="002E049A">
        <w:rPr>
          <w:noProof/>
          <w:sz w:val="24"/>
          <w:szCs w:val="24"/>
        </w:rPr>
        <w:t>&lt;&lt;salutation&gt;&gt;</w:t>
      </w:r>
    </w:p>
    <w:p w14:paraId="6D3FFF5D" w14:textId="77777777" w:rsidR="005259A8" w:rsidRDefault="005259A8" w:rsidP="005259A8">
      <w:pPr>
        <w:rPr>
          <w:sz w:val="24"/>
          <w:szCs w:val="24"/>
        </w:rPr>
      </w:pPr>
      <w:r>
        <w:rPr>
          <w:sz w:val="24"/>
          <w:szCs w:val="24"/>
        </w:rPr>
        <w:t>The PCT application identified above must be converted to regional or national patent applications within 30 months of the priority date of &lt;&lt;priorityDate&gt;&gt;.  Since that time is approaching, your decision regarding the conversion of the international PCT application to national/regional applications in the various designated countries and/or regional offices must soon be made.</w:t>
      </w:r>
      <w:r>
        <w:rPr>
          <w:noProof/>
          <w:sz w:val="24"/>
          <w:szCs w:val="24"/>
        </w:rPr>
        <w:t xml:space="preserve">  &lt;&lt;nonProvText1&gt;&gt; </w:t>
      </w:r>
      <w:r>
        <w:rPr>
          <w:sz w:val="24"/>
          <w:szCs w:val="24"/>
        </w:rPr>
        <w:t xml:space="preserve">The absolute, non-extendable deadline for converting the international application to national/regional applications </w:t>
      </w:r>
      <w:r w:rsidRPr="006573F5">
        <w:rPr>
          <w:sz w:val="24"/>
          <w:szCs w:val="24"/>
        </w:rPr>
        <w:t xml:space="preserve">in the majority of eligible offices is </w:t>
      </w:r>
      <w:r w:rsidRPr="006573F5">
        <w:rPr>
          <w:b/>
          <w:sz w:val="24"/>
          <w:szCs w:val="24"/>
          <w:u w:val="single"/>
        </w:rPr>
        <w:t>&lt;&lt;npdueDate&gt;&gt;</w:t>
      </w:r>
      <w:r w:rsidRPr="006573F5">
        <w:rPr>
          <w:sz w:val="24"/>
          <w:szCs w:val="24"/>
        </w:rPr>
        <w:t>.  Please note that this deadline is the local date and time in the designated countries and/or regional offices where PCT conversion is initiated.  Early instructions are needed to account for differences in time zones, international dateline, and local associate processing.</w:t>
      </w:r>
    </w:p>
    <w:p w14:paraId="4B347ADC" w14:textId="77777777" w:rsidR="00AB34FE" w:rsidRDefault="00AB34FE">
      <w:pPr>
        <w:rPr>
          <w:sz w:val="24"/>
          <w:szCs w:val="24"/>
        </w:rPr>
      </w:pPr>
    </w:p>
    <w:p w14:paraId="375A2F4D" w14:textId="77777777" w:rsidR="00AB34FE" w:rsidRDefault="00AB34FE">
      <w:pPr>
        <w:rPr>
          <w:sz w:val="24"/>
          <w:szCs w:val="24"/>
        </w:rPr>
      </w:pPr>
      <w:r>
        <w:rPr>
          <w:sz w:val="24"/>
          <w:szCs w:val="24"/>
        </w:rPr>
        <w:t>The countries and/or regional offices which were designated in the PCT application and which are now available for conversion are shown on the first page of your published application, which is attached here for your convenience.</w:t>
      </w:r>
    </w:p>
    <w:p w14:paraId="19D56D99" w14:textId="77777777" w:rsidR="00AB34FE" w:rsidRDefault="00AB34FE">
      <w:pPr>
        <w:rPr>
          <w:sz w:val="24"/>
          <w:szCs w:val="24"/>
        </w:rPr>
      </w:pPr>
    </w:p>
    <w:p w14:paraId="2BDA4B25" w14:textId="77777777" w:rsidR="00147372" w:rsidRDefault="00AB34FE" w:rsidP="00147372">
      <w:pPr>
        <w:pStyle w:val="BodyText"/>
      </w:pPr>
      <w:r>
        <w:t>Please give this matter your prompt careful consideration.  If you would like cost estimates for a particular filing scenario, pleas</w:t>
      </w:r>
      <w:r w:rsidR="002E049A">
        <w:t>e ask and we will provide them.</w:t>
      </w:r>
    </w:p>
    <w:p w14:paraId="708185A2" w14:textId="77777777" w:rsidR="00147372" w:rsidRDefault="00147372" w:rsidP="00147372">
      <w:pPr>
        <w:pStyle w:val="BodyText"/>
      </w:pPr>
    </w:p>
    <w:p w14:paraId="33F084B9" w14:textId="77777777" w:rsidR="00AB34FE" w:rsidRDefault="00AB34FE" w:rsidP="00147372">
      <w:pPr>
        <w:pStyle w:val="BodyText"/>
      </w:pPr>
      <w:r>
        <w:lastRenderedPageBreak/>
        <w:t>Foreign filing is expensive.  The fees to foreign lawyers, foreign patent offices, and translation fees all become payable by us at the time we instruct our foreign associates to prepare national applications.  Accordingly we may need to work out payment arrangements with you before proceeding with the national stage filings.  Satisfactory arrangements need to be in place and any required retainers actually received by us before we are able to instruct our overseas associates to prepare the national stage applic</w:t>
      </w:r>
      <w:r w:rsidR="002E049A">
        <w:t>ations.</w:t>
      </w:r>
    </w:p>
    <w:p w14:paraId="2D208433" w14:textId="77777777" w:rsidR="00AB34FE" w:rsidRDefault="00AB34FE">
      <w:pPr>
        <w:rPr>
          <w:sz w:val="24"/>
          <w:szCs w:val="24"/>
        </w:rPr>
      </w:pPr>
    </w:p>
    <w:p w14:paraId="537C6DF2" w14:textId="77777777" w:rsidR="00AB34FE" w:rsidRDefault="00AB34FE">
      <w:pPr>
        <w:rPr>
          <w:sz w:val="24"/>
          <w:szCs w:val="24"/>
        </w:rPr>
      </w:pPr>
      <w:r>
        <w:rPr>
          <w:sz w:val="24"/>
          <w:szCs w:val="24"/>
        </w:rPr>
        <w:t xml:space="preserve">The DEADLINE for converting from an international application to one or more national/regional applications is </w:t>
      </w:r>
      <w:r>
        <w:rPr>
          <w:sz w:val="24"/>
          <w:szCs w:val="24"/>
          <w:u w:val="single"/>
        </w:rPr>
        <w:t>non-extendable</w:t>
      </w:r>
      <w:r>
        <w:rPr>
          <w:sz w:val="24"/>
          <w:szCs w:val="24"/>
        </w:rPr>
        <w:t>.  In other words, if nothing is filed by the deadline, all international patent rights will be irretrievably abandoned.</w:t>
      </w:r>
      <w:r w:rsidR="0076184A">
        <w:rPr>
          <w:sz w:val="24"/>
          <w:szCs w:val="24"/>
        </w:rPr>
        <w:t xml:space="preserve">  </w:t>
      </w:r>
      <w:r w:rsidR="0076184A">
        <w:rPr>
          <w:noProof/>
          <w:sz w:val="24"/>
          <w:szCs w:val="24"/>
        </w:rPr>
        <w:t>&lt;&lt;nonProvText2&gt;&gt;</w:t>
      </w:r>
    </w:p>
    <w:p w14:paraId="6792B973" w14:textId="77777777" w:rsidR="00AB34FE" w:rsidRDefault="00AB34FE">
      <w:pPr>
        <w:rPr>
          <w:sz w:val="24"/>
          <w:szCs w:val="24"/>
        </w:rPr>
      </w:pPr>
    </w:p>
    <w:p w14:paraId="02E15722" w14:textId="77777777" w:rsidR="00AB34FE" w:rsidRDefault="00AB34FE">
      <w:pPr>
        <w:rPr>
          <w:sz w:val="24"/>
          <w:szCs w:val="24"/>
        </w:rPr>
      </w:pPr>
      <w:r>
        <w:rPr>
          <w:sz w:val="24"/>
          <w:szCs w:val="24"/>
        </w:rPr>
        <w:t xml:space="preserve">Since a number of documents have to be prepared and possibly translated into different languages, and received by the various international patent offices, it is imperative that we receive both your filing instructions and any retainers we may require no later than </w:t>
      </w:r>
      <w:r w:rsidR="002125D4" w:rsidRPr="002125D4">
        <w:rPr>
          <w:b/>
          <w:sz w:val="24"/>
          <w:szCs w:val="24"/>
        </w:rPr>
        <w:t>&lt;&lt;instDate&gt;&gt;</w:t>
      </w:r>
      <w:r>
        <w:rPr>
          <w:i/>
          <w:iCs/>
          <w:sz w:val="24"/>
          <w:szCs w:val="24"/>
        </w:rPr>
        <w:t xml:space="preserve">.  </w:t>
      </w:r>
      <w:r>
        <w:rPr>
          <w:sz w:val="24"/>
          <w:szCs w:val="24"/>
        </w:rPr>
        <w:t xml:space="preserve">If instructions and credit arrangements (including payment of any necessary retainers) are not in place prior to </w:t>
      </w:r>
      <w:r w:rsidR="002125D4" w:rsidRPr="002125D4">
        <w:rPr>
          <w:b/>
          <w:i/>
          <w:sz w:val="24"/>
          <w:szCs w:val="24"/>
          <w:u w:val="single"/>
        </w:rPr>
        <w:t>&lt;&lt;instDate&gt;&gt;</w:t>
      </w:r>
      <w:r>
        <w:rPr>
          <w:i/>
          <w:iCs/>
          <w:sz w:val="24"/>
          <w:szCs w:val="24"/>
        </w:rPr>
        <w:t xml:space="preserve"> </w:t>
      </w:r>
      <w:r>
        <w:rPr>
          <w:iCs/>
          <w:sz w:val="24"/>
          <w:szCs w:val="24"/>
        </w:rPr>
        <w:t xml:space="preserve">you can expect that </w:t>
      </w:r>
      <w:r>
        <w:rPr>
          <w:sz w:val="24"/>
          <w:szCs w:val="24"/>
        </w:rPr>
        <w:t>we and our associates will be forced to charge increased fees for</w:t>
      </w:r>
      <w:r w:rsidR="002E049A">
        <w:rPr>
          <w:sz w:val="24"/>
          <w:szCs w:val="24"/>
        </w:rPr>
        <w:t xml:space="preserve"> acting on an expedited basis.</w:t>
      </w:r>
    </w:p>
    <w:p w14:paraId="19D86B7A" w14:textId="77777777" w:rsidR="00AB34FE" w:rsidRDefault="00AB34FE">
      <w:pPr>
        <w:rPr>
          <w:sz w:val="24"/>
          <w:szCs w:val="24"/>
        </w:rPr>
      </w:pPr>
    </w:p>
    <w:p w14:paraId="1E9FDCAD" w14:textId="77777777" w:rsidR="00AB34FE" w:rsidRDefault="00AB34FE">
      <w:pPr>
        <w:rPr>
          <w:sz w:val="24"/>
          <w:szCs w:val="24"/>
        </w:rPr>
      </w:pPr>
      <w:r>
        <w:rPr>
          <w:sz w:val="24"/>
          <w:szCs w:val="24"/>
        </w:rPr>
        <w:t xml:space="preserve">Finally, we also want you to be aware that if we do not receive both your instructions and all necessary retainer payments prior to </w:t>
      </w:r>
      <w:r w:rsidR="002E049A" w:rsidRPr="002E049A">
        <w:rPr>
          <w:b/>
          <w:sz w:val="24"/>
          <w:szCs w:val="24"/>
        </w:rPr>
        <w:t>&lt;&lt;dueDate</w:t>
      </w:r>
      <w:r w:rsidR="002E049A">
        <w:rPr>
          <w:b/>
          <w:sz w:val="24"/>
          <w:szCs w:val="24"/>
        </w:rPr>
        <w:t>1mo</w:t>
      </w:r>
      <w:r w:rsidR="002E049A" w:rsidRPr="002E049A">
        <w:rPr>
          <w:b/>
          <w:sz w:val="24"/>
          <w:szCs w:val="24"/>
        </w:rPr>
        <w:t>&gt;&gt;</w:t>
      </w:r>
      <w:r>
        <w:rPr>
          <w:sz w:val="24"/>
          <w:szCs w:val="24"/>
        </w:rPr>
        <w:t>, we will be unable to guarantee that we will actually complete the filings in all of the authorized countries.  In those cases we and our associates will still bill for services actually performed and we will, of course, exercise all reasonable efforts to complete the filings on schedule.  Since we cannot control all aspects of the filing process, there must be a time limit after which resul</w:t>
      </w:r>
      <w:r w:rsidR="002125D4">
        <w:rPr>
          <w:sz w:val="24"/>
          <w:szCs w:val="24"/>
        </w:rPr>
        <w:t>ts can no longer be guaranteed.</w:t>
      </w:r>
    </w:p>
    <w:p w14:paraId="75E1898C" w14:textId="77777777" w:rsidR="00AB34FE" w:rsidRDefault="00AB34FE">
      <w:pPr>
        <w:rPr>
          <w:sz w:val="24"/>
          <w:szCs w:val="24"/>
        </w:rPr>
      </w:pPr>
    </w:p>
    <w:p w14:paraId="43A26705" w14:textId="548FA095" w:rsidR="00AA1A93" w:rsidRDefault="00AA1A93" w:rsidP="00AA1A93">
      <w:pPr>
        <w:pStyle w:val="NormalWeb"/>
      </w:pPr>
      <w:r>
        <w:t>Please feel free to call &lt;&lt;This.WAName&gt;&gt; at &lt;&lt;This.WAPhone&gt;&gt;</w:t>
      </w:r>
      <w:r>
        <w:t xml:space="preserve"> </w:t>
      </w:r>
      <w:r>
        <w:t>if you would like to discuss this matter further, or if you need cost estimates for filing in specific countries.</w:t>
      </w:r>
    </w:p>
    <w:p w14:paraId="4944B329" w14:textId="77777777" w:rsidR="00AB34FE" w:rsidRDefault="00AB34FE">
      <w:pPr>
        <w:rPr>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AB34FE">
      <w:pgSz w:w="12240" w:h="15840"/>
      <w:pgMar w:top="1440" w:right="1440" w:bottom="1440" w:left="144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71376" w14:textId="77777777" w:rsidR="006156E3" w:rsidRDefault="006156E3">
      <w:r>
        <w:separator/>
      </w:r>
    </w:p>
  </w:endnote>
  <w:endnote w:type="continuationSeparator" w:id="0">
    <w:p w14:paraId="6246D36D" w14:textId="77777777" w:rsidR="006156E3" w:rsidRDefault="00615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54EC5" w14:textId="77777777" w:rsidR="006156E3" w:rsidRDefault="006156E3">
      <w:r>
        <w:separator/>
      </w:r>
    </w:p>
  </w:footnote>
  <w:footnote w:type="continuationSeparator" w:id="0">
    <w:p w14:paraId="07EA71EA" w14:textId="77777777" w:rsidR="006156E3" w:rsidRDefault="006156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184A"/>
    <w:rsid w:val="000844BA"/>
    <w:rsid w:val="000A7E6E"/>
    <w:rsid w:val="00147372"/>
    <w:rsid w:val="001700CC"/>
    <w:rsid w:val="002125D4"/>
    <w:rsid w:val="002571DE"/>
    <w:rsid w:val="002A5327"/>
    <w:rsid w:val="002E049A"/>
    <w:rsid w:val="00344DB0"/>
    <w:rsid w:val="0036104F"/>
    <w:rsid w:val="00440C32"/>
    <w:rsid w:val="00454CFC"/>
    <w:rsid w:val="004C6B66"/>
    <w:rsid w:val="004F3778"/>
    <w:rsid w:val="005259A8"/>
    <w:rsid w:val="006156E3"/>
    <w:rsid w:val="006B7DD6"/>
    <w:rsid w:val="0072555C"/>
    <w:rsid w:val="0076184A"/>
    <w:rsid w:val="007C533D"/>
    <w:rsid w:val="007F14E3"/>
    <w:rsid w:val="0089158F"/>
    <w:rsid w:val="009E7554"/>
    <w:rsid w:val="00A10F72"/>
    <w:rsid w:val="00AA1A93"/>
    <w:rsid w:val="00AB34FE"/>
    <w:rsid w:val="00B73919"/>
    <w:rsid w:val="00BA3060"/>
    <w:rsid w:val="00BC14AD"/>
    <w:rsid w:val="00C23C96"/>
    <w:rsid w:val="00CC7BAC"/>
    <w:rsid w:val="00DC19CC"/>
    <w:rsid w:val="00DE67F7"/>
    <w:rsid w:val="00FD5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141E7B"/>
  <w15:chartTrackingRefBased/>
  <w15:docId w15:val="{00CACFC9-B777-4F52-B168-A2380988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rPr>
      <w:sz w:val="24"/>
      <w:szCs w:val="24"/>
    </w:rPr>
  </w:style>
  <w:style w:type="paragraph" w:styleId="BalloonText">
    <w:name w:val="Balloon Text"/>
    <w:basedOn w:val="Normal"/>
    <w:link w:val="BalloonTextChar"/>
    <w:uiPriority w:val="99"/>
    <w:semiHidden/>
    <w:unhideWhenUsed/>
    <w:rsid w:val="00147372"/>
    <w:rPr>
      <w:rFonts w:ascii="Tahoma" w:hAnsi="Tahoma" w:cs="Tahoma"/>
      <w:sz w:val="16"/>
      <w:szCs w:val="16"/>
    </w:rPr>
  </w:style>
  <w:style w:type="character" w:customStyle="1" w:styleId="BalloonTextChar">
    <w:name w:val="Balloon Text Char"/>
    <w:link w:val="BalloonText"/>
    <w:uiPriority w:val="99"/>
    <w:semiHidden/>
    <w:rsid w:val="00147372"/>
    <w:rPr>
      <w:rFonts w:ascii="Tahoma" w:hAnsi="Tahoma" w:cs="Tahoma"/>
      <w:sz w:val="16"/>
      <w:szCs w:val="16"/>
    </w:rPr>
  </w:style>
  <w:style w:type="character" w:styleId="Hyperlink">
    <w:name w:val="Hyperlink"/>
    <w:uiPriority w:val="99"/>
    <w:unhideWhenUsed/>
    <w:rsid w:val="00147372"/>
    <w:rPr>
      <w:color w:val="0000FF"/>
      <w:u w:val="single"/>
    </w:rPr>
  </w:style>
  <w:style w:type="character" w:styleId="CommentReference">
    <w:name w:val="annotation reference"/>
    <w:uiPriority w:val="99"/>
    <w:semiHidden/>
    <w:unhideWhenUsed/>
    <w:rsid w:val="00FD53DC"/>
    <w:rPr>
      <w:sz w:val="16"/>
      <w:szCs w:val="16"/>
    </w:rPr>
  </w:style>
  <w:style w:type="paragraph" w:styleId="CommentText">
    <w:name w:val="annotation text"/>
    <w:basedOn w:val="Normal"/>
    <w:link w:val="CommentTextChar"/>
    <w:uiPriority w:val="99"/>
    <w:semiHidden/>
    <w:unhideWhenUsed/>
    <w:rsid w:val="00FD53DC"/>
  </w:style>
  <w:style w:type="character" w:customStyle="1" w:styleId="CommentTextChar">
    <w:name w:val="Comment Text Char"/>
    <w:basedOn w:val="DefaultParagraphFont"/>
    <w:link w:val="CommentText"/>
    <w:uiPriority w:val="99"/>
    <w:semiHidden/>
    <w:rsid w:val="00FD53DC"/>
  </w:style>
  <w:style w:type="paragraph" w:styleId="CommentSubject">
    <w:name w:val="annotation subject"/>
    <w:basedOn w:val="CommentText"/>
    <w:next w:val="CommentText"/>
    <w:link w:val="CommentSubjectChar"/>
    <w:uiPriority w:val="99"/>
    <w:semiHidden/>
    <w:unhideWhenUsed/>
    <w:rsid w:val="00FD53DC"/>
    <w:rPr>
      <w:b/>
      <w:bCs/>
    </w:rPr>
  </w:style>
  <w:style w:type="character" w:customStyle="1" w:styleId="CommentSubjectChar">
    <w:name w:val="Comment Subject Char"/>
    <w:link w:val="CommentSubject"/>
    <w:uiPriority w:val="99"/>
    <w:semiHidden/>
    <w:rsid w:val="00FD53DC"/>
    <w:rPr>
      <w:b/>
      <w:bCs/>
    </w:rPr>
  </w:style>
  <w:style w:type="paragraph" w:styleId="NormalWeb">
    <w:name w:val="Normal (Web)"/>
    <w:basedOn w:val="Normal"/>
    <w:uiPriority w:val="99"/>
    <w:unhideWhenUsed/>
    <w:rsid w:val="00AA1A93"/>
    <w:pPr>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15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B6F76D-3BB3-4BC7-A3FE-897E265D7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617</Words>
  <Characters>3523</Characters>
  <Application>Microsoft Office Word</Application>
  <DocSecurity>0</DocSecurity>
  <PresentationFormat/>
  <Lines>29</Lines>
  <Paragraphs>8</Paragraphs>
  <ScaleCrop>false</ScaleCrop>
  <HeadingPairs>
    <vt:vector size="2" baseType="variant">
      <vt:variant>
        <vt:lpstr>Title</vt:lpstr>
      </vt:variant>
      <vt:variant>
        <vt:i4>1</vt:i4>
      </vt:variant>
    </vt:vector>
  </HeadingPairs>
  <TitlesOfParts>
    <vt:vector size="1" baseType="lpstr">
      <vt:lpstr>CH II Nat. stage conversion warning  (524796.DOC;1)</vt:lpstr>
    </vt:vector>
  </TitlesOfParts>
  <Company>SLWK</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NatlPhase.DOT</dc:title>
  <dc:subject/>
  <dc:creator>Jill Young</dc:creator>
  <cp:keywords/>
  <dc:description/>
  <cp:lastModifiedBy>Jacob Burns</cp:lastModifiedBy>
  <cp:revision>9</cp:revision>
  <cp:lastPrinted>1900-01-01T06:00:00Z</cp:lastPrinted>
  <dcterms:created xsi:type="dcterms:W3CDTF">2024-06-03T23:50:00Z</dcterms:created>
  <dcterms:modified xsi:type="dcterms:W3CDTF">2024-10-22T20:07:00Z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1591474639</vt:i4>
  </property>
  <property fmtid="{D5CDD505-2E9C-101B-9397-08002B2CF9AE}" pid="3" name="_EmailSubject">
    <vt:lpwstr>24 month CH Ii reminder letter</vt:lpwstr>
  </property>
  <property fmtid="{D5CDD505-2E9C-101B-9397-08002B2CF9AE}" pid="4" name="_AuthorEmail">
    <vt:lpwstr>MMcCullough@slwk.com</vt:lpwstr>
  </property>
  <property fmtid="{D5CDD505-2E9C-101B-9397-08002B2CF9AE}" pid="5" name="_AuthorEmailDisplayName">
    <vt:lpwstr>Michelle McCullough</vt:lpwstr>
  </property>
  <property fmtid="{D5CDD505-2E9C-101B-9397-08002B2CF9AE}" pid="6" name="_ReviewingToolsShownOnce">
    <vt:lpwstr/>
  </property>
</Properties>
</file>