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208B5" w14:textId="77777777" w:rsidR="00C06B25" w:rsidRDefault="00C06B25">
      <w:pPr>
        <w:spacing w:before="320"/>
      </w:pPr>
    </w:p>
    <w:p w14:paraId="7584CED2" w14:textId="77777777" w:rsidR="00C06B25" w:rsidRDefault="00CB3E7C">
      <w:pPr>
        <w:spacing w:after="60"/>
        <w:jc w:val="center"/>
      </w:pPr>
      <w:r>
        <w:rPr>
          <w:b/>
          <w:bCs/>
          <w:color w:val="1A5C4E"/>
          <w:sz w:val="56"/>
          <w:szCs w:val="56"/>
        </w:rPr>
        <w:t>EQUINOX FRONTIER MARKETS WEEKLY</w:t>
      </w:r>
    </w:p>
    <w:p w14:paraId="02FF464A" w14:textId="77777777" w:rsidR="00C06B25" w:rsidRDefault="00CB3E7C">
      <w:pPr>
        <w:spacing w:after="80"/>
        <w:jc w:val="center"/>
      </w:pPr>
      <w:r>
        <w:rPr>
          <w:b/>
          <w:bCs/>
          <w:color w:val="2E8B70"/>
          <w:sz w:val="30"/>
          <w:szCs w:val="30"/>
        </w:rPr>
        <w:t>INSTITUTIONAL MARKET INTELLIGENCE</w:t>
      </w:r>
    </w:p>
    <w:p w14:paraId="163847A6" w14:textId="77777777" w:rsidR="00C06B25" w:rsidRDefault="00C06B25">
      <w:pPr>
        <w:pBdr>
          <w:bottom w:val="single" w:sz="10" w:space="1" w:color="1A5C4E"/>
        </w:pBdr>
        <w:spacing w:before="60" w:after="100"/>
      </w:pPr>
    </w:p>
    <w:p w14:paraId="082158B8" w14:textId="77777777" w:rsidR="00C06B25" w:rsidRPr="00267660" w:rsidRDefault="00CB3E7C">
      <w:pPr>
        <w:spacing w:before="60" w:after="200"/>
        <w:jc w:val="center"/>
        <w:rPr>
          <w:b/>
          <w:bCs/>
          <w:sz w:val="24"/>
          <w:szCs w:val="24"/>
        </w:rPr>
      </w:pPr>
      <w:r>
        <w:rPr>
          <w:b/>
          <w:bCs/>
          <w:color w:val="444444"/>
          <w:sz w:val="24"/>
          <w:szCs w:val="24"/>
        </w:rPr>
        <w:t>Nigeria</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39670E" w14:paraId="27C52752" w14:textId="77777777">
        <w:tc>
          <w:tcPr>
            <w:tcW w:w="2430" w:type="dxa"/>
            <w:shd w:val="clear" w:color="auto" w:fill="1A5C4E"/>
            <w:tcMar>
              <w:top w:w="100" w:type="dxa"/>
              <w:left w:w="140" w:type="dxa"/>
              <w:bottom w:w="100" w:type="dxa"/>
              <w:right w:w="140" w:type="dxa"/>
            </w:tcMar>
          </w:tcPr>
          <w:p w14:paraId="025531D0" w14:textId="22D53D78" w:rsidR="00C06B25" w:rsidRDefault="00CB3E7C" w:rsidP="007733FE">
            <w:pPr>
              <w:spacing w:after="40"/>
            </w:pPr>
            <w:r>
              <w:rPr>
                <w:b/>
                <w:color w:val="D6EDF0"/>
                <w:sz w:val="17"/>
                <w:szCs w:val="17"/>
              </w:rPr>
              <w:t>Report Date</w:t>
            </w:r>
            <w:r>
              <w:rPr>
                <w:b/>
                <w:color w:val="D6EDF0"/>
                <w:sz w:val="17"/>
                <w:szCs w:val="17"/>
              </w:rPr>
              <w:br/>
              <w:t>14 Sep 2026</w:t>
            </w:r>
          </w:p>
        </w:tc>
        <w:tc>
          <w:tcPr>
            <w:tcW w:w="2430" w:type="dxa"/>
            <w:shd w:val="clear" w:color="auto" w:fill="1A5C4E"/>
            <w:tcMar>
              <w:top w:w="100" w:type="dxa"/>
              <w:left w:w="140" w:type="dxa"/>
              <w:bottom w:w="100" w:type="dxa"/>
              <w:right w:w="140" w:type="dxa"/>
            </w:tcMar>
          </w:tcPr>
          <w:p w14:paraId="19649710" w14:textId="2AF80E55" w:rsidR="00C06B25" w:rsidRDefault="00CB3E7C" w:rsidP="007733FE">
            <w:pPr>
              <w:spacing w:after="40"/>
            </w:pPr>
            <w:r>
              <w:rPr>
                <w:b/>
                <w:color w:val="D6EDF0"/>
                <w:sz w:val="17"/>
                <w:szCs w:val="17"/>
              </w:rPr>
              <w:t>Coverage Period</w:t>
            </w:r>
            <w:r>
              <w:rPr>
                <w:b/>
                <w:color w:val="D6EDF0"/>
                <w:sz w:val="17"/>
                <w:szCs w:val="17"/>
              </w:rPr>
              <w:br/>
              <w:t>07 Sep – 11 Sep 2026</w:t>
            </w:r>
          </w:p>
        </w:tc>
        <w:tc>
          <w:tcPr>
            <w:tcW w:w="2430" w:type="dxa"/>
            <w:shd w:val="clear" w:color="auto" w:fill="1A5C4E"/>
            <w:tcMar>
              <w:top w:w="100" w:type="dxa"/>
              <w:left w:w="140" w:type="dxa"/>
              <w:bottom w:w="100" w:type="dxa"/>
              <w:right w:w="140" w:type="dxa"/>
            </w:tcMar>
          </w:tcPr>
          <w:p w14:paraId="4303F185" w14:textId="77777777" w:rsidR="00C06B25" w:rsidRDefault="00CB3E7C" w:rsidP="007733FE">
            <w:pPr>
              <w:spacing w:after="40"/>
            </w:pPr>
            <w:r>
              <w:rPr>
                <w:b/>
                <w:color w:val="D6EDF0"/>
                <w:sz w:val="17"/>
                <w:szCs w:val="17"/>
              </w:rPr>
              <w:t>Prepared By</w:t>
            </w:r>
            <w:r>
              <w:rPr>
                <w:b/>
                <w:color w:val="D6EDF0"/>
                <w:sz w:val="17"/>
                <w:szCs w:val="17"/>
              </w:rPr>
              <w:br/>
              <w:t>Equinox Research</w:t>
            </w:r>
          </w:p>
        </w:tc>
        <w:tc>
          <w:tcPr>
            <w:tcW w:w="2430" w:type="dxa"/>
            <w:shd w:val="clear" w:color="auto" w:fill="1A5C4E"/>
            <w:tcMar>
              <w:top w:w="100" w:type="dxa"/>
              <w:left w:w="140" w:type="dxa"/>
              <w:bottom w:w="100" w:type="dxa"/>
              <w:right w:w="140" w:type="dxa"/>
            </w:tcMar>
          </w:tcPr>
          <w:p w14:paraId="09554859" w14:textId="0D026C5C" w:rsidR="00C06B25" w:rsidRDefault="00CB3E7C" w:rsidP="007733FE">
            <w:pPr>
              <w:spacing w:after="40"/>
            </w:pPr>
            <w:r>
              <w:rPr>
                <w:b/>
                <w:color w:val="D6EDF0"/>
                <w:sz w:val="17"/>
                <w:szCs w:val="17"/>
              </w:rPr>
              <w:t>Edition</w:t>
            </w:r>
            <w:r>
              <w:rPr>
                <w:b/>
                <w:color w:val="D6EDF0"/>
                <w:sz w:val="17"/>
                <w:szCs w:val="17"/>
              </w:rPr>
              <w:br/>
              <w:t>Vol. 1  No. 12</w:t>
            </w:r>
          </w:p>
        </w:tc>
      </w:tr>
    </w:tbl>
    <w:p w14:paraId="518235FA" w14:textId="77777777" w:rsidR="00C06B25" w:rsidRDefault="00CB3E7C" w:rsidP="00267660">
      <w:pPr>
        <w:shd w:val="clear" w:color="auto" w:fill="124F1A" w:themeFill="accent3" w:themeFillShade="BF"/>
        <w:spacing w:before="280" w:after="120"/>
        <w:ind w:left="160"/>
      </w:pPr>
      <w:r>
        <w:rPr>
          <w:b/>
          <w:bCs/>
          <w:color w:val="D6EDF0"/>
          <w:sz w:val="22"/>
          <w:szCs w:val="22"/>
        </w:rPr>
        <w:t xml:space="preserve">EXECUTIVE SUMMARY  </w:t>
      </w:r>
    </w:p>
    <w:p w14:paraId="33023DEA" w14:textId="77777777" w:rsidR="00B77766" w:rsidRPr="00B77766" w:rsidRDefault="00B77766" w:rsidP="00B77766">
      <w:pPr>
        <w:pStyle w:val="ListParagraph"/>
        <w:numPr>
          <w:ilvl w:val="0"/>
          <w:numId w:val="15"/>
        </w:numPr>
        <w:spacing w:before="120"/>
        <w:rPr>
          <w:color w:val="0C3512" w:themeColor="accent3" w:themeShade="80"/>
        </w:rPr>
      </w:pPr>
      <w:r>
        <w:t xml:space="preserve">Brent breached $100 for the first time since late July and closed at $104.87, while the US 10-year Treasury yield rose to 4.9751%, leaving the S&amp;P 500 </w:t>
      </w:r>
      <w:r>
        <w:rPr>
          <w:b/>
          <w:color w:val="EE0000"/>
        </w:rPr>
        <w:t>▼</w:t>
      </w:r>
      <w:r>
        <w:t>0.80% WoW.</w:t>
      </w:r>
    </w:p>
    <w:p w14:paraId="780E1232" w14:textId="77777777" w:rsidR="00B77766" w:rsidRPr="00B77766" w:rsidRDefault="00B77766" w:rsidP="00B77766">
      <w:pPr>
        <w:pStyle w:val="ListParagraph"/>
        <w:numPr>
          <w:ilvl w:val="0"/>
          <w:numId w:val="15"/>
        </w:numPr>
        <w:spacing w:before="120"/>
        <w:rPr>
          <w:color w:val="0C3512" w:themeColor="accent3" w:themeShade="80"/>
        </w:rPr>
      </w:pPr>
      <w:r>
        <w:t xml:space="preserve">The NGX ASI fell </w:t>
      </w:r>
      <w:r>
        <w:rPr>
          <w:b/>
          <w:color w:val="EE0000"/>
        </w:rPr>
        <w:t>▼</w:t>
      </w:r>
      <w:r>
        <w:t xml:space="preserve">1.60% WoW to 243,052.74, trimming YTD return to </w:t>
      </w:r>
      <w:r>
        <w:rPr>
          <w:b/>
          <w:color w:val="00B050"/>
        </w:rPr>
        <w:t>▲</w:t>
      </w:r>
      <w:r>
        <w:t xml:space="preserve">56.19% and capitalisation to ₦157.59tn on ₦130.15bn of weekly value traded, while Kenya's NSE led frontier Africa at </w:t>
      </w:r>
      <w:r>
        <w:rPr>
          <w:b/>
          <w:color w:val="00B050"/>
        </w:rPr>
        <w:t>▲</w:t>
      </w:r>
      <w:r>
        <w:t>2.83%.</w:t>
      </w:r>
    </w:p>
    <w:p w14:paraId="4EDD0059" w14:textId="77777777" w:rsidR="00B77766" w:rsidRPr="00B77766" w:rsidRDefault="00B77766" w:rsidP="00B77766">
      <w:pPr>
        <w:pStyle w:val="ListParagraph"/>
        <w:numPr>
          <w:ilvl w:val="0"/>
          <w:numId w:val="15"/>
        </w:numPr>
        <w:spacing w:before="120"/>
        <w:rPr>
          <w:color w:val="0C3512" w:themeColor="accent3" w:themeShade="80"/>
        </w:rPr>
      </w:pPr>
      <w:r>
        <w:rPr>
          <w:color w:val="0C3512" w:themeColor="accent3" w:themeShade="80"/>
        </w:rPr>
        <w:t xml:space="preserve">Oil and Gas was the only sector higher at </w:t>
      </w:r>
      <w:r>
        <w:rPr>
          <w:b/>
          <w:color w:val="00B050"/>
        </w:rPr>
        <w:t>▲</w:t>
      </w:r>
      <w:r>
        <w:rPr>
          <w:color w:val="0C3512" w:themeColor="accent3" w:themeShade="80"/>
        </w:rPr>
        <w:t xml:space="preserve">2.83% on Seplat's </w:t>
      </w:r>
      <w:r>
        <w:rPr>
          <w:b/>
          <w:color w:val="00B050"/>
        </w:rPr>
        <w:t>▲</w:t>
      </w:r>
      <w:r>
        <w:rPr>
          <w:color w:val="0C3512" w:themeColor="accent3" w:themeShade="80"/>
        </w:rPr>
        <w:t xml:space="preserve">10.00% limit up to ₦14,907.80, while Insurance fell </w:t>
      </w:r>
      <w:r>
        <w:rPr>
          <w:b/>
          <w:color w:val="EE0000"/>
        </w:rPr>
        <w:t>▼</w:t>
      </w:r>
      <w:r>
        <w:rPr>
          <w:color w:val="0C3512" w:themeColor="accent3" w:themeShade="80"/>
        </w:rPr>
        <w:t xml:space="preserve">5.52% and Fortis Global dropped </w:t>
      </w:r>
      <w:r>
        <w:rPr>
          <w:b/>
          <w:color w:val="EE0000"/>
        </w:rPr>
        <w:t>▼</w:t>
      </w:r>
      <w:r>
        <w:rPr>
          <w:color w:val="0C3512" w:themeColor="accent3" w:themeShade="80"/>
        </w:rPr>
        <w:t>30.00% on 1.04bn shares.</w:t>
      </w:r>
    </w:p>
    <w:p w14:paraId="0F633DA9" w14:textId="77777777" w:rsidR="00B77766" w:rsidRPr="00B77766" w:rsidRDefault="00B77766" w:rsidP="00B77766">
      <w:pPr>
        <w:pStyle w:val="ListParagraph"/>
        <w:numPr>
          <w:ilvl w:val="0"/>
          <w:numId w:val="15"/>
        </w:numPr>
        <w:spacing w:before="120"/>
        <w:rPr>
          <w:color w:val="0C3512" w:themeColor="accent3" w:themeShade="80"/>
        </w:rPr>
      </w:pPr>
      <w:r>
        <w:t xml:space="preserve">The naira weakened </w:t>
      </w:r>
      <w:r>
        <w:rPr>
          <w:b/>
          <w:color w:val="EE0000"/>
        </w:rPr>
        <w:t>▼</w:t>
      </w:r>
      <w:r>
        <w:t>0.36% to ₦1,326.23/$ officially while the parallel rate firmed to ₦1,390.00, narrowing the spread to 4.81% as reserves reached $54.13bn on 04 Sep, the highest since December 2008.</w:t>
      </w:r>
    </w:p>
    <w:p w14:paraId="64B6C222" w14:textId="6D414260" w:rsidR="00035F3B" w:rsidRPr="0066628C" w:rsidRDefault="00B77766" w:rsidP="00B77766">
      <w:pPr>
        <w:pStyle w:val="ListParagraph"/>
        <w:numPr>
          <w:ilvl w:val="0"/>
          <w:numId w:val="15"/>
        </w:numPr>
        <w:spacing w:before="120"/>
        <w:rPr>
          <w:color w:val="0C3512" w:themeColor="accent3" w:themeShade="80"/>
        </w:rPr>
      </w:pPr>
      <w:r>
        <w:rPr>
          <w:color w:val="0C3512" w:themeColor="accent3" w:themeShade="80"/>
        </w:rPr>
        <w:t>Dangote Refinery's ₦2.15tn offer opened 14 Sep and FTSE Russell reclassification takes effect 21 Sep, against a July FPI net outflow of ₦49.44bn and MPR held at 26.50%.</w:t>
      </w:r>
    </w:p>
    <w:p w14:paraId="79699326" w14:textId="77777777" w:rsidR="00C06B25" w:rsidRPr="00267660" w:rsidRDefault="00CB3E7C">
      <w:pPr>
        <w:spacing w:before="180" w:after="80"/>
        <w:rPr>
          <w:color w:val="0C3512" w:themeColor="accent3" w:themeShade="80"/>
        </w:rPr>
      </w:pPr>
      <w:r>
        <w:rPr>
          <w:b/>
          <w:bCs/>
          <w:color w:val="0C3512" w:themeColor="accent3" w:themeShade="80"/>
          <w:sz w:val="22"/>
          <w:szCs w:val="22"/>
        </w:rPr>
        <w:t>Market Outlook — Coming Week</w:t>
      </w:r>
    </w:p>
    <w:p w14:paraId="43CC5C89" w14:textId="77777777" w:rsidR="00B77766" w:rsidRPr="00B77766" w:rsidRDefault="00B77766" w:rsidP="00B77766">
      <w:pPr>
        <w:pStyle w:val="ListParagraph"/>
        <w:numPr>
          <w:ilvl w:val="0"/>
          <w:numId w:val="15"/>
        </w:numPr>
        <w:spacing w:before="120"/>
        <w:rPr>
          <w:color w:val="0C3512" w:themeColor="accent3" w:themeShade="80"/>
        </w:rPr>
      </w:pPr>
      <w:r>
        <w:t>Three important events converge around 21 and 22 September. FTSE Russell reclassification takes effect at the open, the 307th MPC convenes for two days, and Dangote Cement holds its London Capital Markets Day. Passive demand, a rate decision against a 17.12% FGN 10 year yield, and management guidance from the largest industrial name all land together, so single day index moves are likely to overstate the underlying trend.</w:t>
      </w:r>
    </w:p>
    <w:p w14:paraId="1206C55F" w14:textId="77777777" w:rsidR="00B77766" w:rsidRPr="00B77766" w:rsidRDefault="00B77766" w:rsidP="00B77766">
      <w:pPr>
        <w:pStyle w:val="ListParagraph"/>
        <w:numPr>
          <w:ilvl w:val="0"/>
          <w:numId w:val="15"/>
        </w:numPr>
        <w:spacing w:before="120"/>
        <w:rPr>
          <w:color w:val="0C3512" w:themeColor="accent3" w:themeShade="80"/>
        </w:rPr>
      </w:pPr>
      <w:r>
        <w:t>Breadth, not direction, is the number to watch. The advance/decline ratio fell to 0.07x from 2.13x, with 92 decliners against 6 advancers, yet volume rose to 3.10bn shares from 2.12bn. The combination of higher volume and sharply negative weekly breadth suggests concentrated selling in larger, more liquid names, although Friday's recovery to 31 gainers against 18 decliners indicates the week's weakness was not uniformly distributed.</w:t>
      </w:r>
    </w:p>
    <w:p w14:paraId="28CE7992" w14:textId="77777777" w:rsidR="00B77766" w:rsidRPr="00B77766" w:rsidRDefault="00B77766" w:rsidP="00B77766">
      <w:pPr>
        <w:pStyle w:val="ListParagraph"/>
        <w:numPr>
          <w:ilvl w:val="0"/>
          <w:numId w:val="15"/>
        </w:numPr>
        <w:spacing w:before="120"/>
        <w:rPr>
          <w:color w:val="0C3512" w:themeColor="accent3" w:themeShade="80"/>
        </w:rPr>
      </w:pPr>
      <w:r>
        <w:rPr>
          <w:color w:val="000000"/>
        </w:rPr>
        <w:t>The Dangote Refinery offer could continue to absorb secondary market liquidity through 13 October. The order book runs four weeks, and the combined capitalisation of the four largest banks fell ₦1.00tn over the week, with First HoldCo alone accounting for ₦0.66tn. Cowry Asset Management expects continued selling across Insurance and Banking, so the Banking view remains a stock call, Zenith at 9.4x against First HoldCo at 58.4x, rather than an index call.</w:t>
      </w:r>
    </w:p>
    <w:p w14:paraId="1C542F9C" w14:textId="141AA863" w:rsidR="00173E1A" w:rsidRPr="00E464F8" w:rsidRDefault="00B77766" w:rsidP="00B77766">
      <w:pPr>
        <w:pStyle w:val="ListParagraph"/>
        <w:numPr>
          <w:ilvl w:val="0"/>
          <w:numId w:val="15"/>
        </w:numPr>
        <w:spacing w:before="120"/>
        <w:rPr>
          <w:color w:val="0C3512" w:themeColor="accent3" w:themeShade="80"/>
        </w:rPr>
      </w:pPr>
      <w:r>
        <w:t xml:space="preserve">Higher oil prices have mixed implications for Nigeria. Brent </w:t>
      </w:r>
      <w:r>
        <w:rPr>
          <w:b/>
          <w:color w:val="00B050"/>
        </w:rPr>
        <w:t>▲</w:t>
      </w:r>
      <w:r>
        <w:t xml:space="preserve">8.65% and Bonny Light </w:t>
      </w:r>
      <w:r>
        <w:rPr>
          <w:b/>
          <w:color w:val="00B050"/>
        </w:rPr>
        <w:t>▲</w:t>
      </w:r>
      <w:r>
        <w:t xml:space="preserve">24.19% support export receipts, FX supply and the </w:t>
      </w:r>
      <w:r>
        <w:rPr>
          <w:b/>
          <w:color w:val="00B050"/>
        </w:rPr>
        <w:t>▲</w:t>
      </w:r>
      <w:r>
        <w:t>117.86% YTD Oil and Gas print, but feed domestic fuel and transport costs against July CPI of 15.43%. The NBS August CPI report, which follows the 17 August release of the July data, is the first read on whether the external gain is arriving faster than the inflation cost.</w:t>
      </w:r>
    </w:p>
    <w:p w14:paraId="2F62021A" w14:textId="77777777" w:rsidR="00D03F1B" w:rsidRDefault="00D03F1B">
      <w:pPr>
        <w:rPr>
          <w:b/>
          <w:bCs/>
          <w:color w:val="D6EDF0"/>
          <w:sz w:val="22"/>
          <w:szCs w:val="22"/>
        </w:rPr>
      </w:pPr>
      <w:r>
        <w:rPr>
          <w:b/>
          <w:bCs/>
          <w:color w:val="D6EDF0"/>
          <w:sz w:val="22"/>
          <w:szCs w:val="22"/>
        </w:rPr>
        <w:br w:type="page"/>
      </w:r>
    </w:p>
    <w:p w14:paraId="4ABAA284" w14:textId="4A90C853" w:rsidR="00885DDA" w:rsidRPr="00BC5169" w:rsidRDefault="00CB3E7C" w:rsidP="00BC5169">
      <w:pPr>
        <w:shd w:val="clear" w:color="auto" w:fill="1A5C4E"/>
        <w:spacing w:before="280" w:after="120"/>
        <w:ind w:left="160"/>
        <w:rPr>
          <w:b/>
          <w:bCs/>
          <w:color w:val="D6EDF0"/>
          <w:sz w:val="22"/>
          <w:szCs w:val="22"/>
        </w:rPr>
      </w:pPr>
      <w:r>
        <w:rPr>
          <w:b/>
          <w:bCs/>
          <w:color w:val="D6EDF0"/>
          <w:sz w:val="22"/>
          <w:szCs w:val="22"/>
        </w:rPr>
        <w:lastRenderedPageBreak/>
        <w:t xml:space="preserve">SECTION </w:t>
      </w:r>
      <w:proofErr w:type="gramStart"/>
      <w:r>
        <w:rPr>
          <w:b/>
          <w:bCs/>
          <w:color w:val="D6EDF0"/>
          <w:sz w:val="22"/>
          <w:szCs w:val="22"/>
        </w:rPr>
        <w:t>1  |</w:t>
      </w:r>
      <w:proofErr w:type="gramEnd"/>
      <w:r>
        <w:rPr>
          <w:b/>
          <w:bCs/>
          <w:color w:val="D6EDF0"/>
          <w:sz w:val="22"/>
          <w:szCs w:val="22"/>
        </w:rPr>
        <w:t xml:space="preserve">  GLOBAL MARKETS SNAPSHOT</w:t>
      </w:r>
    </w:p>
    <w:tbl>
      <w:tblPr>
        <w:tblW w:w="5000" w:type="pct"/>
        <w:tblLook w:val="04A0" w:firstRow="1" w:lastRow="0" w:firstColumn="1" w:lastColumn="0" w:noHBand="0" w:noVBand="1"/>
      </w:tblPr>
      <w:tblGrid>
        <w:gridCol w:w="2539"/>
        <w:gridCol w:w="1806"/>
        <w:gridCol w:w="950"/>
        <w:gridCol w:w="917"/>
        <w:gridCol w:w="932"/>
        <w:gridCol w:w="1305"/>
        <w:gridCol w:w="1261"/>
      </w:tblGrid>
      <w:tr w:rsidR="00143A59" w:rsidRPr="00143A59" w14:paraId="7367600B" w14:textId="77777777" w:rsidTr="004F5214">
        <w:trPr>
          <w:trHeight w:val="360"/>
        </w:trPr>
        <w:tc>
          <w:tcPr>
            <w:tcW w:w="1307" w:type="pct"/>
            <w:tcBorders>
              <w:top w:val="single" w:sz="4" w:space="0" w:color="CCCCCC"/>
              <w:left w:val="single" w:sz="4" w:space="0" w:color="CCCCCC"/>
              <w:bottom w:val="single" w:sz="4" w:space="0" w:color="CCCCCC"/>
              <w:right w:val="single" w:sz="4" w:space="0" w:color="CCCCCC"/>
            </w:tcBorders>
            <w:shd w:val="clear" w:color="000000" w:fill="1A5C4E"/>
            <w:noWrap/>
            <w:vAlign w:val="center"/>
            <w:hideMark/>
          </w:tcPr>
          <w:p w14:paraId="74F98574" w14:textId="77777777" w:rsidR="00143A59" w:rsidRPr="00143A59" w:rsidRDefault="00143A59" w:rsidP="00143A59">
            <w:pPr>
              <w:rPr>
                <w:rFonts w:eastAsia="Times New Roman"/>
                <w:b/>
                <w:bCs/>
                <w:color w:val="FFFFFF"/>
              </w:rPr>
            </w:pPr>
            <w:r>
              <w:rPr>
                <w:rFonts w:eastAsia="Times New Roman"/>
                <w:b/>
                <w:bCs/>
                <w:color w:val="FFFFFF"/>
              </w:rPr>
              <w:t>Index / Market</w:t>
            </w:r>
          </w:p>
        </w:tc>
        <w:tc>
          <w:tcPr>
            <w:tcW w:w="930" w:type="pct"/>
            <w:tcBorders>
              <w:top w:val="single" w:sz="4" w:space="0" w:color="CCCCCC"/>
              <w:left w:val="nil"/>
              <w:bottom w:val="single" w:sz="4" w:space="0" w:color="CCCCCC"/>
              <w:right w:val="single" w:sz="4" w:space="0" w:color="CCCCCC"/>
            </w:tcBorders>
            <w:shd w:val="clear" w:color="000000" w:fill="1A5C4E"/>
            <w:noWrap/>
            <w:vAlign w:val="center"/>
            <w:hideMark/>
          </w:tcPr>
          <w:p w14:paraId="2381BBBD" w14:textId="77777777" w:rsidR="00143A59" w:rsidRPr="00143A59" w:rsidRDefault="00143A59" w:rsidP="00143A59">
            <w:pPr>
              <w:rPr>
                <w:rFonts w:eastAsia="Times New Roman"/>
                <w:b/>
                <w:bCs/>
                <w:color w:val="FFFFFF"/>
              </w:rPr>
            </w:pPr>
            <w:r>
              <w:rPr>
                <w:rFonts w:eastAsia="Times New Roman"/>
                <w:b/>
                <w:bCs/>
                <w:color w:val="FFFFFF"/>
              </w:rPr>
              <w:t>This Week Close</w:t>
            </w:r>
          </w:p>
        </w:tc>
        <w:tc>
          <w:tcPr>
            <w:tcW w:w="489" w:type="pct"/>
            <w:tcBorders>
              <w:top w:val="single" w:sz="4" w:space="0" w:color="CCCCCC"/>
              <w:left w:val="nil"/>
              <w:bottom w:val="single" w:sz="4" w:space="0" w:color="CCCCCC"/>
              <w:right w:val="single" w:sz="4" w:space="0" w:color="CCCCCC"/>
            </w:tcBorders>
            <w:shd w:val="clear" w:color="000000" w:fill="1A5C4E"/>
            <w:noWrap/>
            <w:vAlign w:val="center"/>
            <w:hideMark/>
          </w:tcPr>
          <w:p w14:paraId="430BFA3B" w14:textId="77777777" w:rsidR="00143A59" w:rsidRPr="00143A59" w:rsidRDefault="00143A59" w:rsidP="00143A59">
            <w:pPr>
              <w:rPr>
                <w:rFonts w:eastAsia="Times New Roman"/>
                <w:b/>
                <w:bCs/>
                <w:color w:val="FFFFFF"/>
              </w:rPr>
            </w:pPr>
            <w:r>
              <w:rPr>
                <w:rFonts w:eastAsia="Times New Roman"/>
                <w:b/>
                <w:bCs/>
                <w:color w:val="FFFFFF"/>
              </w:rPr>
              <w:t>WoW %</w:t>
            </w:r>
          </w:p>
        </w:tc>
        <w:tc>
          <w:tcPr>
            <w:tcW w:w="472" w:type="pct"/>
            <w:tcBorders>
              <w:top w:val="single" w:sz="4" w:space="0" w:color="CCCCCC"/>
              <w:left w:val="nil"/>
              <w:bottom w:val="single" w:sz="4" w:space="0" w:color="CCCCCC"/>
              <w:right w:val="single" w:sz="4" w:space="0" w:color="CCCCCC"/>
            </w:tcBorders>
            <w:shd w:val="clear" w:color="000000" w:fill="1A5C4E"/>
            <w:noWrap/>
            <w:vAlign w:val="center"/>
            <w:hideMark/>
          </w:tcPr>
          <w:p w14:paraId="3D8B8898" w14:textId="77777777" w:rsidR="00143A59" w:rsidRPr="00143A59" w:rsidRDefault="00143A59" w:rsidP="00143A59">
            <w:pPr>
              <w:rPr>
                <w:rFonts w:eastAsia="Times New Roman"/>
                <w:b/>
                <w:bCs/>
                <w:color w:val="FFFFFF"/>
              </w:rPr>
            </w:pPr>
            <w:r>
              <w:rPr>
                <w:rFonts w:eastAsia="Times New Roman"/>
                <w:b/>
                <w:bCs/>
                <w:color w:val="FFFFFF"/>
              </w:rPr>
              <w:t>MoM %</w:t>
            </w:r>
          </w:p>
        </w:tc>
        <w:tc>
          <w:tcPr>
            <w:tcW w:w="480" w:type="pct"/>
            <w:tcBorders>
              <w:top w:val="single" w:sz="4" w:space="0" w:color="CCCCCC"/>
              <w:left w:val="nil"/>
              <w:bottom w:val="single" w:sz="4" w:space="0" w:color="CCCCCC"/>
              <w:right w:val="single" w:sz="4" w:space="0" w:color="CCCCCC"/>
            </w:tcBorders>
            <w:shd w:val="clear" w:color="000000" w:fill="1A5C4E"/>
            <w:noWrap/>
            <w:vAlign w:val="center"/>
            <w:hideMark/>
          </w:tcPr>
          <w:p w14:paraId="2D03FCEC" w14:textId="77777777" w:rsidR="00143A59" w:rsidRPr="00143A59" w:rsidRDefault="00143A59" w:rsidP="00143A59">
            <w:pPr>
              <w:rPr>
                <w:rFonts w:eastAsia="Times New Roman"/>
                <w:b/>
                <w:bCs/>
                <w:color w:val="FFFFFF"/>
              </w:rPr>
            </w:pPr>
            <w:r>
              <w:rPr>
                <w:rFonts w:eastAsia="Times New Roman"/>
                <w:b/>
                <w:bCs/>
                <w:color w:val="FFFFFF"/>
              </w:rPr>
              <w:t>YTD %</w:t>
            </w:r>
          </w:p>
        </w:tc>
        <w:tc>
          <w:tcPr>
            <w:tcW w:w="672" w:type="pct"/>
            <w:tcBorders>
              <w:top w:val="single" w:sz="4" w:space="0" w:color="CCCCCC"/>
              <w:left w:val="nil"/>
              <w:bottom w:val="single" w:sz="4" w:space="0" w:color="CCCCCC"/>
              <w:right w:val="single" w:sz="4" w:space="0" w:color="CCCCCC"/>
            </w:tcBorders>
            <w:shd w:val="clear" w:color="000000" w:fill="1A5C4E"/>
            <w:noWrap/>
            <w:vAlign w:val="center"/>
            <w:hideMark/>
          </w:tcPr>
          <w:p w14:paraId="0D0AAB13" w14:textId="77777777" w:rsidR="00143A59" w:rsidRPr="00143A59" w:rsidRDefault="00143A59" w:rsidP="00143A59">
            <w:pPr>
              <w:rPr>
                <w:rFonts w:eastAsia="Times New Roman"/>
                <w:b/>
                <w:bCs/>
                <w:color w:val="FFFFFF"/>
              </w:rPr>
            </w:pPr>
            <w:r>
              <w:rPr>
                <w:rFonts w:eastAsia="Times New Roman"/>
                <w:b/>
                <w:bCs/>
                <w:color w:val="FFFFFF"/>
              </w:rPr>
              <w:t>52-Wk High</w:t>
            </w:r>
          </w:p>
        </w:tc>
        <w:tc>
          <w:tcPr>
            <w:tcW w:w="649" w:type="pct"/>
            <w:tcBorders>
              <w:top w:val="single" w:sz="4" w:space="0" w:color="CCCCCC"/>
              <w:left w:val="nil"/>
              <w:bottom w:val="single" w:sz="4" w:space="0" w:color="CCCCCC"/>
              <w:right w:val="single" w:sz="4" w:space="0" w:color="CCCCCC"/>
            </w:tcBorders>
            <w:shd w:val="clear" w:color="000000" w:fill="1A5C4E"/>
            <w:noWrap/>
            <w:vAlign w:val="center"/>
            <w:hideMark/>
          </w:tcPr>
          <w:p w14:paraId="6D51BA5C" w14:textId="77777777" w:rsidR="00143A59" w:rsidRPr="00143A59" w:rsidRDefault="00143A59" w:rsidP="00143A59">
            <w:pPr>
              <w:rPr>
                <w:rFonts w:eastAsia="Times New Roman"/>
                <w:b/>
                <w:bCs/>
                <w:color w:val="FFFFFF"/>
              </w:rPr>
            </w:pPr>
            <w:r>
              <w:rPr>
                <w:rFonts w:eastAsia="Times New Roman"/>
                <w:b/>
                <w:bCs/>
                <w:color w:val="FFFFFF"/>
              </w:rPr>
              <w:t>52-Wk Low</w:t>
            </w:r>
          </w:p>
        </w:tc>
      </w:tr>
      <w:tr w:rsidR="0086717B" w:rsidRPr="00143A59" w14:paraId="23E3C467" w14:textId="77777777" w:rsidTr="004F5214">
        <w:trPr>
          <w:trHeight w:val="315"/>
        </w:trPr>
        <w:tc>
          <w:tcPr>
            <w:tcW w:w="1307" w:type="pct"/>
            <w:tcBorders>
              <w:top w:val="nil"/>
              <w:left w:val="single" w:sz="4" w:space="0" w:color="CCCCCC"/>
              <w:bottom w:val="single" w:sz="4" w:space="0" w:color="CCCCCC"/>
              <w:right w:val="single" w:sz="4" w:space="0" w:color="CCCCCC"/>
            </w:tcBorders>
            <w:noWrap/>
            <w:vAlign w:val="center"/>
            <w:hideMark/>
          </w:tcPr>
          <w:p w14:paraId="5FDC7351" w14:textId="77777777" w:rsidR="0086717B" w:rsidRPr="00E464F8" w:rsidRDefault="0086717B" w:rsidP="0086717B">
            <w:pPr>
              <w:rPr>
                <w:rFonts w:eastAsia="Times New Roman"/>
                <w:b/>
                <w:bCs/>
                <w:sz w:val="18"/>
                <w:szCs w:val="18"/>
              </w:rPr>
            </w:pPr>
            <w:r>
              <w:rPr>
                <w:rFonts w:eastAsia="Times New Roman"/>
                <w:b/>
                <w:bCs/>
                <w:sz w:val="18"/>
                <w:szCs w:val="18"/>
              </w:rPr>
              <w:t>S&amp;P 500 (USA)</w:t>
            </w:r>
          </w:p>
        </w:tc>
        <w:tc>
          <w:tcPr>
            <w:tcW w:w="930" w:type="pct"/>
            <w:tcBorders>
              <w:top w:val="nil"/>
              <w:left w:val="nil"/>
              <w:bottom w:val="single" w:sz="4" w:space="0" w:color="CCCCCC"/>
              <w:right w:val="single" w:sz="4" w:space="0" w:color="CCCCCC"/>
            </w:tcBorders>
            <w:noWrap/>
            <w:vAlign w:val="center"/>
            <w:hideMark/>
          </w:tcPr>
          <w:p w14:paraId="2740C4DE" w14:textId="74723DAB" w:rsidR="0086717B" w:rsidRPr="00143A59" w:rsidRDefault="0086717B" w:rsidP="0086717B">
            <w:pPr>
              <w:jc w:val="right"/>
              <w:rPr>
                <w:rFonts w:eastAsia="Times New Roman"/>
                <w:b/>
                <w:bCs/>
                <w:color w:val="1A5C2E"/>
                <w:sz w:val="18"/>
                <w:szCs w:val="18"/>
              </w:rPr>
            </w:pPr>
            <w:r>
              <w:rPr>
                <w:b/>
                <w:bCs/>
                <w:color w:val="1A5C2E"/>
                <w:sz w:val="18"/>
                <w:szCs w:val="18"/>
              </w:rPr>
              <w:t>7,656.98</w:t>
            </w:r>
          </w:p>
        </w:tc>
        <w:tc>
          <w:tcPr>
            <w:tcW w:w="489" w:type="pct"/>
            <w:tcBorders>
              <w:top w:val="single" w:sz="4" w:space="0" w:color="CCCCCC"/>
              <w:left w:val="single" w:sz="4" w:space="0" w:color="CCCCCC"/>
              <w:bottom w:val="single" w:sz="4" w:space="0" w:color="CCCCCC"/>
              <w:right w:val="single" w:sz="4" w:space="0" w:color="CCCCCC"/>
            </w:tcBorders>
            <w:noWrap/>
            <w:vAlign w:val="center"/>
            <w:hideMark/>
          </w:tcPr>
          <w:p w14:paraId="7ACD3556" w14:textId="78606C24" w:rsidR="0086717B" w:rsidRPr="00143A59" w:rsidRDefault="0086717B" w:rsidP="0086717B">
            <w:pPr>
              <w:jc w:val="center"/>
              <w:rPr>
                <w:rFonts w:eastAsia="Times New Roman"/>
                <w:b/>
                <w:bCs/>
                <w:color w:val="1A5C2E"/>
                <w:sz w:val="18"/>
                <w:szCs w:val="18"/>
              </w:rPr>
            </w:pPr>
            <w:r>
              <w:rPr>
                <w:b/>
                <w:bCs/>
                <w:color w:val="9C0006"/>
                <w:sz w:val="18"/>
                <w:szCs w:val="18"/>
              </w:rPr>
              <w:t>-0.80%</w:t>
            </w:r>
          </w:p>
        </w:tc>
        <w:tc>
          <w:tcPr>
            <w:tcW w:w="472" w:type="pct"/>
            <w:tcBorders>
              <w:top w:val="single" w:sz="4" w:space="0" w:color="CCCCCC"/>
              <w:left w:val="single" w:sz="4" w:space="0" w:color="CCCCCC"/>
              <w:bottom w:val="single" w:sz="4" w:space="0" w:color="CCCCCC"/>
              <w:right w:val="single" w:sz="4" w:space="0" w:color="CCCCCC"/>
            </w:tcBorders>
            <w:noWrap/>
            <w:vAlign w:val="center"/>
            <w:hideMark/>
          </w:tcPr>
          <w:p w14:paraId="2D842964" w14:textId="73D331DD" w:rsidR="0086717B" w:rsidRPr="00143A59" w:rsidRDefault="0086717B" w:rsidP="0086717B">
            <w:pPr>
              <w:jc w:val="center"/>
              <w:rPr>
                <w:rFonts w:eastAsia="Times New Roman"/>
                <w:b/>
                <w:bCs/>
                <w:color w:val="9C0006"/>
                <w:sz w:val="18"/>
                <w:szCs w:val="18"/>
              </w:rPr>
            </w:pPr>
            <w:r>
              <w:rPr>
                <w:b/>
                <w:bCs/>
                <w:color w:val="9C0006"/>
                <w:sz w:val="18"/>
                <w:szCs w:val="18"/>
              </w:rPr>
              <w:t>-0.38%</w:t>
            </w:r>
          </w:p>
        </w:tc>
        <w:tc>
          <w:tcPr>
            <w:tcW w:w="480" w:type="pct"/>
            <w:tcBorders>
              <w:top w:val="single" w:sz="4" w:space="0" w:color="CCCCCC"/>
              <w:left w:val="single" w:sz="4" w:space="0" w:color="CCCCCC"/>
              <w:bottom w:val="single" w:sz="4" w:space="0" w:color="CCCCCC"/>
              <w:right w:val="single" w:sz="4" w:space="0" w:color="CCCCCC"/>
            </w:tcBorders>
            <w:noWrap/>
            <w:vAlign w:val="center"/>
            <w:hideMark/>
          </w:tcPr>
          <w:p w14:paraId="4234B2A0" w14:textId="3B1FB117" w:rsidR="0086717B" w:rsidRPr="00143A59" w:rsidRDefault="0086717B" w:rsidP="0086717B">
            <w:pPr>
              <w:jc w:val="center"/>
              <w:rPr>
                <w:rFonts w:eastAsia="Times New Roman"/>
                <w:b/>
                <w:bCs/>
                <w:color w:val="1A5C2E"/>
                <w:sz w:val="18"/>
                <w:szCs w:val="18"/>
              </w:rPr>
            </w:pPr>
            <w:r>
              <w:rPr>
                <w:b/>
                <w:bCs/>
                <w:color w:val="1A5C2E"/>
                <w:sz w:val="18"/>
                <w:szCs w:val="18"/>
              </w:rPr>
              <w:t>+11.64%</w:t>
            </w:r>
          </w:p>
        </w:tc>
        <w:tc>
          <w:tcPr>
            <w:tcW w:w="672" w:type="pct"/>
            <w:tcBorders>
              <w:top w:val="nil"/>
              <w:left w:val="nil"/>
              <w:bottom w:val="single" w:sz="4" w:space="0" w:color="CCCCCC"/>
              <w:right w:val="single" w:sz="4" w:space="0" w:color="CCCCCC"/>
            </w:tcBorders>
            <w:noWrap/>
            <w:vAlign w:val="center"/>
            <w:hideMark/>
          </w:tcPr>
          <w:p w14:paraId="7AB58108" w14:textId="3BA60709" w:rsidR="0086717B" w:rsidRPr="00143A59" w:rsidRDefault="0086717B" w:rsidP="0086717B">
            <w:pPr>
              <w:jc w:val="right"/>
              <w:rPr>
                <w:rFonts w:eastAsia="Times New Roman"/>
                <w:b/>
                <w:bCs/>
                <w:color w:val="1A5C2E"/>
                <w:sz w:val="18"/>
                <w:szCs w:val="18"/>
              </w:rPr>
            </w:pPr>
            <w:r>
              <w:rPr>
                <w:b/>
                <w:bCs/>
                <w:color w:val="1A5C2E"/>
                <w:sz w:val="18"/>
                <w:szCs w:val="18"/>
              </w:rPr>
              <w:t>7,816.70</w:t>
            </w:r>
          </w:p>
        </w:tc>
        <w:tc>
          <w:tcPr>
            <w:tcW w:w="649" w:type="pct"/>
            <w:tcBorders>
              <w:top w:val="nil"/>
              <w:left w:val="nil"/>
              <w:bottom w:val="single" w:sz="4" w:space="0" w:color="CCCCCC"/>
              <w:right w:val="single" w:sz="4" w:space="0" w:color="CCCCCC"/>
            </w:tcBorders>
            <w:noWrap/>
            <w:vAlign w:val="center"/>
            <w:hideMark/>
          </w:tcPr>
          <w:p w14:paraId="2024191A" w14:textId="2B40F622" w:rsidR="0086717B" w:rsidRPr="00143A59" w:rsidRDefault="0086717B" w:rsidP="0086717B">
            <w:pPr>
              <w:jc w:val="right"/>
              <w:rPr>
                <w:rFonts w:eastAsia="Times New Roman"/>
                <w:b/>
                <w:bCs/>
                <w:color w:val="1A5C2E"/>
                <w:sz w:val="18"/>
                <w:szCs w:val="18"/>
              </w:rPr>
            </w:pPr>
            <w:r>
              <w:rPr>
                <w:b/>
                <w:bCs/>
                <w:color w:val="1A5C2E"/>
                <w:sz w:val="18"/>
                <w:szCs w:val="18"/>
              </w:rPr>
              <w:t>6,316.91</w:t>
            </w:r>
          </w:p>
        </w:tc>
      </w:tr>
      <w:tr w:rsidR="0086717B" w:rsidRPr="00143A59" w14:paraId="7B49D419" w14:textId="77777777" w:rsidTr="004F5214">
        <w:trPr>
          <w:trHeight w:val="315"/>
        </w:trPr>
        <w:tc>
          <w:tcPr>
            <w:tcW w:w="1307" w:type="pct"/>
            <w:tcBorders>
              <w:top w:val="nil"/>
              <w:left w:val="single" w:sz="4" w:space="0" w:color="CCCCCC"/>
              <w:bottom w:val="single" w:sz="4" w:space="0" w:color="CCCCCC"/>
              <w:right w:val="single" w:sz="4" w:space="0" w:color="CCCCCC"/>
            </w:tcBorders>
            <w:shd w:val="clear" w:color="000000" w:fill="E6F4EA"/>
            <w:noWrap/>
            <w:vAlign w:val="center"/>
            <w:hideMark/>
          </w:tcPr>
          <w:p w14:paraId="73F2619B" w14:textId="77777777" w:rsidR="0086717B" w:rsidRPr="00E464F8" w:rsidRDefault="0086717B" w:rsidP="0086717B">
            <w:pPr>
              <w:rPr>
                <w:rFonts w:eastAsia="Times New Roman"/>
                <w:b/>
                <w:bCs/>
                <w:sz w:val="18"/>
                <w:szCs w:val="18"/>
              </w:rPr>
            </w:pPr>
            <w:r>
              <w:rPr>
                <w:rFonts w:eastAsia="Times New Roman"/>
                <w:b/>
                <w:bCs/>
                <w:sz w:val="18"/>
                <w:szCs w:val="18"/>
              </w:rPr>
              <w:t>STOXX 600 (Europe)</w:t>
            </w:r>
          </w:p>
        </w:tc>
        <w:tc>
          <w:tcPr>
            <w:tcW w:w="930" w:type="pct"/>
            <w:tcBorders>
              <w:top w:val="nil"/>
              <w:left w:val="nil"/>
              <w:bottom w:val="single" w:sz="4" w:space="0" w:color="CCCCCC"/>
              <w:right w:val="single" w:sz="4" w:space="0" w:color="CCCCCC"/>
            </w:tcBorders>
            <w:shd w:val="clear" w:color="000000" w:fill="E6F4EA"/>
            <w:noWrap/>
            <w:vAlign w:val="center"/>
            <w:hideMark/>
          </w:tcPr>
          <w:p w14:paraId="34976E5F" w14:textId="0B83EEC2" w:rsidR="0086717B" w:rsidRPr="00143A59" w:rsidRDefault="0086717B" w:rsidP="0086717B">
            <w:pPr>
              <w:jc w:val="right"/>
              <w:rPr>
                <w:rFonts w:eastAsia="Times New Roman"/>
                <w:b/>
                <w:bCs/>
                <w:color w:val="1A5C2E"/>
                <w:sz w:val="18"/>
                <w:szCs w:val="18"/>
              </w:rPr>
            </w:pPr>
            <w:r>
              <w:rPr>
                <w:b/>
                <w:bCs/>
                <w:color w:val="1A5C2E"/>
                <w:sz w:val="18"/>
                <w:szCs w:val="18"/>
              </w:rPr>
              <w:t>639.10</w:t>
            </w:r>
          </w:p>
        </w:tc>
        <w:tc>
          <w:tcPr>
            <w:tcW w:w="48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3071FE1E" w14:textId="3157C0C3" w:rsidR="0086717B" w:rsidRPr="00143A59" w:rsidRDefault="0086717B" w:rsidP="0086717B">
            <w:pPr>
              <w:jc w:val="center"/>
              <w:rPr>
                <w:rFonts w:eastAsia="Times New Roman"/>
                <w:b/>
                <w:bCs/>
                <w:color w:val="1A5C2E"/>
                <w:sz w:val="18"/>
                <w:szCs w:val="18"/>
              </w:rPr>
            </w:pPr>
            <w:r>
              <w:rPr>
                <w:b/>
                <w:bCs/>
                <w:color w:val="9C0006"/>
                <w:sz w:val="18"/>
                <w:szCs w:val="18"/>
              </w:rPr>
              <w:t>-1.66%</w:t>
            </w:r>
          </w:p>
        </w:tc>
        <w:tc>
          <w:tcPr>
            <w:tcW w:w="472"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202E82F1" w14:textId="7A602151" w:rsidR="0086717B" w:rsidRPr="00143A59" w:rsidRDefault="0086717B" w:rsidP="0086717B">
            <w:pPr>
              <w:jc w:val="center"/>
              <w:rPr>
                <w:rFonts w:eastAsia="Times New Roman"/>
                <w:b/>
                <w:bCs/>
                <w:color w:val="1A5C2E"/>
                <w:sz w:val="18"/>
                <w:szCs w:val="18"/>
              </w:rPr>
            </w:pPr>
            <w:r>
              <w:rPr>
                <w:b/>
                <w:bCs/>
                <w:color w:val="9C0006"/>
                <w:sz w:val="18"/>
                <w:szCs w:val="18"/>
              </w:rPr>
              <w:t>-1.84%</w:t>
            </w:r>
          </w:p>
        </w:tc>
        <w:tc>
          <w:tcPr>
            <w:tcW w:w="480"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33621A50" w14:textId="5AA319FE" w:rsidR="0086717B" w:rsidRPr="00143A59" w:rsidRDefault="0086717B" w:rsidP="0086717B">
            <w:pPr>
              <w:jc w:val="center"/>
              <w:rPr>
                <w:rFonts w:eastAsia="Times New Roman"/>
                <w:b/>
                <w:bCs/>
                <w:color w:val="1A5C2E"/>
                <w:sz w:val="18"/>
                <w:szCs w:val="18"/>
              </w:rPr>
            </w:pPr>
            <w:r>
              <w:rPr>
                <w:b/>
                <w:bCs/>
                <w:color w:val="1A5C2E"/>
                <w:sz w:val="18"/>
                <w:szCs w:val="18"/>
              </w:rPr>
              <w:t>+7.21%</w:t>
            </w:r>
          </w:p>
        </w:tc>
        <w:tc>
          <w:tcPr>
            <w:tcW w:w="672" w:type="pct"/>
            <w:tcBorders>
              <w:top w:val="nil"/>
              <w:left w:val="nil"/>
              <w:bottom w:val="single" w:sz="4" w:space="0" w:color="CCCCCC"/>
              <w:right w:val="single" w:sz="4" w:space="0" w:color="CCCCCC"/>
            </w:tcBorders>
            <w:shd w:val="clear" w:color="000000" w:fill="E6F4EA"/>
            <w:noWrap/>
            <w:vAlign w:val="center"/>
            <w:hideMark/>
          </w:tcPr>
          <w:p w14:paraId="559842D5" w14:textId="49594478" w:rsidR="0086717B" w:rsidRPr="00143A59" w:rsidRDefault="0086717B" w:rsidP="0086717B">
            <w:pPr>
              <w:jc w:val="right"/>
              <w:rPr>
                <w:rFonts w:eastAsia="Times New Roman"/>
                <w:b/>
                <w:bCs/>
                <w:color w:val="1A5C2E"/>
                <w:sz w:val="18"/>
                <w:szCs w:val="18"/>
              </w:rPr>
            </w:pPr>
            <w:r>
              <w:rPr>
                <w:b/>
                <w:bCs/>
                <w:color w:val="1A5C2E"/>
                <w:sz w:val="18"/>
                <w:szCs w:val="18"/>
              </w:rPr>
              <w:t>663.41</w:t>
            </w:r>
          </w:p>
        </w:tc>
        <w:tc>
          <w:tcPr>
            <w:tcW w:w="649" w:type="pct"/>
            <w:tcBorders>
              <w:top w:val="nil"/>
              <w:left w:val="nil"/>
              <w:bottom w:val="single" w:sz="4" w:space="0" w:color="CCCCCC"/>
              <w:right w:val="single" w:sz="4" w:space="0" w:color="CCCCCC"/>
            </w:tcBorders>
            <w:shd w:val="clear" w:color="000000" w:fill="E6F4EA"/>
            <w:noWrap/>
            <w:vAlign w:val="center"/>
            <w:hideMark/>
          </w:tcPr>
          <w:p w14:paraId="4D48C211" w14:textId="44168F0A" w:rsidR="0086717B" w:rsidRPr="00143A59" w:rsidRDefault="0086717B" w:rsidP="0086717B">
            <w:pPr>
              <w:jc w:val="right"/>
              <w:rPr>
                <w:rFonts w:eastAsia="Times New Roman"/>
                <w:b/>
                <w:bCs/>
                <w:color w:val="1A5C2E"/>
                <w:sz w:val="18"/>
                <w:szCs w:val="18"/>
              </w:rPr>
            </w:pPr>
            <w:r>
              <w:rPr>
                <w:b/>
                <w:bCs/>
                <w:color w:val="1A5C2E"/>
                <w:sz w:val="18"/>
                <w:szCs w:val="18"/>
              </w:rPr>
              <w:t>549.24</w:t>
            </w:r>
          </w:p>
        </w:tc>
      </w:tr>
      <w:tr w:rsidR="0086717B" w:rsidRPr="00143A59" w14:paraId="034A0D3E" w14:textId="77777777" w:rsidTr="004F5214">
        <w:trPr>
          <w:trHeight w:val="315"/>
        </w:trPr>
        <w:tc>
          <w:tcPr>
            <w:tcW w:w="1307" w:type="pct"/>
            <w:tcBorders>
              <w:top w:val="nil"/>
              <w:left w:val="single" w:sz="4" w:space="0" w:color="CCCCCC"/>
              <w:bottom w:val="single" w:sz="4" w:space="0" w:color="CCCCCC"/>
              <w:right w:val="single" w:sz="4" w:space="0" w:color="CCCCCC"/>
            </w:tcBorders>
            <w:noWrap/>
            <w:vAlign w:val="center"/>
            <w:hideMark/>
          </w:tcPr>
          <w:p w14:paraId="5A5ABFB0" w14:textId="77777777" w:rsidR="0086717B" w:rsidRPr="00E464F8" w:rsidRDefault="0086717B" w:rsidP="0086717B">
            <w:pPr>
              <w:rPr>
                <w:rFonts w:eastAsia="Times New Roman"/>
                <w:b/>
                <w:bCs/>
                <w:sz w:val="18"/>
                <w:szCs w:val="18"/>
              </w:rPr>
            </w:pPr>
            <w:r>
              <w:rPr>
                <w:rFonts w:eastAsia="Times New Roman"/>
                <w:b/>
                <w:bCs/>
                <w:sz w:val="18"/>
                <w:szCs w:val="18"/>
              </w:rPr>
              <w:t>Nikkei 225 (Japan)</w:t>
            </w:r>
          </w:p>
        </w:tc>
        <w:tc>
          <w:tcPr>
            <w:tcW w:w="930" w:type="pct"/>
            <w:tcBorders>
              <w:top w:val="nil"/>
              <w:left w:val="nil"/>
              <w:bottom w:val="single" w:sz="4" w:space="0" w:color="CCCCCC"/>
              <w:right w:val="single" w:sz="4" w:space="0" w:color="CCCCCC"/>
            </w:tcBorders>
            <w:noWrap/>
            <w:vAlign w:val="center"/>
            <w:hideMark/>
          </w:tcPr>
          <w:p w14:paraId="66789F79" w14:textId="5D33CDD8" w:rsidR="0086717B" w:rsidRPr="00143A59" w:rsidRDefault="0086717B" w:rsidP="0086717B">
            <w:pPr>
              <w:jc w:val="right"/>
              <w:rPr>
                <w:rFonts w:eastAsia="Times New Roman"/>
                <w:b/>
                <w:bCs/>
                <w:color w:val="1A5C2E"/>
                <w:sz w:val="18"/>
                <w:szCs w:val="18"/>
              </w:rPr>
            </w:pPr>
            <w:r>
              <w:rPr>
                <w:b/>
                <w:bCs/>
                <w:color w:val="1A5C2E"/>
                <w:sz w:val="18"/>
                <w:szCs w:val="18"/>
              </w:rPr>
              <w:t>64,011.34</w:t>
            </w:r>
          </w:p>
        </w:tc>
        <w:tc>
          <w:tcPr>
            <w:tcW w:w="489" w:type="pct"/>
            <w:tcBorders>
              <w:top w:val="single" w:sz="4" w:space="0" w:color="CCCCCC"/>
              <w:left w:val="single" w:sz="4" w:space="0" w:color="CCCCCC"/>
              <w:bottom w:val="single" w:sz="4" w:space="0" w:color="CCCCCC"/>
              <w:right w:val="single" w:sz="4" w:space="0" w:color="CCCCCC"/>
            </w:tcBorders>
            <w:noWrap/>
            <w:vAlign w:val="center"/>
            <w:hideMark/>
          </w:tcPr>
          <w:p w14:paraId="3C8ACB4F" w14:textId="11E61DD6" w:rsidR="0086717B" w:rsidRPr="00143A59" w:rsidRDefault="0086717B" w:rsidP="0086717B">
            <w:pPr>
              <w:jc w:val="center"/>
              <w:rPr>
                <w:rFonts w:eastAsia="Times New Roman"/>
                <w:b/>
                <w:bCs/>
                <w:color w:val="9C0006"/>
                <w:sz w:val="18"/>
                <w:szCs w:val="18"/>
              </w:rPr>
            </w:pPr>
            <w:r>
              <w:rPr>
                <w:b/>
                <w:bCs/>
                <w:color w:val="9C0006"/>
                <w:sz w:val="18"/>
                <w:szCs w:val="18"/>
              </w:rPr>
              <w:t>-1.55%</w:t>
            </w:r>
          </w:p>
        </w:tc>
        <w:tc>
          <w:tcPr>
            <w:tcW w:w="472" w:type="pct"/>
            <w:tcBorders>
              <w:top w:val="single" w:sz="4" w:space="0" w:color="CCCCCC"/>
              <w:left w:val="single" w:sz="4" w:space="0" w:color="CCCCCC"/>
              <w:bottom w:val="single" w:sz="4" w:space="0" w:color="CCCCCC"/>
              <w:right w:val="single" w:sz="4" w:space="0" w:color="CCCCCC"/>
            </w:tcBorders>
            <w:noWrap/>
            <w:vAlign w:val="center"/>
            <w:hideMark/>
          </w:tcPr>
          <w:p w14:paraId="33A6742F" w14:textId="36306F0C" w:rsidR="0086717B" w:rsidRPr="00143A59" w:rsidRDefault="0086717B" w:rsidP="0086717B">
            <w:pPr>
              <w:jc w:val="center"/>
              <w:rPr>
                <w:rFonts w:eastAsia="Times New Roman"/>
                <w:b/>
                <w:bCs/>
                <w:color w:val="9C0006"/>
                <w:sz w:val="18"/>
                <w:szCs w:val="18"/>
              </w:rPr>
            </w:pPr>
            <w:r>
              <w:rPr>
                <w:b/>
                <w:bCs/>
                <w:color w:val="9C0006"/>
                <w:sz w:val="18"/>
                <w:szCs w:val="18"/>
              </w:rPr>
              <w:t>-3.47%</w:t>
            </w:r>
          </w:p>
        </w:tc>
        <w:tc>
          <w:tcPr>
            <w:tcW w:w="480" w:type="pct"/>
            <w:tcBorders>
              <w:top w:val="single" w:sz="4" w:space="0" w:color="CCCCCC"/>
              <w:left w:val="single" w:sz="4" w:space="0" w:color="CCCCCC"/>
              <w:bottom w:val="single" w:sz="4" w:space="0" w:color="CCCCCC"/>
              <w:right w:val="single" w:sz="4" w:space="0" w:color="CCCCCC"/>
            </w:tcBorders>
            <w:noWrap/>
            <w:vAlign w:val="center"/>
            <w:hideMark/>
          </w:tcPr>
          <w:p w14:paraId="13C40ACA" w14:textId="3A97B01D" w:rsidR="0086717B" w:rsidRPr="00143A59" w:rsidRDefault="0086717B" w:rsidP="0086717B">
            <w:pPr>
              <w:jc w:val="center"/>
              <w:rPr>
                <w:rFonts w:eastAsia="Times New Roman"/>
                <w:b/>
                <w:bCs/>
                <w:color w:val="1A5C2E"/>
                <w:sz w:val="18"/>
                <w:szCs w:val="18"/>
              </w:rPr>
            </w:pPr>
            <w:r>
              <w:rPr>
                <w:b/>
                <w:bCs/>
                <w:color w:val="1A5C2E"/>
                <w:sz w:val="18"/>
                <w:szCs w:val="18"/>
              </w:rPr>
              <w:t>+23.50%</w:t>
            </w:r>
          </w:p>
        </w:tc>
        <w:tc>
          <w:tcPr>
            <w:tcW w:w="672" w:type="pct"/>
            <w:tcBorders>
              <w:top w:val="nil"/>
              <w:left w:val="nil"/>
              <w:bottom w:val="single" w:sz="4" w:space="0" w:color="CCCCCC"/>
              <w:right w:val="single" w:sz="4" w:space="0" w:color="CCCCCC"/>
            </w:tcBorders>
            <w:noWrap/>
            <w:vAlign w:val="center"/>
            <w:hideMark/>
          </w:tcPr>
          <w:p w14:paraId="62DEA772" w14:textId="4C3709E4" w:rsidR="0086717B" w:rsidRPr="00143A59" w:rsidRDefault="0086717B" w:rsidP="0086717B">
            <w:pPr>
              <w:jc w:val="right"/>
              <w:rPr>
                <w:rFonts w:eastAsia="Times New Roman"/>
                <w:b/>
                <w:bCs/>
                <w:color w:val="1A5C2E"/>
                <w:sz w:val="18"/>
                <w:szCs w:val="18"/>
              </w:rPr>
            </w:pPr>
            <w:r>
              <w:rPr>
                <w:b/>
                <w:bCs/>
                <w:color w:val="1A5C2E"/>
                <w:sz w:val="18"/>
                <w:szCs w:val="18"/>
              </w:rPr>
              <w:t>72,831.73</w:t>
            </w:r>
          </w:p>
        </w:tc>
        <w:tc>
          <w:tcPr>
            <w:tcW w:w="649" w:type="pct"/>
            <w:tcBorders>
              <w:top w:val="nil"/>
              <w:left w:val="nil"/>
              <w:bottom w:val="single" w:sz="4" w:space="0" w:color="CCCCCC"/>
              <w:right w:val="single" w:sz="4" w:space="0" w:color="CCCCCC"/>
            </w:tcBorders>
            <w:noWrap/>
            <w:vAlign w:val="center"/>
            <w:hideMark/>
          </w:tcPr>
          <w:p w14:paraId="12CAA5DF" w14:textId="26602EC7" w:rsidR="0086717B" w:rsidRPr="00143A59" w:rsidRDefault="0086717B" w:rsidP="0086717B">
            <w:pPr>
              <w:jc w:val="right"/>
              <w:rPr>
                <w:rFonts w:eastAsia="Times New Roman"/>
                <w:b/>
                <w:bCs/>
                <w:color w:val="1A5C2E"/>
                <w:sz w:val="18"/>
                <w:szCs w:val="18"/>
              </w:rPr>
            </w:pPr>
            <w:r>
              <w:rPr>
                <w:b/>
                <w:bCs/>
                <w:color w:val="1A5C2E"/>
                <w:sz w:val="18"/>
                <w:szCs w:val="18"/>
              </w:rPr>
              <w:t>43,870.54</w:t>
            </w:r>
          </w:p>
        </w:tc>
      </w:tr>
      <w:tr w:rsidR="0086717B" w:rsidRPr="00143A59" w14:paraId="79E44860" w14:textId="77777777" w:rsidTr="004F5214">
        <w:trPr>
          <w:trHeight w:val="315"/>
        </w:trPr>
        <w:tc>
          <w:tcPr>
            <w:tcW w:w="1307" w:type="pct"/>
            <w:tcBorders>
              <w:top w:val="nil"/>
              <w:left w:val="single" w:sz="4" w:space="0" w:color="CCCCCC"/>
              <w:bottom w:val="single" w:sz="4" w:space="0" w:color="CCCCCC"/>
              <w:right w:val="single" w:sz="4" w:space="0" w:color="CCCCCC"/>
            </w:tcBorders>
            <w:shd w:val="clear" w:color="000000" w:fill="E6F4EA"/>
            <w:noWrap/>
            <w:vAlign w:val="center"/>
            <w:hideMark/>
          </w:tcPr>
          <w:p w14:paraId="4AEAC3F6" w14:textId="77777777" w:rsidR="0086717B" w:rsidRPr="00E464F8" w:rsidRDefault="0086717B" w:rsidP="0086717B">
            <w:pPr>
              <w:rPr>
                <w:rFonts w:eastAsia="Times New Roman"/>
                <w:b/>
                <w:bCs/>
                <w:sz w:val="18"/>
                <w:szCs w:val="18"/>
              </w:rPr>
            </w:pPr>
            <w:r>
              <w:rPr>
                <w:rFonts w:eastAsia="Times New Roman"/>
                <w:b/>
                <w:bCs/>
                <w:sz w:val="18"/>
                <w:szCs w:val="18"/>
              </w:rPr>
              <w:t>Shanghai Comp. (China)</w:t>
            </w:r>
          </w:p>
        </w:tc>
        <w:tc>
          <w:tcPr>
            <w:tcW w:w="930" w:type="pct"/>
            <w:tcBorders>
              <w:top w:val="nil"/>
              <w:left w:val="nil"/>
              <w:bottom w:val="single" w:sz="4" w:space="0" w:color="CCCCCC"/>
              <w:right w:val="single" w:sz="4" w:space="0" w:color="CCCCCC"/>
            </w:tcBorders>
            <w:shd w:val="clear" w:color="000000" w:fill="E6F4EA"/>
            <w:noWrap/>
            <w:vAlign w:val="center"/>
            <w:hideMark/>
          </w:tcPr>
          <w:p w14:paraId="2B6C964D" w14:textId="40B7B083" w:rsidR="0086717B" w:rsidRPr="00143A59" w:rsidRDefault="0086717B" w:rsidP="0086717B">
            <w:pPr>
              <w:jc w:val="right"/>
              <w:rPr>
                <w:rFonts w:eastAsia="Times New Roman"/>
                <w:b/>
                <w:bCs/>
                <w:color w:val="1A5C2E"/>
                <w:sz w:val="18"/>
                <w:szCs w:val="18"/>
              </w:rPr>
            </w:pPr>
            <w:r>
              <w:rPr>
                <w:b/>
                <w:bCs/>
                <w:color w:val="1A5C2E"/>
                <w:sz w:val="18"/>
                <w:szCs w:val="18"/>
              </w:rPr>
              <w:t>3,888.11</w:t>
            </w:r>
          </w:p>
        </w:tc>
        <w:tc>
          <w:tcPr>
            <w:tcW w:w="48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7FCEE1F5" w14:textId="04FEF084" w:rsidR="0086717B" w:rsidRPr="00143A59" w:rsidRDefault="0086717B" w:rsidP="0086717B">
            <w:pPr>
              <w:jc w:val="center"/>
              <w:rPr>
                <w:rFonts w:eastAsia="Times New Roman"/>
                <w:b/>
                <w:bCs/>
                <w:color w:val="1A5C2E"/>
                <w:sz w:val="18"/>
                <w:szCs w:val="18"/>
              </w:rPr>
            </w:pPr>
            <w:r>
              <w:rPr>
                <w:b/>
                <w:bCs/>
                <w:color w:val="9C0006"/>
                <w:sz w:val="18"/>
                <w:szCs w:val="18"/>
              </w:rPr>
              <w:t>-1.07%</w:t>
            </w:r>
          </w:p>
        </w:tc>
        <w:tc>
          <w:tcPr>
            <w:tcW w:w="472"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3EBF79FA" w14:textId="7CBCDEAA" w:rsidR="0086717B" w:rsidRPr="00143A59" w:rsidRDefault="0086717B" w:rsidP="0086717B">
            <w:pPr>
              <w:jc w:val="center"/>
              <w:rPr>
                <w:rFonts w:eastAsia="Times New Roman"/>
                <w:b/>
                <w:bCs/>
                <w:color w:val="9C0006"/>
                <w:sz w:val="18"/>
                <w:szCs w:val="18"/>
              </w:rPr>
            </w:pPr>
            <w:r>
              <w:rPr>
                <w:b/>
                <w:bCs/>
                <w:color w:val="9C0006"/>
                <w:sz w:val="18"/>
                <w:szCs w:val="18"/>
              </w:rPr>
              <w:t>-2.46%</w:t>
            </w:r>
          </w:p>
        </w:tc>
        <w:tc>
          <w:tcPr>
            <w:tcW w:w="480"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52B73CF8" w14:textId="2CCB5AB9" w:rsidR="0086717B" w:rsidRPr="00143A59" w:rsidRDefault="0086717B" w:rsidP="0086717B">
            <w:pPr>
              <w:jc w:val="center"/>
              <w:rPr>
                <w:rFonts w:eastAsia="Times New Roman"/>
                <w:b/>
                <w:bCs/>
                <w:color w:val="9C0006"/>
                <w:sz w:val="18"/>
                <w:szCs w:val="18"/>
              </w:rPr>
            </w:pPr>
            <w:r>
              <w:rPr>
                <w:b/>
                <w:bCs/>
                <w:color w:val="9C0006"/>
                <w:sz w:val="18"/>
                <w:szCs w:val="18"/>
              </w:rPr>
              <w:t>-3.36%</w:t>
            </w:r>
          </w:p>
        </w:tc>
        <w:tc>
          <w:tcPr>
            <w:tcW w:w="672" w:type="pct"/>
            <w:tcBorders>
              <w:top w:val="nil"/>
              <w:left w:val="nil"/>
              <w:bottom w:val="single" w:sz="4" w:space="0" w:color="CCCCCC"/>
              <w:right w:val="single" w:sz="4" w:space="0" w:color="CCCCCC"/>
            </w:tcBorders>
            <w:shd w:val="clear" w:color="000000" w:fill="E6F4EA"/>
            <w:noWrap/>
            <w:vAlign w:val="center"/>
            <w:hideMark/>
          </w:tcPr>
          <w:p w14:paraId="5AAAC511" w14:textId="7129F57F" w:rsidR="0086717B" w:rsidRPr="00143A59" w:rsidRDefault="0086717B" w:rsidP="0086717B">
            <w:pPr>
              <w:jc w:val="right"/>
              <w:rPr>
                <w:rFonts w:eastAsia="Times New Roman"/>
                <w:b/>
                <w:bCs/>
                <w:color w:val="1A5C2E"/>
                <w:sz w:val="18"/>
                <w:szCs w:val="18"/>
              </w:rPr>
            </w:pPr>
            <w:r>
              <w:rPr>
                <w:b/>
                <w:bCs/>
                <w:color w:val="1A5C2E"/>
                <w:sz w:val="18"/>
                <w:szCs w:val="18"/>
              </w:rPr>
              <w:t>4,258.86</w:t>
            </w:r>
          </w:p>
        </w:tc>
        <w:tc>
          <w:tcPr>
            <w:tcW w:w="649" w:type="pct"/>
            <w:tcBorders>
              <w:top w:val="nil"/>
              <w:left w:val="nil"/>
              <w:bottom w:val="single" w:sz="4" w:space="0" w:color="CCCCCC"/>
              <w:right w:val="single" w:sz="4" w:space="0" w:color="CCCCCC"/>
            </w:tcBorders>
            <w:shd w:val="clear" w:color="000000" w:fill="E6F4EA"/>
            <w:noWrap/>
            <w:vAlign w:val="center"/>
            <w:hideMark/>
          </w:tcPr>
          <w:p w14:paraId="6457083F" w14:textId="52104AC5" w:rsidR="0086717B" w:rsidRPr="00143A59" w:rsidRDefault="0086717B" w:rsidP="0086717B">
            <w:pPr>
              <w:jc w:val="right"/>
              <w:rPr>
                <w:rFonts w:eastAsia="Times New Roman"/>
                <w:b/>
                <w:bCs/>
                <w:color w:val="1A5C2E"/>
                <w:sz w:val="18"/>
                <w:szCs w:val="18"/>
              </w:rPr>
            </w:pPr>
            <w:r>
              <w:rPr>
                <w:b/>
                <w:bCs/>
                <w:color w:val="1A5C2E"/>
                <w:sz w:val="18"/>
                <w:szCs w:val="18"/>
              </w:rPr>
              <w:t>3,741.11</w:t>
            </w:r>
          </w:p>
        </w:tc>
      </w:tr>
      <w:tr w:rsidR="0086717B" w:rsidRPr="00143A59" w14:paraId="56ADEE29" w14:textId="77777777" w:rsidTr="004F5214">
        <w:trPr>
          <w:trHeight w:val="315"/>
        </w:trPr>
        <w:tc>
          <w:tcPr>
            <w:tcW w:w="1307" w:type="pct"/>
            <w:tcBorders>
              <w:top w:val="nil"/>
              <w:left w:val="single" w:sz="4" w:space="0" w:color="CCCCCC"/>
              <w:bottom w:val="single" w:sz="4" w:space="0" w:color="CCCCCC"/>
              <w:right w:val="single" w:sz="4" w:space="0" w:color="CCCCCC"/>
            </w:tcBorders>
            <w:noWrap/>
            <w:vAlign w:val="center"/>
            <w:hideMark/>
          </w:tcPr>
          <w:p w14:paraId="45B995DE" w14:textId="77777777" w:rsidR="0086717B" w:rsidRPr="00E464F8" w:rsidRDefault="0086717B" w:rsidP="0086717B">
            <w:pPr>
              <w:rPr>
                <w:rFonts w:eastAsia="Times New Roman"/>
                <w:b/>
                <w:bCs/>
                <w:sz w:val="18"/>
                <w:szCs w:val="18"/>
              </w:rPr>
            </w:pPr>
            <w:r>
              <w:rPr>
                <w:rFonts w:eastAsia="Times New Roman"/>
                <w:b/>
                <w:bCs/>
                <w:sz w:val="18"/>
                <w:szCs w:val="18"/>
              </w:rPr>
              <w:t>KOSPI (South Korea)</w:t>
            </w:r>
          </w:p>
        </w:tc>
        <w:tc>
          <w:tcPr>
            <w:tcW w:w="930" w:type="pct"/>
            <w:tcBorders>
              <w:top w:val="nil"/>
              <w:left w:val="nil"/>
              <w:bottom w:val="single" w:sz="4" w:space="0" w:color="CCCCCC"/>
              <w:right w:val="single" w:sz="4" w:space="0" w:color="CCCCCC"/>
            </w:tcBorders>
            <w:noWrap/>
            <w:vAlign w:val="center"/>
            <w:hideMark/>
          </w:tcPr>
          <w:p w14:paraId="7BB73D63" w14:textId="715CE98D" w:rsidR="0086717B" w:rsidRPr="00143A59" w:rsidRDefault="0086717B" w:rsidP="0086717B">
            <w:pPr>
              <w:jc w:val="right"/>
              <w:rPr>
                <w:rFonts w:eastAsia="Times New Roman"/>
                <w:b/>
                <w:bCs/>
                <w:color w:val="1A5C2E"/>
                <w:sz w:val="18"/>
                <w:szCs w:val="18"/>
              </w:rPr>
            </w:pPr>
            <w:r>
              <w:rPr>
                <w:b/>
                <w:bCs/>
                <w:color w:val="1A5C2E"/>
                <w:sz w:val="18"/>
                <w:szCs w:val="18"/>
              </w:rPr>
              <w:t>6,909.91</w:t>
            </w:r>
          </w:p>
        </w:tc>
        <w:tc>
          <w:tcPr>
            <w:tcW w:w="489" w:type="pct"/>
            <w:tcBorders>
              <w:top w:val="single" w:sz="4" w:space="0" w:color="CCCCCC"/>
              <w:left w:val="single" w:sz="4" w:space="0" w:color="CCCCCC"/>
              <w:bottom w:val="single" w:sz="4" w:space="0" w:color="CCCCCC"/>
              <w:right w:val="single" w:sz="4" w:space="0" w:color="CCCCCC"/>
            </w:tcBorders>
            <w:noWrap/>
            <w:vAlign w:val="center"/>
            <w:hideMark/>
          </w:tcPr>
          <w:p w14:paraId="3FBAF3B4" w14:textId="7655ECE1" w:rsidR="0086717B" w:rsidRPr="00143A59" w:rsidRDefault="0086717B" w:rsidP="0086717B">
            <w:pPr>
              <w:jc w:val="center"/>
              <w:rPr>
                <w:rFonts w:eastAsia="Times New Roman"/>
                <w:b/>
                <w:bCs/>
                <w:color w:val="9C0006"/>
                <w:sz w:val="18"/>
                <w:szCs w:val="18"/>
              </w:rPr>
            </w:pPr>
            <w:r>
              <w:rPr>
                <w:b/>
                <w:bCs/>
                <w:color w:val="1A5C2E"/>
                <w:sz w:val="18"/>
                <w:szCs w:val="18"/>
              </w:rPr>
              <w:t>+3.33%</w:t>
            </w:r>
          </w:p>
        </w:tc>
        <w:tc>
          <w:tcPr>
            <w:tcW w:w="472" w:type="pct"/>
            <w:tcBorders>
              <w:top w:val="single" w:sz="4" w:space="0" w:color="CCCCCC"/>
              <w:left w:val="single" w:sz="4" w:space="0" w:color="CCCCCC"/>
              <w:bottom w:val="single" w:sz="4" w:space="0" w:color="CCCCCC"/>
              <w:right w:val="single" w:sz="4" w:space="0" w:color="CCCCCC"/>
            </w:tcBorders>
            <w:noWrap/>
            <w:vAlign w:val="center"/>
            <w:hideMark/>
          </w:tcPr>
          <w:p w14:paraId="02241A3C" w14:textId="556AA8B7" w:rsidR="0086717B" w:rsidRPr="00143A59" w:rsidRDefault="0086717B" w:rsidP="0086717B">
            <w:pPr>
              <w:jc w:val="center"/>
              <w:rPr>
                <w:rFonts w:eastAsia="Times New Roman"/>
                <w:b/>
                <w:bCs/>
                <w:color w:val="9C0006"/>
                <w:sz w:val="18"/>
                <w:szCs w:val="18"/>
              </w:rPr>
            </w:pPr>
            <w:r>
              <w:rPr>
                <w:b/>
                <w:bCs/>
                <w:color w:val="1A5C2E"/>
                <w:sz w:val="18"/>
                <w:szCs w:val="18"/>
              </w:rPr>
              <w:t>+1.32%</w:t>
            </w:r>
          </w:p>
        </w:tc>
        <w:tc>
          <w:tcPr>
            <w:tcW w:w="480" w:type="pct"/>
            <w:tcBorders>
              <w:top w:val="single" w:sz="4" w:space="0" w:color="CCCCCC"/>
              <w:left w:val="single" w:sz="4" w:space="0" w:color="CCCCCC"/>
              <w:bottom w:val="single" w:sz="4" w:space="0" w:color="CCCCCC"/>
              <w:right w:val="single" w:sz="4" w:space="0" w:color="CCCCCC"/>
            </w:tcBorders>
            <w:noWrap/>
            <w:vAlign w:val="center"/>
            <w:hideMark/>
          </w:tcPr>
          <w:p w14:paraId="3E0F1B1B" w14:textId="1BE6FA50" w:rsidR="0086717B" w:rsidRPr="00143A59" w:rsidRDefault="0086717B" w:rsidP="0086717B">
            <w:pPr>
              <w:jc w:val="center"/>
              <w:rPr>
                <w:rFonts w:eastAsia="Times New Roman"/>
                <w:b/>
                <w:bCs/>
                <w:color w:val="1A5C2E"/>
                <w:sz w:val="18"/>
                <w:szCs w:val="18"/>
              </w:rPr>
            </w:pPr>
            <w:r>
              <w:rPr>
                <w:b/>
                <w:bCs/>
                <w:color w:val="1A5C2E"/>
                <w:sz w:val="18"/>
                <w:szCs w:val="18"/>
              </w:rPr>
              <w:t>+60.34%</w:t>
            </w:r>
          </w:p>
        </w:tc>
        <w:tc>
          <w:tcPr>
            <w:tcW w:w="672" w:type="pct"/>
            <w:tcBorders>
              <w:top w:val="nil"/>
              <w:left w:val="nil"/>
              <w:bottom w:val="single" w:sz="4" w:space="0" w:color="CCCCCC"/>
              <w:right w:val="single" w:sz="4" w:space="0" w:color="CCCCCC"/>
            </w:tcBorders>
            <w:noWrap/>
            <w:vAlign w:val="center"/>
            <w:hideMark/>
          </w:tcPr>
          <w:p w14:paraId="648FB433" w14:textId="1686C75F" w:rsidR="0086717B" w:rsidRPr="00143A59" w:rsidRDefault="0086717B" w:rsidP="0086717B">
            <w:pPr>
              <w:jc w:val="right"/>
              <w:rPr>
                <w:rFonts w:eastAsia="Times New Roman"/>
                <w:b/>
                <w:bCs/>
                <w:color w:val="1A5C2E"/>
                <w:sz w:val="18"/>
                <w:szCs w:val="18"/>
              </w:rPr>
            </w:pPr>
            <w:r>
              <w:rPr>
                <w:b/>
                <w:bCs/>
                <w:color w:val="1A5C2E"/>
                <w:sz w:val="18"/>
                <w:szCs w:val="18"/>
              </w:rPr>
              <w:t>9,385.59</w:t>
            </w:r>
          </w:p>
        </w:tc>
        <w:tc>
          <w:tcPr>
            <w:tcW w:w="649" w:type="pct"/>
            <w:tcBorders>
              <w:top w:val="nil"/>
              <w:left w:val="nil"/>
              <w:bottom w:val="single" w:sz="4" w:space="0" w:color="CCCCCC"/>
              <w:right w:val="single" w:sz="4" w:space="0" w:color="CCCCCC"/>
            </w:tcBorders>
            <w:noWrap/>
            <w:vAlign w:val="center"/>
            <w:hideMark/>
          </w:tcPr>
          <w:p w14:paraId="7800EDC1" w14:textId="1DBCC760" w:rsidR="0086717B" w:rsidRPr="00143A59" w:rsidRDefault="0086717B" w:rsidP="0086717B">
            <w:pPr>
              <w:jc w:val="right"/>
              <w:rPr>
                <w:rFonts w:eastAsia="Times New Roman"/>
                <w:b/>
                <w:bCs/>
                <w:color w:val="1A5C2E"/>
                <w:sz w:val="18"/>
                <w:szCs w:val="18"/>
              </w:rPr>
            </w:pPr>
            <w:r>
              <w:rPr>
                <w:b/>
                <w:bCs/>
                <w:color w:val="1A5C2E"/>
                <w:sz w:val="18"/>
                <w:szCs w:val="18"/>
              </w:rPr>
              <w:t>3,311.86</w:t>
            </w:r>
          </w:p>
        </w:tc>
      </w:tr>
    </w:tbl>
    <w:p w14:paraId="69968E35" w14:textId="77777777" w:rsidR="00C06B25" w:rsidRPr="000D4C5E" w:rsidRDefault="009008C3">
      <w:pPr>
        <w:spacing w:before="180" w:after="80"/>
        <w:rPr>
          <w:b/>
          <w:bCs/>
          <w:color w:val="1A5C4E"/>
          <w:sz w:val="22"/>
          <w:szCs w:val="22"/>
        </w:rPr>
      </w:pPr>
      <w:r>
        <w:rPr>
          <w:b/>
          <w:bCs/>
          <w:color w:val="1A5C4E"/>
          <w:sz w:val="22"/>
          <w:szCs w:val="22"/>
        </w:rPr>
        <w:t>Global Markets Commentary</w:t>
      </w:r>
    </w:p>
    <w:p w14:paraId="0F1F818C" w14:textId="77777777" w:rsidR="0086717B" w:rsidRPr="0086717B" w:rsidRDefault="0086717B" w:rsidP="0086717B">
      <w:pPr>
        <w:pStyle w:val="ListParagraph"/>
        <w:numPr>
          <w:ilvl w:val="0"/>
          <w:numId w:val="5"/>
        </w:numPr>
        <w:spacing w:before="120" w:after="120"/>
        <w:rPr>
          <w:color w:val="0C3512" w:themeColor="accent3" w:themeShade="80"/>
        </w:rPr>
      </w:pPr>
      <w:r>
        <w:rPr>
          <w:b/>
          <w:color w:val="00B050"/>
        </w:rPr>
        <w:t>▲</w:t>
      </w:r>
      <w:r>
        <w:rPr>
          <w:color w:val="0C3512" w:themeColor="accent3" w:themeShade="80"/>
        </w:rPr>
        <w:t xml:space="preserve"> Oil, not earnings, set the global tone. Brent breached $100 for the first time since late July and closed at $104.87 after a </w:t>
      </w:r>
      <w:r>
        <w:rPr>
          <w:b/>
          <w:color w:val="00B050"/>
        </w:rPr>
        <w:t>▲</w:t>
      </w:r>
      <w:r>
        <w:rPr>
          <w:color w:val="0C3512" w:themeColor="accent3" w:themeShade="80"/>
        </w:rPr>
        <w:t>6.64% Thursday spike, dragging developed equities lower and resetting the inflation path.</w:t>
      </w:r>
    </w:p>
    <w:p w14:paraId="564B9D9D" w14:textId="77777777" w:rsidR="0086717B" w:rsidRPr="0086717B" w:rsidRDefault="0086717B" w:rsidP="0086717B">
      <w:pPr>
        <w:pStyle w:val="ListParagraph"/>
        <w:numPr>
          <w:ilvl w:val="0"/>
          <w:numId w:val="5"/>
        </w:numPr>
        <w:spacing w:before="120" w:after="120"/>
        <w:rPr>
          <w:color w:val="0C3512" w:themeColor="accent3" w:themeShade="80"/>
        </w:rPr>
      </w:pPr>
      <w:r>
        <w:rPr>
          <w:b/>
          <w:color w:val="EE0000"/>
        </w:rPr>
        <w:t>▼</w:t>
      </w:r>
      <w:r>
        <w:t xml:space="preserve"> Rate-hike repricing compounded the drag. Accelerating August CPI lifted 10-year Treasury yields to 4.9751%, the highest since October 2023, with market commentary on Friday citing roughly 70% odds of a September hike as already priced. S&amp;P 500 </w:t>
      </w:r>
      <w:r>
        <w:rPr>
          <w:b/>
          <w:color w:val="EE0000"/>
        </w:rPr>
        <w:t>▼</w:t>
      </w:r>
      <w:r>
        <w:t xml:space="preserve">0.80% WoW to 7,656.98 (EODHD close; wire copy for the Friday session reports 7,656.85); STOXX 600 </w:t>
      </w:r>
      <w:r>
        <w:rPr>
          <w:b/>
          <w:color w:val="EE0000"/>
        </w:rPr>
        <w:t>▼</w:t>
      </w:r>
      <w:r>
        <w:t>1.66% to 639.10.</w:t>
      </w:r>
    </w:p>
    <w:p w14:paraId="152EA513" w14:textId="77777777" w:rsidR="0086717B" w:rsidRPr="0086717B" w:rsidRDefault="0086717B" w:rsidP="0086717B">
      <w:pPr>
        <w:pStyle w:val="ListParagraph"/>
        <w:numPr>
          <w:ilvl w:val="0"/>
          <w:numId w:val="5"/>
        </w:numPr>
        <w:spacing w:before="120" w:after="120"/>
        <w:rPr>
          <w:color w:val="0C3512" w:themeColor="accent3" w:themeShade="80"/>
        </w:rPr>
      </w:pPr>
      <w:r>
        <w:rPr>
          <w:b/>
          <w:color w:val="00B050"/>
        </w:rPr>
        <w:t>▲</w:t>
      </w:r>
      <w:r>
        <w:t xml:space="preserve"> Asia diverged sharply. KOSPI </w:t>
      </w:r>
      <w:r>
        <w:rPr>
          <w:b/>
          <w:color w:val="00B050"/>
        </w:rPr>
        <w:t>▲</w:t>
      </w:r>
      <w:r>
        <w:t xml:space="preserve">3.33% WoW to 6,909.91 and </w:t>
      </w:r>
      <w:r>
        <w:rPr>
          <w:b/>
          <w:color w:val="00B050"/>
        </w:rPr>
        <w:t>▲</w:t>
      </w:r>
      <w:r>
        <w:t xml:space="preserve">60.34% YTD stood against Nikkei 225 </w:t>
      </w:r>
      <w:r>
        <w:rPr>
          <w:b/>
          <w:color w:val="EE0000"/>
        </w:rPr>
        <w:t>▼</w:t>
      </w:r>
      <w:r>
        <w:t xml:space="preserve">1.55% and Shanghai Composite </w:t>
      </w:r>
      <w:r>
        <w:rPr>
          <w:b/>
          <w:color w:val="EE0000"/>
        </w:rPr>
        <w:t>▼</w:t>
      </w:r>
      <w:r>
        <w:t xml:space="preserve">1.07% to 3,888.11, the only index negative YTD at </w:t>
      </w:r>
      <w:r>
        <w:rPr>
          <w:b/>
          <w:color w:val="EE0000"/>
        </w:rPr>
        <w:t>▼</w:t>
      </w:r>
      <w:r>
        <w:t>3.36%. The KOSPI's YTD gain sits alongside a close 26.4% below its 52-week high of 9,385.59, so a substantial part of the earlier advance has already been given back.</w:t>
      </w:r>
    </w:p>
    <w:p w14:paraId="2E3A889A" w14:textId="31C13810" w:rsidR="004F5214" w:rsidRPr="0086717B" w:rsidRDefault="0086717B" w:rsidP="0086717B">
      <w:pPr>
        <w:pStyle w:val="ListParagraph"/>
        <w:numPr>
          <w:ilvl w:val="0"/>
          <w:numId w:val="5"/>
        </w:numPr>
        <w:spacing w:before="120" w:after="120"/>
        <w:rPr>
          <w:color w:val="0C3512" w:themeColor="accent3" w:themeShade="80"/>
        </w:rPr>
      </w:pPr>
      <w:r>
        <w:rPr>
          <w:b/>
          <w:color w:val="EE0000"/>
        </w:rPr>
        <w:t>▼</w:t>
      </w:r>
      <w:r>
        <w:t xml:space="preserve"> Momentum is deteriorating beneath firm YTD prints. Nikkei </w:t>
      </w:r>
      <w:r>
        <w:rPr>
          <w:b/>
          <w:color w:val="EE0000"/>
        </w:rPr>
        <w:t>▼</w:t>
      </w:r>
      <w:r>
        <w:t xml:space="preserve">3.47% MoM and Shanghai </w:t>
      </w:r>
      <w:r>
        <w:rPr>
          <w:b/>
          <w:color w:val="EE0000"/>
        </w:rPr>
        <w:t>▼</w:t>
      </w:r>
      <w:r>
        <w:t xml:space="preserve">2.46% MoM confirm a broad September fade, while gold's </w:t>
      </w:r>
      <w:r>
        <w:rPr>
          <w:b/>
          <w:color w:val="EE0000"/>
        </w:rPr>
        <w:t>▼</w:t>
      </w:r>
      <w:r>
        <w:t>1.88% decline across the week to $4,350.60 alongside higher Treasury yields suggests rising real yields were an important counterweight to safe haven demand.</w:t>
      </w:r>
    </w:p>
    <w:p w14:paraId="56F8F33E" w14:textId="77777777" w:rsidR="00C06B25" w:rsidRDefault="00CB3E7C" w:rsidP="00C500A5">
      <w:pPr>
        <w:shd w:val="clear" w:color="auto" w:fill="1A5C4E"/>
        <w:spacing w:before="280" w:after="120"/>
      </w:pPr>
      <w:r>
        <w:rPr>
          <w:b/>
          <w:bCs/>
          <w:color w:val="D6EDF0"/>
          <w:sz w:val="22"/>
          <w:szCs w:val="22"/>
        </w:rPr>
        <w:t xml:space="preserve">SECTION 2  </w:t>
      </w:r>
      <w:r>
        <w:rPr>
          <w:b/>
          <w:bCs/>
          <w:color w:val="FFFFFF"/>
          <w:sz w:val="22"/>
          <w:szCs w:val="22"/>
        </w:rPr>
        <w:t>|  FRONTIER AFRICA MARKETS SCOREBOARD</w:t>
      </w:r>
    </w:p>
    <w:tbl>
      <w:tblPr>
        <w:tblW w:w="5000" w:type="pct"/>
        <w:tblLook w:val="04A0" w:firstRow="1" w:lastRow="0" w:firstColumn="1" w:lastColumn="0" w:noHBand="0" w:noVBand="1"/>
      </w:tblPr>
      <w:tblGrid>
        <w:gridCol w:w="2865"/>
        <w:gridCol w:w="1423"/>
        <w:gridCol w:w="1222"/>
        <w:gridCol w:w="1222"/>
        <w:gridCol w:w="1222"/>
        <w:gridCol w:w="1756"/>
      </w:tblGrid>
      <w:tr w:rsidR="008F325E" w:rsidRPr="008F325E" w14:paraId="3DE4571E" w14:textId="77777777" w:rsidTr="002D75C1">
        <w:trPr>
          <w:trHeight w:val="360"/>
        </w:trPr>
        <w:tc>
          <w:tcPr>
            <w:tcW w:w="1475" w:type="pct"/>
            <w:tcBorders>
              <w:top w:val="single" w:sz="4" w:space="0" w:color="CCCCCC"/>
              <w:left w:val="single" w:sz="4" w:space="0" w:color="CCCCCC"/>
              <w:bottom w:val="single" w:sz="4" w:space="0" w:color="CCCCCC"/>
              <w:right w:val="single" w:sz="4" w:space="0" w:color="CCCCCC"/>
            </w:tcBorders>
            <w:shd w:val="clear" w:color="000000" w:fill="1A5C4E"/>
            <w:noWrap/>
            <w:vAlign w:val="center"/>
            <w:hideMark/>
          </w:tcPr>
          <w:p w14:paraId="2798631F" w14:textId="77777777" w:rsidR="008F325E" w:rsidRPr="008F325E" w:rsidRDefault="008F325E" w:rsidP="008F325E">
            <w:pPr>
              <w:rPr>
                <w:rFonts w:eastAsia="Times New Roman"/>
                <w:b/>
                <w:bCs/>
                <w:color w:val="FFFFFF"/>
              </w:rPr>
            </w:pPr>
            <w:r>
              <w:rPr>
                <w:rFonts w:eastAsia="Times New Roman"/>
                <w:b/>
                <w:bCs/>
                <w:color w:val="FFFFFF"/>
              </w:rPr>
              <w:t>Market / Index</w:t>
            </w:r>
          </w:p>
        </w:tc>
        <w:tc>
          <w:tcPr>
            <w:tcW w:w="733" w:type="pct"/>
            <w:tcBorders>
              <w:top w:val="single" w:sz="4" w:space="0" w:color="CCCCCC"/>
              <w:left w:val="nil"/>
              <w:bottom w:val="single" w:sz="4" w:space="0" w:color="CCCCCC"/>
              <w:right w:val="single" w:sz="4" w:space="0" w:color="CCCCCC"/>
            </w:tcBorders>
            <w:shd w:val="clear" w:color="000000" w:fill="1A5C4E"/>
            <w:noWrap/>
            <w:vAlign w:val="center"/>
            <w:hideMark/>
          </w:tcPr>
          <w:p w14:paraId="1C1F6EAF" w14:textId="77777777" w:rsidR="008F325E" w:rsidRPr="008F325E" w:rsidRDefault="008F325E" w:rsidP="008F325E">
            <w:pPr>
              <w:rPr>
                <w:rFonts w:eastAsia="Times New Roman"/>
                <w:b/>
                <w:bCs/>
                <w:color w:val="FFFFFF"/>
              </w:rPr>
            </w:pPr>
            <w:r>
              <w:rPr>
                <w:rFonts w:eastAsia="Times New Roman"/>
                <w:b/>
                <w:bCs/>
                <w:color w:val="FFFFFF"/>
              </w:rPr>
              <w:t>Index Level</w:t>
            </w:r>
          </w:p>
        </w:tc>
        <w:tc>
          <w:tcPr>
            <w:tcW w:w="629" w:type="pct"/>
            <w:tcBorders>
              <w:top w:val="single" w:sz="4" w:space="0" w:color="CCCCCC"/>
              <w:left w:val="nil"/>
              <w:bottom w:val="single" w:sz="4" w:space="0" w:color="CCCCCC"/>
              <w:right w:val="single" w:sz="4" w:space="0" w:color="CCCCCC"/>
            </w:tcBorders>
            <w:shd w:val="clear" w:color="000000" w:fill="1A5C4E"/>
            <w:noWrap/>
            <w:vAlign w:val="center"/>
            <w:hideMark/>
          </w:tcPr>
          <w:p w14:paraId="7CE601EB" w14:textId="77777777" w:rsidR="008F325E" w:rsidRPr="008F325E" w:rsidRDefault="008F325E" w:rsidP="008F325E">
            <w:pPr>
              <w:rPr>
                <w:rFonts w:eastAsia="Times New Roman"/>
                <w:b/>
                <w:bCs/>
                <w:color w:val="FFFFFF"/>
              </w:rPr>
            </w:pPr>
            <w:r>
              <w:rPr>
                <w:rFonts w:eastAsia="Times New Roman"/>
                <w:b/>
                <w:bCs/>
                <w:color w:val="FFFFFF"/>
              </w:rPr>
              <w:t>WoW %</w:t>
            </w:r>
          </w:p>
        </w:tc>
        <w:tc>
          <w:tcPr>
            <w:tcW w:w="629" w:type="pct"/>
            <w:tcBorders>
              <w:top w:val="single" w:sz="4" w:space="0" w:color="CCCCCC"/>
              <w:left w:val="nil"/>
              <w:bottom w:val="single" w:sz="4" w:space="0" w:color="CCCCCC"/>
              <w:right w:val="single" w:sz="4" w:space="0" w:color="CCCCCC"/>
            </w:tcBorders>
            <w:shd w:val="clear" w:color="000000" w:fill="1A5C4E"/>
            <w:noWrap/>
            <w:vAlign w:val="center"/>
            <w:hideMark/>
          </w:tcPr>
          <w:p w14:paraId="1EE4861D" w14:textId="77777777" w:rsidR="008F325E" w:rsidRPr="008F325E" w:rsidRDefault="008F325E" w:rsidP="008F325E">
            <w:pPr>
              <w:rPr>
                <w:rFonts w:eastAsia="Times New Roman"/>
                <w:b/>
                <w:bCs/>
                <w:color w:val="FFFFFF"/>
              </w:rPr>
            </w:pPr>
            <w:r>
              <w:rPr>
                <w:rFonts w:eastAsia="Times New Roman"/>
                <w:b/>
                <w:bCs/>
                <w:color w:val="FFFFFF"/>
              </w:rPr>
              <w:t>MoM %</w:t>
            </w:r>
          </w:p>
        </w:tc>
        <w:tc>
          <w:tcPr>
            <w:tcW w:w="629" w:type="pct"/>
            <w:tcBorders>
              <w:top w:val="single" w:sz="4" w:space="0" w:color="CCCCCC"/>
              <w:left w:val="nil"/>
              <w:bottom w:val="single" w:sz="4" w:space="0" w:color="CCCCCC"/>
              <w:right w:val="single" w:sz="4" w:space="0" w:color="CCCCCC"/>
            </w:tcBorders>
            <w:shd w:val="clear" w:color="000000" w:fill="1A5C4E"/>
            <w:noWrap/>
            <w:vAlign w:val="center"/>
            <w:hideMark/>
          </w:tcPr>
          <w:p w14:paraId="3FF9D62F" w14:textId="77777777" w:rsidR="008F325E" w:rsidRPr="008F325E" w:rsidRDefault="008F325E" w:rsidP="008F325E">
            <w:pPr>
              <w:rPr>
                <w:rFonts w:eastAsia="Times New Roman"/>
                <w:b/>
                <w:bCs/>
                <w:color w:val="FFFFFF"/>
              </w:rPr>
            </w:pPr>
            <w:r>
              <w:rPr>
                <w:rFonts w:eastAsia="Times New Roman"/>
                <w:b/>
                <w:bCs/>
                <w:color w:val="FFFFFF"/>
              </w:rPr>
              <w:t>YTD %</w:t>
            </w:r>
          </w:p>
        </w:tc>
        <w:tc>
          <w:tcPr>
            <w:tcW w:w="904" w:type="pct"/>
            <w:tcBorders>
              <w:top w:val="single" w:sz="4" w:space="0" w:color="CCCCCC"/>
              <w:left w:val="nil"/>
              <w:bottom w:val="single" w:sz="4" w:space="0" w:color="CCCCCC"/>
              <w:right w:val="single" w:sz="4" w:space="0" w:color="CCCCCC"/>
            </w:tcBorders>
            <w:shd w:val="clear" w:color="000000" w:fill="1A5C4E"/>
            <w:noWrap/>
            <w:vAlign w:val="center"/>
            <w:hideMark/>
          </w:tcPr>
          <w:p w14:paraId="6E9AA622" w14:textId="77777777" w:rsidR="008F325E" w:rsidRPr="008F325E" w:rsidRDefault="008F325E" w:rsidP="008F325E">
            <w:pPr>
              <w:rPr>
                <w:rFonts w:eastAsia="Times New Roman"/>
                <w:b/>
                <w:bCs/>
                <w:color w:val="FFFFFF"/>
              </w:rPr>
            </w:pPr>
            <w:r>
              <w:rPr>
                <w:rFonts w:eastAsia="Times New Roman"/>
                <w:b/>
                <w:bCs/>
                <w:color w:val="FFFFFF"/>
              </w:rPr>
              <w:t>Mkt Cap</w:t>
            </w:r>
          </w:p>
        </w:tc>
      </w:tr>
      <w:tr w:rsidR="0086717B" w:rsidRPr="008F325E" w14:paraId="5F56D6FB" w14:textId="77777777" w:rsidTr="002D75C1">
        <w:trPr>
          <w:trHeight w:val="315"/>
        </w:trPr>
        <w:tc>
          <w:tcPr>
            <w:tcW w:w="1475" w:type="pct"/>
            <w:tcBorders>
              <w:top w:val="nil"/>
              <w:left w:val="single" w:sz="4" w:space="0" w:color="CCCCCC"/>
              <w:bottom w:val="single" w:sz="4" w:space="0" w:color="CCCCCC"/>
              <w:right w:val="single" w:sz="4" w:space="0" w:color="CCCCCC"/>
            </w:tcBorders>
            <w:shd w:val="clear" w:color="000000" w:fill="FFFFFF"/>
            <w:noWrap/>
            <w:vAlign w:val="center"/>
            <w:hideMark/>
          </w:tcPr>
          <w:p w14:paraId="7BEF01F8" w14:textId="77777777" w:rsidR="0086717B" w:rsidRPr="008F325E" w:rsidRDefault="0086717B" w:rsidP="0086717B">
            <w:pPr>
              <w:rPr>
                <w:rFonts w:eastAsia="Times New Roman"/>
                <w:b/>
                <w:bCs/>
                <w:sz w:val="18"/>
                <w:szCs w:val="18"/>
              </w:rPr>
            </w:pPr>
            <w:r>
              <w:rPr>
                <w:b/>
                <w:bCs/>
                <w:sz w:val="18"/>
                <w:szCs w:val="18"/>
              </w:rPr>
              <w:t>Nigeria — NGX ASI</w:t>
            </w:r>
          </w:p>
        </w:tc>
        <w:tc>
          <w:tcPr>
            <w:tcW w:w="733" w:type="pct"/>
            <w:tcBorders>
              <w:top w:val="nil"/>
              <w:left w:val="nil"/>
              <w:bottom w:val="single" w:sz="4" w:space="0" w:color="CCCCCC"/>
              <w:right w:val="single" w:sz="4" w:space="0" w:color="CCCCCC"/>
            </w:tcBorders>
            <w:noWrap/>
            <w:vAlign w:val="center"/>
            <w:hideMark/>
          </w:tcPr>
          <w:p w14:paraId="1B2B92C3" w14:textId="58510F39" w:rsidR="0086717B" w:rsidRPr="008F325E" w:rsidRDefault="0086717B" w:rsidP="0086717B">
            <w:pPr>
              <w:jc w:val="right"/>
              <w:rPr>
                <w:rFonts w:eastAsia="Times New Roman"/>
                <w:b/>
                <w:bCs/>
                <w:color w:val="1A5C2E"/>
                <w:sz w:val="18"/>
                <w:szCs w:val="18"/>
              </w:rPr>
            </w:pPr>
            <w:r>
              <w:rPr>
                <w:b/>
                <w:bCs/>
                <w:color w:val="222222"/>
                <w:sz w:val="18"/>
                <w:szCs w:val="18"/>
              </w:rPr>
              <w:t>243,052.74</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71AA0C7E" w14:textId="01FF1A69" w:rsidR="0086717B" w:rsidRPr="008F325E" w:rsidRDefault="0086717B" w:rsidP="0086717B">
            <w:pPr>
              <w:jc w:val="center"/>
              <w:rPr>
                <w:rFonts w:eastAsia="Times New Roman"/>
                <w:b/>
                <w:bCs/>
                <w:color w:val="9C0006"/>
                <w:sz w:val="18"/>
                <w:szCs w:val="18"/>
              </w:rPr>
            </w:pPr>
            <w:r>
              <w:rPr>
                <w:b/>
                <w:bCs/>
                <w:color w:val="9C0006"/>
                <w:sz w:val="18"/>
                <w:szCs w:val="18"/>
              </w:rPr>
              <w:t>-1.60%</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23AE2CD2" w14:textId="799BAC01" w:rsidR="0086717B" w:rsidRPr="008F325E" w:rsidRDefault="0086717B" w:rsidP="0086717B">
            <w:pPr>
              <w:jc w:val="center"/>
              <w:rPr>
                <w:rFonts w:eastAsia="Times New Roman"/>
                <w:b/>
                <w:bCs/>
                <w:color w:val="1A5C2E"/>
                <w:sz w:val="18"/>
                <w:szCs w:val="18"/>
              </w:rPr>
            </w:pPr>
            <w:r>
              <w:rPr>
                <w:b/>
                <w:bCs/>
                <w:color w:val="9C0006"/>
                <w:sz w:val="18"/>
                <w:szCs w:val="18"/>
              </w:rPr>
              <w:t>-1.49%</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6BFA2F41" w14:textId="1D1A2526" w:rsidR="0086717B" w:rsidRPr="008F325E" w:rsidRDefault="0086717B" w:rsidP="0086717B">
            <w:pPr>
              <w:jc w:val="center"/>
              <w:rPr>
                <w:rFonts w:eastAsia="Times New Roman"/>
                <w:b/>
                <w:bCs/>
                <w:color w:val="1A5C2E"/>
                <w:sz w:val="18"/>
                <w:szCs w:val="18"/>
              </w:rPr>
            </w:pPr>
            <w:r>
              <w:rPr>
                <w:b/>
                <w:bCs/>
                <w:color w:val="1A5C2E"/>
                <w:sz w:val="18"/>
                <w:szCs w:val="18"/>
              </w:rPr>
              <w:t>+56.19%</w:t>
            </w:r>
          </w:p>
        </w:tc>
        <w:tc>
          <w:tcPr>
            <w:tcW w:w="904" w:type="pct"/>
            <w:tcBorders>
              <w:top w:val="nil"/>
              <w:left w:val="nil"/>
              <w:bottom w:val="single" w:sz="4" w:space="0" w:color="CCCCCC"/>
              <w:right w:val="single" w:sz="4" w:space="0" w:color="CCCCCC"/>
            </w:tcBorders>
            <w:noWrap/>
            <w:vAlign w:val="center"/>
            <w:hideMark/>
          </w:tcPr>
          <w:p w14:paraId="77F3CEF0" w14:textId="72454428" w:rsidR="0086717B" w:rsidRPr="002D75C1" w:rsidRDefault="0086717B" w:rsidP="0086717B">
            <w:pPr>
              <w:jc w:val="right"/>
              <w:rPr>
                <w:b/>
                <w:bCs/>
                <w:color w:val="1A5C2E"/>
                <w:sz w:val="18"/>
                <w:szCs w:val="18"/>
              </w:rPr>
            </w:pPr>
            <w:r>
              <w:rPr>
                <w:b/>
                <w:bCs/>
                <w:color w:val="FFFFFF"/>
                <w:sz w:val="18"/>
                <w:szCs w:val="18"/>
              </w:rPr>
              <w:t>₦157.59tn</w:t>
            </w:r>
          </w:p>
        </w:tc>
      </w:tr>
      <w:tr w:rsidR="0086717B" w:rsidRPr="008F325E" w14:paraId="2E5EF8CB" w14:textId="77777777" w:rsidTr="002D75C1">
        <w:trPr>
          <w:trHeight w:val="315"/>
        </w:trPr>
        <w:tc>
          <w:tcPr>
            <w:tcW w:w="1475" w:type="pct"/>
            <w:tcBorders>
              <w:top w:val="nil"/>
              <w:left w:val="single" w:sz="4" w:space="0" w:color="CCCCCC"/>
              <w:bottom w:val="single" w:sz="4" w:space="0" w:color="CCCCCC"/>
              <w:right w:val="single" w:sz="4" w:space="0" w:color="CCCCCC"/>
            </w:tcBorders>
            <w:shd w:val="clear" w:color="000000" w:fill="E6F4EA"/>
            <w:noWrap/>
            <w:vAlign w:val="center"/>
            <w:hideMark/>
          </w:tcPr>
          <w:p w14:paraId="21823686" w14:textId="77777777" w:rsidR="0086717B" w:rsidRPr="008F325E" w:rsidRDefault="0086717B" w:rsidP="0086717B">
            <w:pPr>
              <w:rPr>
                <w:rFonts w:eastAsia="Times New Roman"/>
                <w:b/>
                <w:bCs/>
                <w:sz w:val="18"/>
                <w:szCs w:val="18"/>
              </w:rPr>
            </w:pPr>
            <w:r>
              <w:rPr>
                <w:b/>
                <w:bCs/>
                <w:sz w:val="18"/>
                <w:szCs w:val="18"/>
              </w:rPr>
              <w:t>South Africa — JSE All Share</w:t>
            </w:r>
          </w:p>
        </w:tc>
        <w:tc>
          <w:tcPr>
            <w:tcW w:w="733" w:type="pct"/>
            <w:tcBorders>
              <w:top w:val="nil"/>
              <w:left w:val="nil"/>
              <w:bottom w:val="single" w:sz="4" w:space="0" w:color="CCCCCC"/>
              <w:right w:val="single" w:sz="4" w:space="0" w:color="CCCCCC"/>
            </w:tcBorders>
            <w:shd w:val="clear" w:color="000000" w:fill="E6F4EA"/>
            <w:noWrap/>
            <w:vAlign w:val="center"/>
            <w:hideMark/>
          </w:tcPr>
          <w:p w14:paraId="1B727644" w14:textId="56F2AF27" w:rsidR="0086717B" w:rsidRPr="008F325E" w:rsidRDefault="0086717B" w:rsidP="0086717B">
            <w:pPr>
              <w:jc w:val="right"/>
              <w:rPr>
                <w:rFonts w:eastAsia="Times New Roman"/>
                <w:b/>
                <w:bCs/>
                <w:color w:val="1A5C2E"/>
                <w:sz w:val="18"/>
                <w:szCs w:val="18"/>
              </w:rPr>
            </w:pPr>
            <w:r>
              <w:rPr>
                <w:b/>
                <w:bCs/>
                <w:color w:val="1A5C2E"/>
                <w:sz w:val="18"/>
                <w:szCs w:val="18"/>
              </w:rPr>
              <w:t>115,165.31</w:t>
            </w:r>
          </w:p>
        </w:tc>
        <w:tc>
          <w:tcPr>
            <w:tcW w:w="62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112FE267" w14:textId="3B18ABD6" w:rsidR="0086717B" w:rsidRPr="008F325E" w:rsidRDefault="0086717B" w:rsidP="0086717B">
            <w:pPr>
              <w:jc w:val="center"/>
              <w:rPr>
                <w:rFonts w:eastAsia="Times New Roman"/>
                <w:b/>
                <w:bCs/>
                <w:color w:val="9C0006"/>
                <w:sz w:val="18"/>
                <w:szCs w:val="18"/>
              </w:rPr>
            </w:pPr>
            <w:r>
              <w:rPr>
                <w:b/>
                <w:bCs/>
                <w:color w:val="9C0006"/>
                <w:sz w:val="18"/>
                <w:szCs w:val="18"/>
              </w:rPr>
              <w:t>-1.34%</w:t>
            </w:r>
          </w:p>
        </w:tc>
        <w:tc>
          <w:tcPr>
            <w:tcW w:w="62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750D38C5" w14:textId="53C64C66" w:rsidR="0086717B" w:rsidRPr="008F325E" w:rsidRDefault="0086717B" w:rsidP="0086717B">
            <w:pPr>
              <w:jc w:val="center"/>
              <w:rPr>
                <w:rFonts w:eastAsia="Times New Roman"/>
                <w:b/>
                <w:bCs/>
                <w:color w:val="9C0006"/>
                <w:sz w:val="18"/>
                <w:szCs w:val="18"/>
              </w:rPr>
            </w:pPr>
            <w:r>
              <w:rPr>
                <w:b/>
                <w:bCs/>
                <w:color w:val="9C0006"/>
                <w:sz w:val="18"/>
                <w:szCs w:val="18"/>
              </w:rPr>
              <w:t>-0.67%</w:t>
            </w:r>
          </w:p>
        </w:tc>
        <w:tc>
          <w:tcPr>
            <w:tcW w:w="62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1747D5FB" w14:textId="047D2F22" w:rsidR="0086717B" w:rsidRPr="008F325E" w:rsidRDefault="0086717B" w:rsidP="0086717B">
            <w:pPr>
              <w:jc w:val="center"/>
              <w:rPr>
                <w:rFonts w:eastAsia="Times New Roman"/>
                <w:b/>
                <w:bCs/>
                <w:color w:val="9C0006"/>
                <w:sz w:val="18"/>
                <w:szCs w:val="18"/>
              </w:rPr>
            </w:pPr>
            <w:r>
              <w:rPr>
                <w:b/>
                <w:bCs/>
                <w:color w:val="9C0006"/>
                <w:sz w:val="18"/>
                <w:szCs w:val="18"/>
              </w:rPr>
              <w:t>-0.58%</w:t>
            </w:r>
          </w:p>
        </w:tc>
        <w:tc>
          <w:tcPr>
            <w:tcW w:w="904" w:type="pct"/>
            <w:tcBorders>
              <w:top w:val="nil"/>
              <w:left w:val="nil"/>
              <w:bottom w:val="single" w:sz="4" w:space="0" w:color="CCCCCC"/>
              <w:right w:val="single" w:sz="4" w:space="0" w:color="CCCCCC"/>
            </w:tcBorders>
            <w:shd w:val="clear" w:color="000000" w:fill="E6F4EA"/>
            <w:noWrap/>
            <w:vAlign w:val="center"/>
            <w:hideMark/>
          </w:tcPr>
          <w:p w14:paraId="39E8ADC4" w14:textId="1589164C" w:rsidR="0086717B" w:rsidRPr="002D75C1" w:rsidRDefault="0086717B" w:rsidP="0086717B">
            <w:pPr>
              <w:jc w:val="right"/>
              <w:rPr>
                <w:b/>
                <w:bCs/>
                <w:color w:val="1A5C2E"/>
                <w:sz w:val="18"/>
                <w:szCs w:val="18"/>
              </w:rPr>
            </w:pPr>
            <w:r>
              <w:rPr>
                <w:b/>
                <w:bCs/>
                <w:color w:val="1A5C2E"/>
                <w:sz w:val="18"/>
                <w:szCs w:val="18"/>
              </w:rPr>
              <w:t>R25.02 trillion</w:t>
            </w:r>
          </w:p>
        </w:tc>
      </w:tr>
      <w:tr w:rsidR="0086717B" w:rsidRPr="008F325E" w14:paraId="7A77BA6C" w14:textId="77777777" w:rsidTr="002D75C1">
        <w:trPr>
          <w:trHeight w:val="315"/>
        </w:trPr>
        <w:tc>
          <w:tcPr>
            <w:tcW w:w="1475" w:type="pct"/>
            <w:tcBorders>
              <w:top w:val="nil"/>
              <w:left w:val="single" w:sz="4" w:space="0" w:color="CCCCCC"/>
              <w:bottom w:val="single" w:sz="4" w:space="0" w:color="CCCCCC"/>
              <w:right w:val="single" w:sz="4" w:space="0" w:color="CCCCCC"/>
            </w:tcBorders>
            <w:shd w:val="clear" w:color="000000" w:fill="FFFFFF"/>
            <w:noWrap/>
            <w:vAlign w:val="center"/>
            <w:hideMark/>
          </w:tcPr>
          <w:p w14:paraId="0C7B4D41" w14:textId="77777777" w:rsidR="0086717B" w:rsidRPr="008F325E" w:rsidRDefault="0086717B" w:rsidP="0086717B">
            <w:pPr>
              <w:rPr>
                <w:rFonts w:eastAsia="Times New Roman"/>
                <w:b/>
                <w:bCs/>
                <w:sz w:val="18"/>
                <w:szCs w:val="18"/>
              </w:rPr>
            </w:pPr>
            <w:r>
              <w:rPr>
                <w:b/>
                <w:bCs/>
                <w:sz w:val="18"/>
                <w:szCs w:val="18"/>
              </w:rPr>
              <w:t>Kenya — NSE All Share</w:t>
            </w:r>
          </w:p>
        </w:tc>
        <w:tc>
          <w:tcPr>
            <w:tcW w:w="733" w:type="pct"/>
            <w:tcBorders>
              <w:top w:val="nil"/>
              <w:left w:val="nil"/>
              <w:bottom w:val="single" w:sz="4" w:space="0" w:color="CCCCCC"/>
              <w:right w:val="single" w:sz="4" w:space="0" w:color="CCCCCC"/>
            </w:tcBorders>
            <w:noWrap/>
            <w:vAlign w:val="center"/>
            <w:hideMark/>
          </w:tcPr>
          <w:p w14:paraId="714F715B" w14:textId="0F962D99" w:rsidR="0086717B" w:rsidRPr="008F325E" w:rsidRDefault="0086717B" w:rsidP="0086717B">
            <w:pPr>
              <w:jc w:val="right"/>
              <w:rPr>
                <w:rFonts w:eastAsia="Times New Roman"/>
                <w:b/>
                <w:bCs/>
                <w:color w:val="1A5C2E"/>
                <w:sz w:val="18"/>
                <w:szCs w:val="18"/>
              </w:rPr>
            </w:pPr>
            <w:r>
              <w:rPr>
                <w:b/>
                <w:bCs/>
                <w:color w:val="1A5C2E"/>
                <w:sz w:val="18"/>
                <w:szCs w:val="18"/>
              </w:rPr>
              <w:t>244.72</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0FBC997C" w14:textId="6EEF2FCB" w:rsidR="0086717B" w:rsidRPr="008F325E" w:rsidRDefault="0086717B" w:rsidP="0086717B">
            <w:pPr>
              <w:jc w:val="center"/>
              <w:rPr>
                <w:rFonts w:eastAsia="Times New Roman"/>
                <w:b/>
                <w:bCs/>
                <w:color w:val="1A5C2E"/>
                <w:sz w:val="18"/>
                <w:szCs w:val="18"/>
              </w:rPr>
            </w:pPr>
            <w:r>
              <w:rPr>
                <w:b/>
                <w:bCs/>
                <w:color w:val="1A5C2E"/>
                <w:sz w:val="18"/>
                <w:szCs w:val="18"/>
              </w:rPr>
              <w:t>+2.83%</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5158F367" w14:textId="298F2219" w:rsidR="0086717B" w:rsidRPr="008F325E" w:rsidRDefault="0086717B" w:rsidP="0086717B">
            <w:pPr>
              <w:jc w:val="center"/>
              <w:rPr>
                <w:rFonts w:eastAsia="Times New Roman"/>
                <w:b/>
                <w:bCs/>
                <w:color w:val="1A5C2E"/>
                <w:sz w:val="18"/>
                <w:szCs w:val="18"/>
              </w:rPr>
            </w:pPr>
            <w:r>
              <w:rPr>
                <w:b/>
                <w:bCs/>
                <w:color w:val="1A5C2E"/>
                <w:sz w:val="18"/>
                <w:szCs w:val="18"/>
              </w:rPr>
              <w:t>+7.14%</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5C7E8996" w14:textId="112C45F4" w:rsidR="0086717B" w:rsidRPr="008F325E" w:rsidRDefault="0086717B" w:rsidP="0086717B">
            <w:pPr>
              <w:jc w:val="center"/>
              <w:rPr>
                <w:rFonts w:eastAsia="Times New Roman"/>
                <w:b/>
                <w:bCs/>
                <w:color w:val="1A5C2E"/>
                <w:sz w:val="18"/>
                <w:szCs w:val="18"/>
              </w:rPr>
            </w:pPr>
            <w:r>
              <w:rPr>
                <w:b/>
                <w:bCs/>
                <w:color w:val="1A5C2E"/>
                <w:sz w:val="18"/>
                <w:szCs w:val="18"/>
              </w:rPr>
              <w:t>+36.83%</w:t>
            </w:r>
          </w:p>
        </w:tc>
        <w:tc>
          <w:tcPr>
            <w:tcW w:w="904" w:type="pct"/>
            <w:tcBorders>
              <w:top w:val="nil"/>
              <w:left w:val="nil"/>
              <w:bottom w:val="single" w:sz="4" w:space="0" w:color="CCCCCC"/>
              <w:right w:val="single" w:sz="4" w:space="0" w:color="CCCCCC"/>
            </w:tcBorders>
            <w:noWrap/>
            <w:vAlign w:val="center"/>
            <w:hideMark/>
          </w:tcPr>
          <w:p w14:paraId="7D713128" w14:textId="741DD669" w:rsidR="0086717B" w:rsidRPr="002D75C1" w:rsidRDefault="0086717B" w:rsidP="0086717B">
            <w:pPr>
              <w:jc w:val="right"/>
              <w:rPr>
                <w:b/>
                <w:bCs/>
                <w:color w:val="1A5C2E"/>
                <w:sz w:val="18"/>
                <w:szCs w:val="18"/>
              </w:rPr>
            </w:pPr>
            <w:r>
              <w:rPr>
                <w:b/>
                <w:bCs/>
                <w:color w:val="1A5C2E"/>
                <w:sz w:val="18"/>
                <w:szCs w:val="18"/>
              </w:rPr>
              <w:t>Ksh4.11 trillion</w:t>
            </w:r>
          </w:p>
        </w:tc>
      </w:tr>
      <w:tr w:rsidR="0086717B" w:rsidRPr="008F325E" w14:paraId="64E4217F" w14:textId="77777777" w:rsidTr="002D75C1">
        <w:trPr>
          <w:trHeight w:val="315"/>
        </w:trPr>
        <w:tc>
          <w:tcPr>
            <w:tcW w:w="1475" w:type="pct"/>
            <w:tcBorders>
              <w:top w:val="nil"/>
              <w:left w:val="single" w:sz="4" w:space="0" w:color="CCCCCC"/>
              <w:bottom w:val="single" w:sz="4" w:space="0" w:color="CCCCCC"/>
              <w:right w:val="single" w:sz="4" w:space="0" w:color="CCCCCC"/>
            </w:tcBorders>
            <w:shd w:val="clear" w:color="000000" w:fill="E6F4EA"/>
            <w:noWrap/>
            <w:vAlign w:val="center"/>
            <w:hideMark/>
          </w:tcPr>
          <w:p w14:paraId="5E37BAD7" w14:textId="77777777" w:rsidR="0086717B" w:rsidRPr="008F325E" w:rsidRDefault="0086717B" w:rsidP="0086717B">
            <w:pPr>
              <w:rPr>
                <w:rFonts w:eastAsia="Times New Roman"/>
                <w:b/>
                <w:bCs/>
                <w:sz w:val="18"/>
                <w:szCs w:val="18"/>
              </w:rPr>
            </w:pPr>
            <w:r>
              <w:rPr>
                <w:b/>
                <w:bCs/>
                <w:sz w:val="18"/>
                <w:szCs w:val="18"/>
              </w:rPr>
              <w:t>Egypt — EGX 30</w:t>
            </w:r>
          </w:p>
        </w:tc>
        <w:tc>
          <w:tcPr>
            <w:tcW w:w="733" w:type="pct"/>
            <w:tcBorders>
              <w:top w:val="nil"/>
              <w:left w:val="nil"/>
              <w:bottom w:val="single" w:sz="4" w:space="0" w:color="CCCCCC"/>
              <w:right w:val="single" w:sz="4" w:space="0" w:color="CCCCCC"/>
            </w:tcBorders>
            <w:shd w:val="clear" w:color="000000" w:fill="E6F4EA"/>
            <w:noWrap/>
            <w:vAlign w:val="center"/>
            <w:hideMark/>
          </w:tcPr>
          <w:p w14:paraId="1B07C2D1" w14:textId="11961FD8" w:rsidR="0086717B" w:rsidRPr="008F325E" w:rsidRDefault="0086717B" w:rsidP="0086717B">
            <w:pPr>
              <w:jc w:val="right"/>
              <w:rPr>
                <w:rFonts w:eastAsia="Times New Roman"/>
                <w:b/>
                <w:bCs/>
                <w:color w:val="1A5C2E"/>
                <w:sz w:val="18"/>
                <w:szCs w:val="18"/>
              </w:rPr>
            </w:pPr>
            <w:r>
              <w:rPr>
                <w:b/>
                <w:bCs/>
                <w:color w:val="1A5C2E"/>
                <w:sz w:val="18"/>
                <w:szCs w:val="18"/>
              </w:rPr>
              <w:t>56,280.17</w:t>
            </w:r>
          </w:p>
        </w:tc>
        <w:tc>
          <w:tcPr>
            <w:tcW w:w="62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13C9974F" w14:textId="72EE1605" w:rsidR="0086717B" w:rsidRPr="008F325E" w:rsidRDefault="0086717B" w:rsidP="0086717B">
            <w:pPr>
              <w:jc w:val="center"/>
              <w:rPr>
                <w:rFonts w:eastAsia="Times New Roman"/>
                <w:b/>
                <w:bCs/>
                <w:color w:val="1A5C2E"/>
                <w:sz w:val="18"/>
                <w:szCs w:val="18"/>
              </w:rPr>
            </w:pPr>
            <w:r>
              <w:rPr>
                <w:b/>
                <w:bCs/>
                <w:color w:val="1A5C2E"/>
                <w:sz w:val="18"/>
                <w:szCs w:val="18"/>
              </w:rPr>
              <w:t>+0.02%</w:t>
            </w:r>
          </w:p>
        </w:tc>
        <w:tc>
          <w:tcPr>
            <w:tcW w:w="62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37BE5AD6" w14:textId="638C1C16" w:rsidR="0086717B" w:rsidRPr="008F325E" w:rsidRDefault="0086717B" w:rsidP="0086717B">
            <w:pPr>
              <w:jc w:val="center"/>
              <w:rPr>
                <w:rFonts w:eastAsia="Times New Roman"/>
                <w:b/>
                <w:bCs/>
                <w:color w:val="1A5C2E"/>
                <w:sz w:val="18"/>
                <w:szCs w:val="18"/>
              </w:rPr>
            </w:pPr>
            <w:r>
              <w:rPr>
                <w:b/>
                <w:bCs/>
                <w:color w:val="1A5C2E"/>
                <w:sz w:val="18"/>
                <w:szCs w:val="18"/>
              </w:rPr>
              <w:t>+2.58%</w:t>
            </w:r>
          </w:p>
        </w:tc>
        <w:tc>
          <w:tcPr>
            <w:tcW w:w="629"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1CAF92DE" w14:textId="55723050" w:rsidR="0086717B" w:rsidRPr="008F325E" w:rsidRDefault="0086717B" w:rsidP="0086717B">
            <w:pPr>
              <w:jc w:val="center"/>
              <w:rPr>
                <w:rFonts w:eastAsia="Times New Roman"/>
                <w:b/>
                <w:bCs/>
                <w:color w:val="1A5C2E"/>
                <w:sz w:val="18"/>
                <w:szCs w:val="18"/>
              </w:rPr>
            </w:pPr>
            <w:r>
              <w:rPr>
                <w:b/>
                <w:bCs/>
                <w:color w:val="1A5C2E"/>
                <w:sz w:val="18"/>
                <w:szCs w:val="18"/>
              </w:rPr>
              <w:t>+37.61%</w:t>
            </w:r>
          </w:p>
        </w:tc>
        <w:tc>
          <w:tcPr>
            <w:tcW w:w="904" w:type="pct"/>
            <w:tcBorders>
              <w:top w:val="nil"/>
              <w:left w:val="nil"/>
              <w:bottom w:val="single" w:sz="4" w:space="0" w:color="CCCCCC"/>
              <w:right w:val="single" w:sz="4" w:space="0" w:color="CCCCCC"/>
            </w:tcBorders>
            <w:shd w:val="clear" w:color="000000" w:fill="E6F4EA"/>
            <w:noWrap/>
            <w:vAlign w:val="center"/>
            <w:hideMark/>
          </w:tcPr>
          <w:p w14:paraId="16A2214C" w14:textId="5A94951C" w:rsidR="0086717B" w:rsidRPr="002D75C1" w:rsidRDefault="0086717B" w:rsidP="0086717B">
            <w:pPr>
              <w:jc w:val="right"/>
              <w:rPr>
                <w:b/>
                <w:bCs/>
                <w:color w:val="1A5C2E"/>
                <w:sz w:val="18"/>
                <w:szCs w:val="18"/>
              </w:rPr>
            </w:pPr>
            <w:r>
              <w:rPr>
                <w:b/>
                <w:bCs/>
                <w:color w:val="1A5C2E"/>
                <w:sz w:val="18"/>
                <w:szCs w:val="18"/>
              </w:rPr>
              <w:t>EGP4.41 trillion</w:t>
            </w:r>
          </w:p>
        </w:tc>
      </w:tr>
      <w:tr w:rsidR="0086717B" w:rsidRPr="008F325E" w14:paraId="131AEDA8" w14:textId="77777777" w:rsidTr="002D75C1">
        <w:trPr>
          <w:trHeight w:val="315"/>
        </w:trPr>
        <w:tc>
          <w:tcPr>
            <w:tcW w:w="1475" w:type="pct"/>
            <w:tcBorders>
              <w:top w:val="nil"/>
              <w:left w:val="single" w:sz="4" w:space="0" w:color="CCCCCC"/>
              <w:bottom w:val="single" w:sz="4" w:space="0" w:color="CCCCCC"/>
              <w:right w:val="single" w:sz="4" w:space="0" w:color="CCCCCC"/>
            </w:tcBorders>
            <w:shd w:val="clear" w:color="000000" w:fill="FFFFFF"/>
            <w:noWrap/>
            <w:vAlign w:val="center"/>
            <w:hideMark/>
          </w:tcPr>
          <w:p w14:paraId="1EE5EA84" w14:textId="77777777" w:rsidR="0086717B" w:rsidRPr="008F325E" w:rsidRDefault="0086717B" w:rsidP="0086717B">
            <w:pPr>
              <w:rPr>
                <w:rFonts w:eastAsia="Times New Roman"/>
                <w:b/>
                <w:bCs/>
                <w:sz w:val="18"/>
                <w:szCs w:val="18"/>
              </w:rPr>
            </w:pPr>
            <w:r>
              <w:rPr>
                <w:b/>
                <w:bCs/>
                <w:sz w:val="18"/>
                <w:szCs w:val="18"/>
              </w:rPr>
              <w:t>Ghana — GSE Composite</w:t>
            </w:r>
          </w:p>
        </w:tc>
        <w:tc>
          <w:tcPr>
            <w:tcW w:w="733" w:type="pct"/>
            <w:tcBorders>
              <w:top w:val="nil"/>
              <w:left w:val="nil"/>
              <w:bottom w:val="single" w:sz="4" w:space="0" w:color="CCCCCC"/>
              <w:right w:val="single" w:sz="4" w:space="0" w:color="CCCCCC"/>
            </w:tcBorders>
            <w:noWrap/>
            <w:vAlign w:val="center"/>
            <w:hideMark/>
          </w:tcPr>
          <w:p w14:paraId="75629A93" w14:textId="75CA2593" w:rsidR="0086717B" w:rsidRPr="008F325E" w:rsidRDefault="0086717B" w:rsidP="0086717B">
            <w:pPr>
              <w:jc w:val="right"/>
              <w:rPr>
                <w:rFonts w:eastAsia="Times New Roman"/>
                <w:b/>
                <w:bCs/>
                <w:color w:val="1A5C2E"/>
                <w:sz w:val="18"/>
                <w:szCs w:val="18"/>
              </w:rPr>
            </w:pPr>
            <w:r>
              <w:rPr>
                <w:b/>
                <w:bCs/>
                <w:color w:val="1A5C2E"/>
                <w:sz w:val="18"/>
                <w:szCs w:val="18"/>
              </w:rPr>
              <w:t>14,609.00</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62D0E453" w14:textId="7D5D0A93" w:rsidR="0086717B" w:rsidRPr="008F325E" w:rsidRDefault="0086717B" w:rsidP="0086717B">
            <w:pPr>
              <w:jc w:val="center"/>
              <w:rPr>
                <w:rFonts w:eastAsia="Times New Roman"/>
                <w:b/>
                <w:bCs/>
                <w:color w:val="1A5C2E"/>
                <w:sz w:val="18"/>
                <w:szCs w:val="18"/>
              </w:rPr>
            </w:pPr>
            <w:r>
              <w:rPr>
                <w:b/>
                <w:bCs/>
                <w:color w:val="9C0006"/>
                <w:sz w:val="18"/>
                <w:szCs w:val="18"/>
              </w:rPr>
              <w:t>-1.37%</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02D425CA" w14:textId="3B45B470" w:rsidR="0086717B" w:rsidRPr="008F325E" w:rsidRDefault="0086717B" w:rsidP="0086717B">
            <w:pPr>
              <w:jc w:val="center"/>
              <w:rPr>
                <w:rFonts w:eastAsia="Times New Roman"/>
                <w:b/>
                <w:bCs/>
                <w:color w:val="1A5C2E"/>
                <w:sz w:val="18"/>
                <w:szCs w:val="18"/>
              </w:rPr>
            </w:pPr>
            <w:r>
              <w:rPr>
                <w:b/>
                <w:bCs/>
                <w:color w:val="9C0006"/>
                <w:sz w:val="18"/>
                <w:szCs w:val="18"/>
              </w:rPr>
              <w:t>-3.70%</w:t>
            </w:r>
          </w:p>
        </w:tc>
        <w:tc>
          <w:tcPr>
            <w:tcW w:w="629" w:type="pct"/>
            <w:tcBorders>
              <w:top w:val="single" w:sz="4" w:space="0" w:color="CCCCCC"/>
              <w:left w:val="single" w:sz="4" w:space="0" w:color="CCCCCC"/>
              <w:bottom w:val="single" w:sz="4" w:space="0" w:color="CCCCCC"/>
              <w:right w:val="single" w:sz="4" w:space="0" w:color="CCCCCC"/>
            </w:tcBorders>
            <w:noWrap/>
            <w:vAlign w:val="center"/>
            <w:hideMark/>
          </w:tcPr>
          <w:p w14:paraId="1FBA5D7F" w14:textId="24B7CFED" w:rsidR="0086717B" w:rsidRPr="008F325E" w:rsidRDefault="0086717B" w:rsidP="0086717B">
            <w:pPr>
              <w:jc w:val="center"/>
              <w:rPr>
                <w:rFonts w:eastAsia="Times New Roman"/>
                <w:b/>
                <w:bCs/>
                <w:color w:val="1A5C2E"/>
                <w:sz w:val="18"/>
                <w:szCs w:val="18"/>
              </w:rPr>
            </w:pPr>
            <w:r>
              <w:rPr>
                <w:b/>
                <w:bCs/>
                <w:color w:val="1A5C2E"/>
                <w:sz w:val="18"/>
                <w:szCs w:val="18"/>
              </w:rPr>
              <w:t>+68.90%</w:t>
            </w:r>
          </w:p>
        </w:tc>
        <w:tc>
          <w:tcPr>
            <w:tcW w:w="904" w:type="pct"/>
            <w:tcBorders>
              <w:top w:val="nil"/>
              <w:left w:val="nil"/>
              <w:bottom w:val="single" w:sz="4" w:space="0" w:color="CCCCCC"/>
              <w:right w:val="single" w:sz="4" w:space="0" w:color="CCCCCC"/>
            </w:tcBorders>
            <w:noWrap/>
            <w:vAlign w:val="center"/>
            <w:hideMark/>
          </w:tcPr>
          <w:p w14:paraId="4BA1A3EF" w14:textId="207632BA" w:rsidR="0086717B" w:rsidRPr="002D75C1" w:rsidRDefault="0086717B" w:rsidP="0086717B">
            <w:pPr>
              <w:jc w:val="right"/>
              <w:rPr>
                <w:b/>
                <w:bCs/>
                <w:color w:val="1A5C2E"/>
                <w:sz w:val="18"/>
                <w:szCs w:val="18"/>
              </w:rPr>
            </w:pPr>
            <w:r>
              <w:rPr>
                <w:b/>
                <w:bCs/>
                <w:color w:val="1A5C2E"/>
                <w:sz w:val="18"/>
                <w:szCs w:val="18"/>
              </w:rPr>
              <w:t>GHS276.26 billion</w:t>
            </w:r>
          </w:p>
        </w:tc>
      </w:tr>
    </w:tbl>
    <w:p w14:paraId="0B1BF3BE" w14:textId="77777777" w:rsidR="00C06B25" w:rsidRDefault="00CB3E7C">
      <w:pPr>
        <w:spacing w:before="180" w:after="80"/>
      </w:pPr>
      <w:r>
        <w:rPr>
          <w:b/>
          <w:bCs/>
          <w:color w:val="1A5C4E"/>
          <w:sz w:val="22"/>
          <w:szCs w:val="22"/>
        </w:rPr>
        <w:t>African FX Snapshot</w:t>
      </w:r>
    </w:p>
    <w:tbl>
      <w:tblPr>
        <w:tblW w:w="5000" w:type="pct"/>
        <w:tblLook w:val="04A0" w:firstRow="1" w:lastRow="0" w:firstColumn="1" w:lastColumn="0" w:noHBand="0" w:noVBand="1"/>
      </w:tblPr>
      <w:tblGrid>
        <w:gridCol w:w="2527"/>
        <w:gridCol w:w="1547"/>
        <w:gridCol w:w="1264"/>
        <w:gridCol w:w="1080"/>
        <w:gridCol w:w="1080"/>
        <w:gridCol w:w="2212"/>
      </w:tblGrid>
      <w:tr w:rsidR="008F325E" w:rsidRPr="008F325E" w14:paraId="6483BFFE" w14:textId="77777777" w:rsidTr="004F6773">
        <w:trPr>
          <w:trHeight w:val="360"/>
        </w:trPr>
        <w:tc>
          <w:tcPr>
            <w:tcW w:w="1301" w:type="pct"/>
            <w:tcBorders>
              <w:top w:val="single" w:sz="4" w:space="0" w:color="CCCCCC"/>
              <w:left w:val="single" w:sz="4" w:space="0" w:color="CCCCCC"/>
              <w:bottom w:val="single" w:sz="4" w:space="0" w:color="CCCCCC"/>
              <w:right w:val="single" w:sz="4" w:space="0" w:color="CCCCCC"/>
            </w:tcBorders>
            <w:shd w:val="clear" w:color="000000" w:fill="1A5C4E"/>
            <w:noWrap/>
            <w:vAlign w:val="center"/>
            <w:hideMark/>
          </w:tcPr>
          <w:p w14:paraId="4A626BDB" w14:textId="77777777" w:rsidR="008F325E" w:rsidRPr="008F325E" w:rsidRDefault="008F325E" w:rsidP="008F325E">
            <w:pPr>
              <w:rPr>
                <w:rFonts w:eastAsia="Times New Roman"/>
                <w:b/>
                <w:bCs/>
                <w:color w:val="FFFFFF"/>
                <w:sz w:val="18"/>
                <w:szCs w:val="18"/>
              </w:rPr>
            </w:pPr>
            <w:r>
              <w:rPr>
                <w:rFonts w:eastAsia="Times New Roman"/>
                <w:b/>
                <w:bCs/>
                <w:color w:val="FFFFFF"/>
                <w:sz w:val="18"/>
                <w:szCs w:val="18"/>
              </w:rPr>
              <w:t>Currency Pair</w:t>
            </w:r>
          </w:p>
        </w:tc>
        <w:tc>
          <w:tcPr>
            <w:tcW w:w="797" w:type="pct"/>
            <w:tcBorders>
              <w:top w:val="single" w:sz="4" w:space="0" w:color="CCCCCC"/>
              <w:left w:val="nil"/>
              <w:bottom w:val="single" w:sz="4" w:space="0" w:color="CCCCCC"/>
              <w:right w:val="single" w:sz="4" w:space="0" w:color="CCCCCC"/>
            </w:tcBorders>
            <w:shd w:val="clear" w:color="000000" w:fill="1A5C4E"/>
            <w:noWrap/>
            <w:vAlign w:val="center"/>
            <w:hideMark/>
          </w:tcPr>
          <w:p w14:paraId="3CD0945D" w14:textId="77777777" w:rsidR="008F325E" w:rsidRPr="008F325E" w:rsidRDefault="008F325E" w:rsidP="008F325E">
            <w:pPr>
              <w:rPr>
                <w:rFonts w:eastAsia="Times New Roman"/>
                <w:b/>
                <w:bCs/>
                <w:color w:val="FFFFFF"/>
                <w:sz w:val="18"/>
                <w:szCs w:val="18"/>
              </w:rPr>
            </w:pPr>
            <w:r>
              <w:rPr>
                <w:rFonts w:eastAsia="Times New Roman"/>
                <w:b/>
                <w:bCs/>
                <w:color w:val="FFFFFF"/>
                <w:sz w:val="18"/>
                <w:szCs w:val="18"/>
              </w:rPr>
              <w:t>Rate (Fri Close)</w:t>
            </w:r>
          </w:p>
        </w:tc>
        <w:tc>
          <w:tcPr>
            <w:tcW w:w="651" w:type="pct"/>
            <w:tcBorders>
              <w:top w:val="single" w:sz="4" w:space="0" w:color="CCCCCC"/>
              <w:left w:val="nil"/>
              <w:bottom w:val="single" w:sz="4" w:space="0" w:color="CCCCCC"/>
              <w:right w:val="single" w:sz="4" w:space="0" w:color="CCCCCC"/>
            </w:tcBorders>
            <w:shd w:val="clear" w:color="000000" w:fill="1A5C4E"/>
            <w:noWrap/>
            <w:vAlign w:val="center"/>
            <w:hideMark/>
          </w:tcPr>
          <w:p w14:paraId="28D88B87" w14:textId="77777777" w:rsidR="008F325E" w:rsidRPr="008F325E" w:rsidRDefault="008F325E" w:rsidP="008F325E">
            <w:pPr>
              <w:rPr>
                <w:rFonts w:eastAsia="Times New Roman"/>
                <w:b/>
                <w:bCs/>
                <w:color w:val="FFFFFF"/>
                <w:sz w:val="18"/>
                <w:szCs w:val="18"/>
              </w:rPr>
            </w:pPr>
            <w:r>
              <w:rPr>
                <w:rFonts w:eastAsia="Times New Roman"/>
                <w:b/>
                <w:bCs/>
                <w:color w:val="FFFFFF"/>
                <w:sz w:val="18"/>
                <w:szCs w:val="18"/>
              </w:rPr>
              <w:t>WoW Chg</w:t>
            </w:r>
          </w:p>
        </w:tc>
        <w:tc>
          <w:tcPr>
            <w:tcW w:w="556" w:type="pct"/>
            <w:tcBorders>
              <w:top w:val="single" w:sz="4" w:space="0" w:color="CCCCCC"/>
              <w:left w:val="nil"/>
              <w:bottom w:val="single" w:sz="4" w:space="0" w:color="CCCCCC"/>
              <w:right w:val="single" w:sz="4" w:space="0" w:color="CCCCCC"/>
            </w:tcBorders>
            <w:shd w:val="clear" w:color="000000" w:fill="1A5C4E"/>
            <w:noWrap/>
            <w:vAlign w:val="center"/>
            <w:hideMark/>
          </w:tcPr>
          <w:p w14:paraId="166D886C" w14:textId="77777777" w:rsidR="008F325E" w:rsidRPr="008F325E" w:rsidRDefault="008F325E" w:rsidP="008F325E">
            <w:pPr>
              <w:rPr>
                <w:rFonts w:eastAsia="Times New Roman"/>
                <w:b/>
                <w:bCs/>
                <w:color w:val="FFFFFF"/>
                <w:sz w:val="18"/>
                <w:szCs w:val="18"/>
              </w:rPr>
            </w:pPr>
            <w:r>
              <w:rPr>
                <w:rFonts w:eastAsia="Times New Roman"/>
                <w:b/>
                <w:bCs/>
                <w:color w:val="FFFFFF"/>
                <w:sz w:val="18"/>
                <w:szCs w:val="18"/>
              </w:rPr>
              <w:t>WoW %</w:t>
            </w:r>
          </w:p>
        </w:tc>
        <w:tc>
          <w:tcPr>
            <w:tcW w:w="556" w:type="pct"/>
            <w:tcBorders>
              <w:top w:val="single" w:sz="4" w:space="0" w:color="CCCCCC"/>
              <w:left w:val="nil"/>
              <w:bottom w:val="single" w:sz="4" w:space="0" w:color="CCCCCC"/>
              <w:right w:val="single" w:sz="4" w:space="0" w:color="CCCCCC"/>
            </w:tcBorders>
            <w:shd w:val="clear" w:color="000000" w:fill="1A5C4E"/>
            <w:noWrap/>
            <w:vAlign w:val="center"/>
            <w:hideMark/>
          </w:tcPr>
          <w:p w14:paraId="03174A90" w14:textId="77777777" w:rsidR="008F325E" w:rsidRPr="008F325E" w:rsidRDefault="008F325E" w:rsidP="008F325E">
            <w:pPr>
              <w:rPr>
                <w:rFonts w:eastAsia="Times New Roman"/>
                <w:b/>
                <w:bCs/>
                <w:color w:val="FFFFFF"/>
                <w:sz w:val="18"/>
                <w:szCs w:val="18"/>
              </w:rPr>
            </w:pPr>
            <w:r>
              <w:rPr>
                <w:rFonts w:eastAsia="Times New Roman"/>
                <w:b/>
                <w:bCs/>
                <w:color w:val="FFFFFF"/>
                <w:sz w:val="18"/>
                <w:szCs w:val="18"/>
              </w:rPr>
              <w:t>YTD %</w:t>
            </w:r>
          </w:p>
        </w:tc>
        <w:tc>
          <w:tcPr>
            <w:tcW w:w="1139" w:type="pct"/>
            <w:tcBorders>
              <w:top w:val="single" w:sz="4" w:space="0" w:color="CCCCCC"/>
              <w:left w:val="nil"/>
              <w:bottom w:val="single" w:sz="4" w:space="0" w:color="CCCCCC"/>
              <w:right w:val="single" w:sz="4" w:space="0" w:color="CCCCCC"/>
            </w:tcBorders>
            <w:shd w:val="clear" w:color="000000" w:fill="1A5C4E"/>
            <w:noWrap/>
            <w:vAlign w:val="center"/>
            <w:hideMark/>
          </w:tcPr>
          <w:p w14:paraId="2F943A0D" w14:textId="77777777" w:rsidR="008F325E" w:rsidRPr="008F325E" w:rsidRDefault="008F325E" w:rsidP="008F325E">
            <w:pPr>
              <w:rPr>
                <w:rFonts w:eastAsia="Times New Roman"/>
                <w:b/>
                <w:bCs/>
                <w:color w:val="FFFFFF"/>
                <w:sz w:val="18"/>
                <w:szCs w:val="18"/>
              </w:rPr>
            </w:pPr>
            <w:r>
              <w:rPr>
                <w:rFonts w:eastAsia="Times New Roman"/>
                <w:b/>
                <w:bCs/>
                <w:color w:val="FFFFFF"/>
                <w:sz w:val="18"/>
                <w:szCs w:val="18"/>
              </w:rPr>
              <w:t>As-of Date</w:t>
            </w:r>
          </w:p>
        </w:tc>
      </w:tr>
      <w:tr w:rsidR="0086717B" w:rsidRPr="008F325E" w14:paraId="1D7E9D2F" w14:textId="77777777" w:rsidTr="004F6773">
        <w:trPr>
          <w:trHeight w:val="315"/>
        </w:trPr>
        <w:tc>
          <w:tcPr>
            <w:tcW w:w="1301" w:type="pct"/>
            <w:tcBorders>
              <w:top w:val="nil"/>
              <w:left w:val="single" w:sz="4" w:space="0" w:color="CCCCCC"/>
              <w:bottom w:val="single" w:sz="4" w:space="0" w:color="CCCCCC"/>
              <w:right w:val="single" w:sz="4" w:space="0" w:color="CCCCCC"/>
            </w:tcBorders>
            <w:noWrap/>
            <w:vAlign w:val="center"/>
            <w:hideMark/>
          </w:tcPr>
          <w:p w14:paraId="2D6957C1" w14:textId="77777777" w:rsidR="0086717B" w:rsidRPr="008F325E" w:rsidRDefault="0086717B" w:rsidP="0086717B">
            <w:pPr>
              <w:rPr>
                <w:rFonts w:eastAsia="Times New Roman"/>
                <w:b/>
                <w:bCs/>
                <w:sz w:val="18"/>
                <w:szCs w:val="18"/>
              </w:rPr>
            </w:pPr>
            <w:r>
              <w:rPr>
                <w:b/>
                <w:bCs/>
                <w:sz w:val="18"/>
                <w:szCs w:val="18"/>
              </w:rPr>
              <w:t>USD/NGN (Nigeria Official)</w:t>
            </w:r>
          </w:p>
        </w:tc>
        <w:tc>
          <w:tcPr>
            <w:tcW w:w="797" w:type="pct"/>
            <w:tcBorders>
              <w:top w:val="nil"/>
              <w:left w:val="nil"/>
              <w:bottom w:val="single" w:sz="4" w:space="0" w:color="CCCCCC"/>
              <w:right w:val="single" w:sz="4" w:space="0" w:color="CCCCCC"/>
            </w:tcBorders>
            <w:noWrap/>
            <w:vAlign w:val="center"/>
            <w:hideMark/>
          </w:tcPr>
          <w:p w14:paraId="3D5850D8" w14:textId="35FAB7E0" w:rsidR="0086717B" w:rsidRPr="008F325E" w:rsidRDefault="0086717B" w:rsidP="0086717B">
            <w:pPr>
              <w:jc w:val="right"/>
              <w:rPr>
                <w:rFonts w:eastAsia="Times New Roman"/>
                <w:b/>
                <w:bCs/>
                <w:color w:val="1A5C2E"/>
                <w:sz w:val="18"/>
                <w:szCs w:val="18"/>
              </w:rPr>
            </w:pPr>
            <w:r>
              <w:rPr>
                <w:b/>
                <w:bCs/>
                <w:color w:val="1A5C2E"/>
                <w:sz w:val="18"/>
                <w:szCs w:val="18"/>
              </w:rPr>
              <w:t>1,326.23</w:t>
            </w:r>
          </w:p>
        </w:tc>
        <w:tc>
          <w:tcPr>
            <w:tcW w:w="651" w:type="pct"/>
            <w:tcBorders>
              <w:top w:val="nil"/>
              <w:left w:val="nil"/>
              <w:bottom w:val="single" w:sz="4" w:space="0" w:color="CCCCCC"/>
              <w:right w:val="single" w:sz="4" w:space="0" w:color="CCCCCC"/>
            </w:tcBorders>
            <w:noWrap/>
            <w:vAlign w:val="center"/>
            <w:hideMark/>
          </w:tcPr>
          <w:p w14:paraId="00223E1F" w14:textId="6219458A" w:rsidR="0086717B" w:rsidRPr="008F325E" w:rsidRDefault="0086717B" w:rsidP="0086717B">
            <w:pPr>
              <w:jc w:val="right"/>
              <w:rPr>
                <w:rFonts w:eastAsia="Times New Roman"/>
                <w:b/>
                <w:bCs/>
                <w:color w:val="1A5C2E"/>
                <w:sz w:val="18"/>
                <w:szCs w:val="18"/>
              </w:rPr>
            </w:pPr>
            <w:r>
              <w:rPr>
                <w:b/>
                <w:bCs/>
                <w:color w:val="1A5C2E"/>
                <w:sz w:val="18"/>
                <w:szCs w:val="18"/>
              </w:rPr>
              <w:t>4.80</w:t>
            </w:r>
          </w:p>
        </w:tc>
        <w:tc>
          <w:tcPr>
            <w:tcW w:w="556" w:type="pct"/>
            <w:tcBorders>
              <w:top w:val="single" w:sz="4" w:space="0" w:color="CCCCCC"/>
              <w:left w:val="single" w:sz="4" w:space="0" w:color="CCCCCC"/>
              <w:bottom w:val="single" w:sz="4" w:space="0" w:color="CCCCCC"/>
              <w:right w:val="single" w:sz="4" w:space="0" w:color="CCCCCC"/>
            </w:tcBorders>
            <w:noWrap/>
            <w:vAlign w:val="center"/>
            <w:hideMark/>
          </w:tcPr>
          <w:p w14:paraId="3CB5E1F6" w14:textId="1C51762E" w:rsidR="0086717B" w:rsidRPr="008F325E" w:rsidRDefault="0086717B" w:rsidP="0086717B">
            <w:pPr>
              <w:jc w:val="center"/>
              <w:rPr>
                <w:rFonts w:eastAsia="Times New Roman"/>
                <w:b/>
                <w:bCs/>
                <w:color w:val="9C0006"/>
                <w:sz w:val="18"/>
                <w:szCs w:val="18"/>
              </w:rPr>
            </w:pPr>
            <w:r>
              <w:rPr>
                <w:b/>
                <w:bCs/>
                <w:color w:val="1A5C2E"/>
                <w:sz w:val="18"/>
                <w:szCs w:val="18"/>
              </w:rPr>
              <w:t>+0.36%</w:t>
            </w:r>
          </w:p>
        </w:tc>
        <w:tc>
          <w:tcPr>
            <w:tcW w:w="556" w:type="pct"/>
            <w:tcBorders>
              <w:top w:val="nil"/>
              <w:left w:val="nil"/>
              <w:bottom w:val="single" w:sz="4" w:space="0" w:color="CCCCCC"/>
              <w:right w:val="single" w:sz="4" w:space="0" w:color="CCCCCC"/>
            </w:tcBorders>
            <w:noWrap/>
            <w:vAlign w:val="center"/>
            <w:hideMark/>
          </w:tcPr>
          <w:p w14:paraId="28AA64C6" w14:textId="448DD8D5" w:rsidR="0086717B" w:rsidRPr="008F325E" w:rsidRDefault="0086717B" w:rsidP="0086717B">
            <w:pPr>
              <w:jc w:val="center"/>
              <w:rPr>
                <w:rFonts w:eastAsia="Times New Roman"/>
                <w:b/>
                <w:bCs/>
                <w:color w:val="B22222"/>
                <w:sz w:val="18"/>
                <w:szCs w:val="18"/>
              </w:rPr>
            </w:pPr>
            <w:r>
              <w:rPr>
                <w:b/>
                <w:bCs/>
                <w:color w:val="B22222"/>
                <w:sz w:val="18"/>
                <w:szCs w:val="18"/>
              </w:rPr>
              <w:t>-8.31%</w:t>
            </w:r>
          </w:p>
        </w:tc>
        <w:tc>
          <w:tcPr>
            <w:tcW w:w="1139" w:type="pct"/>
            <w:tcBorders>
              <w:top w:val="nil"/>
              <w:left w:val="nil"/>
              <w:bottom w:val="single" w:sz="4" w:space="0" w:color="CCCCCC"/>
              <w:right w:val="single" w:sz="4" w:space="0" w:color="CCCCCC"/>
            </w:tcBorders>
            <w:noWrap/>
            <w:vAlign w:val="center"/>
            <w:hideMark/>
          </w:tcPr>
          <w:p w14:paraId="2BE8CFF4" w14:textId="5419D741" w:rsidR="0086717B" w:rsidRPr="00793134" w:rsidRDefault="0086717B" w:rsidP="0086717B">
            <w:pPr>
              <w:jc w:val="center"/>
              <w:rPr>
                <w:rFonts w:eastAsia="Times New Roman"/>
                <w:b/>
                <w:bCs/>
                <w:color w:val="124F1A" w:themeColor="accent3" w:themeShade="BF"/>
                <w:sz w:val="18"/>
                <w:szCs w:val="18"/>
              </w:rPr>
            </w:pPr>
            <w:r>
              <w:rPr>
                <w:b/>
                <w:bCs/>
                <w:color w:val="1A5C2E"/>
                <w:sz w:val="18"/>
                <w:szCs w:val="18"/>
              </w:rPr>
              <w:t>2026-09-11</w:t>
            </w:r>
          </w:p>
        </w:tc>
      </w:tr>
      <w:tr w:rsidR="0086717B" w:rsidRPr="008F325E" w14:paraId="1C2D6545" w14:textId="77777777" w:rsidTr="004F6773">
        <w:trPr>
          <w:trHeight w:val="315"/>
        </w:trPr>
        <w:tc>
          <w:tcPr>
            <w:tcW w:w="1301" w:type="pct"/>
            <w:tcBorders>
              <w:top w:val="nil"/>
              <w:left w:val="single" w:sz="4" w:space="0" w:color="CCCCCC"/>
              <w:bottom w:val="single" w:sz="4" w:space="0" w:color="CCCCCC"/>
              <w:right w:val="single" w:sz="4" w:space="0" w:color="CCCCCC"/>
            </w:tcBorders>
            <w:shd w:val="clear" w:color="000000" w:fill="E6F4EA"/>
            <w:noWrap/>
            <w:vAlign w:val="center"/>
            <w:hideMark/>
          </w:tcPr>
          <w:p w14:paraId="1D60C9E0" w14:textId="77777777" w:rsidR="0086717B" w:rsidRPr="008F325E" w:rsidRDefault="0086717B" w:rsidP="0086717B">
            <w:pPr>
              <w:rPr>
                <w:rFonts w:eastAsia="Times New Roman"/>
                <w:b/>
                <w:bCs/>
                <w:sz w:val="18"/>
                <w:szCs w:val="18"/>
              </w:rPr>
            </w:pPr>
            <w:r>
              <w:rPr>
                <w:b/>
                <w:bCs/>
                <w:sz w:val="18"/>
                <w:szCs w:val="18"/>
              </w:rPr>
              <w:t>USD/ZAR (South Africa)</w:t>
            </w:r>
          </w:p>
        </w:tc>
        <w:tc>
          <w:tcPr>
            <w:tcW w:w="797" w:type="pct"/>
            <w:tcBorders>
              <w:top w:val="nil"/>
              <w:left w:val="nil"/>
              <w:bottom w:val="single" w:sz="4" w:space="0" w:color="CCCCCC"/>
              <w:right w:val="single" w:sz="4" w:space="0" w:color="CCCCCC"/>
            </w:tcBorders>
            <w:shd w:val="clear" w:color="000000" w:fill="E6F4EA"/>
            <w:noWrap/>
            <w:vAlign w:val="center"/>
            <w:hideMark/>
          </w:tcPr>
          <w:p w14:paraId="252D59E3" w14:textId="54E0F9DC" w:rsidR="0086717B" w:rsidRPr="008F325E" w:rsidRDefault="0086717B" w:rsidP="0086717B">
            <w:pPr>
              <w:jc w:val="right"/>
              <w:rPr>
                <w:rFonts w:eastAsia="Times New Roman"/>
                <w:b/>
                <w:bCs/>
                <w:color w:val="1A5C2E"/>
                <w:sz w:val="18"/>
                <w:szCs w:val="18"/>
              </w:rPr>
            </w:pPr>
            <w:r>
              <w:rPr>
                <w:b/>
                <w:bCs/>
                <w:color w:val="1A5C2E"/>
                <w:sz w:val="18"/>
                <w:szCs w:val="18"/>
              </w:rPr>
              <w:t>16.10</w:t>
            </w:r>
          </w:p>
        </w:tc>
        <w:tc>
          <w:tcPr>
            <w:tcW w:w="651" w:type="pct"/>
            <w:tcBorders>
              <w:top w:val="nil"/>
              <w:left w:val="nil"/>
              <w:bottom w:val="single" w:sz="4" w:space="0" w:color="CCCCCC"/>
              <w:right w:val="single" w:sz="4" w:space="0" w:color="CCCCCC"/>
            </w:tcBorders>
            <w:shd w:val="clear" w:color="000000" w:fill="E6F4EA"/>
            <w:noWrap/>
            <w:vAlign w:val="center"/>
            <w:hideMark/>
          </w:tcPr>
          <w:p w14:paraId="57DE2631" w14:textId="4C05703C" w:rsidR="0086717B" w:rsidRPr="008F325E" w:rsidRDefault="0086717B" w:rsidP="0086717B">
            <w:pPr>
              <w:jc w:val="right"/>
              <w:rPr>
                <w:rFonts w:eastAsia="Times New Roman"/>
                <w:b/>
                <w:bCs/>
                <w:color w:val="1A5C2E"/>
                <w:sz w:val="18"/>
                <w:szCs w:val="18"/>
              </w:rPr>
            </w:pPr>
            <w:r>
              <w:rPr>
                <w:b/>
                <w:bCs/>
                <w:color w:val="1A5C2E"/>
                <w:sz w:val="18"/>
                <w:szCs w:val="18"/>
              </w:rPr>
              <w:t>0.14</w:t>
            </w:r>
          </w:p>
        </w:tc>
        <w:tc>
          <w:tcPr>
            <w:tcW w:w="556"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006BFFA5" w14:textId="749A0262" w:rsidR="0086717B" w:rsidRPr="008F325E" w:rsidRDefault="0086717B" w:rsidP="0086717B">
            <w:pPr>
              <w:jc w:val="center"/>
              <w:rPr>
                <w:rFonts w:eastAsia="Times New Roman"/>
                <w:b/>
                <w:bCs/>
                <w:color w:val="1A5C2E"/>
                <w:sz w:val="18"/>
                <w:szCs w:val="18"/>
              </w:rPr>
            </w:pPr>
            <w:r>
              <w:rPr>
                <w:b/>
                <w:bCs/>
                <w:color w:val="1A5C2E"/>
                <w:sz w:val="18"/>
                <w:szCs w:val="18"/>
              </w:rPr>
              <w:t>+0.87%</w:t>
            </w:r>
          </w:p>
        </w:tc>
        <w:tc>
          <w:tcPr>
            <w:tcW w:w="556" w:type="pct"/>
            <w:tcBorders>
              <w:top w:val="nil"/>
              <w:left w:val="nil"/>
              <w:bottom w:val="single" w:sz="4" w:space="0" w:color="CCCCCC"/>
              <w:right w:val="single" w:sz="4" w:space="0" w:color="CCCCCC"/>
            </w:tcBorders>
            <w:shd w:val="clear" w:color="000000" w:fill="E6F4EA"/>
            <w:noWrap/>
            <w:vAlign w:val="center"/>
            <w:hideMark/>
          </w:tcPr>
          <w:p w14:paraId="4A3B0840" w14:textId="4D35659E" w:rsidR="0086717B" w:rsidRPr="008F325E" w:rsidRDefault="0086717B" w:rsidP="0086717B">
            <w:pPr>
              <w:jc w:val="center"/>
              <w:rPr>
                <w:rFonts w:eastAsia="Times New Roman"/>
                <w:b/>
                <w:bCs/>
                <w:color w:val="B22222"/>
                <w:sz w:val="18"/>
                <w:szCs w:val="18"/>
              </w:rPr>
            </w:pPr>
            <w:r>
              <w:rPr>
                <w:b/>
                <w:bCs/>
                <w:color w:val="B22222"/>
                <w:sz w:val="18"/>
                <w:szCs w:val="18"/>
              </w:rPr>
              <w:t>-2.47%</w:t>
            </w:r>
          </w:p>
        </w:tc>
        <w:tc>
          <w:tcPr>
            <w:tcW w:w="1139" w:type="pct"/>
            <w:tcBorders>
              <w:top w:val="nil"/>
              <w:left w:val="nil"/>
              <w:bottom w:val="single" w:sz="4" w:space="0" w:color="CCCCCC"/>
              <w:right w:val="single" w:sz="4" w:space="0" w:color="CCCCCC"/>
            </w:tcBorders>
            <w:shd w:val="clear" w:color="000000" w:fill="E6F4EA"/>
            <w:noWrap/>
            <w:vAlign w:val="center"/>
            <w:hideMark/>
          </w:tcPr>
          <w:p w14:paraId="55B858A4" w14:textId="4BB3CD5F" w:rsidR="0086717B" w:rsidRPr="00793134" w:rsidRDefault="0086717B" w:rsidP="0086717B">
            <w:pPr>
              <w:jc w:val="center"/>
              <w:rPr>
                <w:rFonts w:eastAsia="Times New Roman"/>
                <w:b/>
                <w:bCs/>
                <w:color w:val="124F1A" w:themeColor="accent3" w:themeShade="BF"/>
                <w:sz w:val="18"/>
                <w:szCs w:val="18"/>
              </w:rPr>
            </w:pPr>
            <w:r>
              <w:rPr>
                <w:b/>
                <w:bCs/>
                <w:color w:val="1A5C2E"/>
                <w:sz w:val="18"/>
                <w:szCs w:val="18"/>
              </w:rPr>
              <w:t>2026-09-11</w:t>
            </w:r>
          </w:p>
        </w:tc>
      </w:tr>
      <w:tr w:rsidR="0086717B" w:rsidRPr="008F325E" w14:paraId="5C9C943A" w14:textId="77777777" w:rsidTr="004F6773">
        <w:trPr>
          <w:trHeight w:val="315"/>
        </w:trPr>
        <w:tc>
          <w:tcPr>
            <w:tcW w:w="1301" w:type="pct"/>
            <w:tcBorders>
              <w:top w:val="nil"/>
              <w:left w:val="single" w:sz="4" w:space="0" w:color="CCCCCC"/>
              <w:bottom w:val="single" w:sz="4" w:space="0" w:color="CCCCCC"/>
              <w:right w:val="single" w:sz="4" w:space="0" w:color="CCCCCC"/>
            </w:tcBorders>
            <w:noWrap/>
            <w:vAlign w:val="center"/>
            <w:hideMark/>
          </w:tcPr>
          <w:p w14:paraId="1492CBCE" w14:textId="77777777" w:rsidR="0086717B" w:rsidRPr="008F325E" w:rsidRDefault="0086717B" w:rsidP="0086717B">
            <w:pPr>
              <w:rPr>
                <w:rFonts w:eastAsia="Times New Roman"/>
                <w:b/>
                <w:bCs/>
                <w:sz w:val="18"/>
                <w:szCs w:val="18"/>
              </w:rPr>
            </w:pPr>
            <w:r>
              <w:rPr>
                <w:b/>
                <w:bCs/>
                <w:sz w:val="18"/>
                <w:szCs w:val="18"/>
              </w:rPr>
              <w:t>USD/KES (Kenya)</w:t>
            </w:r>
          </w:p>
        </w:tc>
        <w:tc>
          <w:tcPr>
            <w:tcW w:w="797" w:type="pct"/>
            <w:tcBorders>
              <w:top w:val="nil"/>
              <w:left w:val="nil"/>
              <w:bottom w:val="single" w:sz="4" w:space="0" w:color="CCCCCC"/>
              <w:right w:val="single" w:sz="4" w:space="0" w:color="CCCCCC"/>
            </w:tcBorders>
            <w:noWrap/>
            <w:vAlign w:val="center"/>
            <w:hideMark/>
          </w:tcPr>
          <w:p w14:paraId="5EA1591A" w14:textId="1ADF9FB0" w:rsidR="0086717B" w:rsidRPr="008F325E" w:rsidRDefault="0086717B" w:rsidP="0086717B">
            <w:pPr>
              <w:jc w:val="right"/>
              <w:rPr>
                <w:rFonts w:eastAsia="Times New Roman"/>
                <w:b/>
                <w:bCs/>
                <w:color w:val="1A5C2E"/>
                <w:sz w:val="18"/>
                <w:szCs w:val="18"/>
              </w:rPr>
            </w:pPr>
            <w:r>
              <w:rPr>
                <w:b/>
                <w:bCs/>
                <w:color w:val="1A5C2E"/>
                <w:sz w:val="18"/>
                <w:szCs w:val="18"/>
              </w:rPr>
              <w:t>128.42</w:t>
            </w:r>
          </w:p>
        </w:tc>
        <w:tc>
          <w:tcPr>
            <w:tcW w:w="651" w:type="pct"/>
            <w:tcBorders>
              <w:top w:val="nil"/>
              <w:left w:val="nil"/>
              <w:bottom w:val="single" w:sz="4" w:space="0" w:color="CCCCCC"/>
              <w:right w:val="single" w:sz="4" w:space="0" w:color="CCCCCC"/>
            </w:tcBorders>
            <w:noWrap/>
            <w:vAlign w:val="center"/>
            <w:hideMark/>
          </w:tcPr>
          <w:p w14:paraId="6EE42E48" w14:textId="1B7E6AFF" w:rsidR="0086717B" w:rsidRPr="008F325E" w:rsidRDefault="0086717B" w:rsidP="0086717B">
            <w:pPr>
              <w:jc w:val="right"/>
              <w:rPr>
                <w:rFonts w:eastAsia="Times New Roman"/>
                <w:b/>
                <w:bCs/>
                <w:color w:val="1A5C2E"/>
                <w:sz w:val="18"/>
                <w:szCs w:val="18"/>
              </w:rPr>
            </w:pPr>
            <w:r>
              <w:rPr>
                <w:b/>
                <w:bCs/>
                <w:color w:val="1A5C2E"/>
                <w:sz w:val="18"/>
                <w:szCs w:val="18"/>
              </w:rPr>
              <w:t>-0.03</w:t>
            </w:r>
          </w:p>
        </w:tc>
        <w:tc>
          <w:tcPr>
            <w:tcW w:w="556" w:type="pct"/>
            <w:tcBorders>
              <w:top w:val="single" w:sz="4" w:space="0" w:color="CCCCCC"/>
              <w:left w:val="single" w:sz="4" w:space="0" w:color="CCCCCC"/>
              <w:bottom w:val="single" w:sz="4" w:space="0" w:color="CCCCCC"/>
              <w:right w:val="single" w:sz="4" w:space="0" w:color="CCCCCC"/>
            </w:tcBorders>
            <w:noWrap/>
            <w:vAlign w:val="center"/>
            <w:hideMark/>
          </w:tcPr>
          <w:p w14:paraId="42D07951" w14:textId="0E56291D" w:rsidR="0086717B" w:rsidRPr="008F325E" w:rsidRDefault="0086717B" w:rsidP="0086717B">
            <w:pPr>
              <w:jc w:val="center"/>
              <w:rPr>
                <w:rFonts w:eastAsia="Times New Roman"/>
                <w:b/>
                <w:bCs/>
                <w:color w:val="1A5C2E"/>
                <w:sz w:val="18"/>
                <w:szCs w:val="18"/>
              </w:rPr>
            </w:pPr>
            <w:r>
              <w:rPr>
                <w:b/>
                <w:bCs/>
                <w:color w:val="9C0006"/>
                <w:sz w:val="18"/>
                <w:szCs w:val="18"/>
              </w:rPr>
              <w:t>-0.02%</w:t>
            </w:r>
          </w:p>
        </w:tc>
        <w:tc>
          <w:tcPr>
            <w:tcW w:w="556" w:type="pct"/>
            <w:tcBorders>
              <w:top w:val="nil"/>
              <w:left w:val="nil"/>
              <w:bottom w:val="single" w:sz="4" w:space="0" w:color="CCCCCC"/>
              <w:right w:val="single" w:sz="4" w:space="0" w:color="CCCCCC"/>
            </w:tcBorders>
            <w:noWrap/>
            <w:vAlign w:val="center"/>
            <w:hideMark/>
          </w:tcPr>
          <w:p w14:paraId="52CAE753" w14:textId="6BE67DC9" w:rsidR="0086717B" w:rsidRPr="008F325E" w:rsidRDefault="0086717B" w:rsidP="0086717B">
            <w:pPr>
              <w:jc w:val="center"/>
              <w:rPr>
                <w:rFonts w:eastAsia="Times New Roman"/>
                <w:b/>
                <w:bCs/>
                <w:color w:val="1A5C2E"/>
                <w:sz w:val="18"/>
                <w:szCs w:val="18"/>
              </w:rPr>
            </w:pPr>
            <w:r>
              <w:rPr>
                <w:b/>
                <w:bCs/>
                <w:color w:val="1A5C2E"/>
                <w:sz w:val="18"/>
                <w:szCs w:val="18"/>
              </w:rPr>
              <w:t>+0.33%</w:t>
            </w:r>
          </w:p>
        </w:tc>
        <w:tc>
          <w:tcPr>
            <w:tcW w:w="1139" w:type="pct"/>
            <w:tcBorders>
              <w:top w:val="nil"/>
              <w:left w:val="nil"/>
              <w:bottom w:val="single" w:sz="4" w:space="0" w:color="CCCCCC"/>
              <w:right w:val="single" w:sz="4" w:space="0" w:color="CCCCCC"/>
            </w:tcBorders>
            <w:noWrap/>
            <w:vAlign w:val="center"/>
            <w:hideMark/>
          </w:tcPr>
          <w:p w14:paraId="4D193F42" w14:textId="057B25CE" w:rsidR="0086717B" w:rsidRPr="00793134" w:rsidRDefault="0086717B" w:rsidP="0086717B">
            <w:pPr>
              <w:jc w:val="center"/>
              <w:rPr>
                <w:rFonts w:eastAsia="Times New Roman"/>
                <w:b/>
                <w:bCs/>
                <w:color w:val="124F1A" w:themeColor="accent3" w:themeShade="BF"/>
                <w:sz w:val="18"/>
                <w:szCs w:val="18"/>
              </w:rPr>
            </w:pPr>
            <w:r>
              <w:rPr>
                <w:b/>
                <w:bCs/>
                <w:color w:val="1A5C2E"/>
                <w:sz w:val="18"/>
                <w:szCs w:val="18"/>
              </w:rPr>
              <w:t>2026-09-11</w:t>
            </w:r>
          </w:p>
        </w:tc>
      </w:tr>
      <w:tr w:rsidR="0086717B" w:rsidRPr="008F325E" w14:paraId="6E4150D7" w14:textId="77777777" w:rsidTr="004F6773">
        <w:trPr>
          <w:trHeight w:val="315"/>
        </w:trPr>
        <w:tc>
          <w:tcPr>
            <w:tcW w:w="1301" w:type="pct"/>
            <w:tcBorders>
              <w:top w:val="nil"/>
              <w:left w:val="single" w:sz="4" w:space="0" w:color="CCCCCC"/>
              <w:bottom w:val="single" w:sz="4" w:space="0" w:color="CCCCCC"/>
              <w:right w:val="single" w:sz="4" w:space="0" w:color="CCCCCC"/>
            </w:tcBorders>
            <w:shd w:val="clear" w:color="000000" w:fill="E6F4EA"/>
            <w:noWrap/>
            <w:vAlign w:val="center"/>
            <w:hideMark/>
          </w:tcPr>
          <w:p w14:paraId="7DEF5952" w14:textId="77777777" w:rsidR="0086717B" w:rsidRPr="008F325E" w:rsidRDefault="0086717B" w:rsidP="0086717B">
            <w:pPr>
              <w:rPr>
                <w:rFonts w:eastAsia="Times New Roman"/>
                <w:b/>
                <w:bCs/>
                <w:sz w:val="18"/>
                <w:szCs w:val="18"/>
              </w:rPr>
            </w:pPr>
            <w:r>
              <w:rPr>
                <w:b/>
                <w:bCs/>
                <w:sz w:val="18"/>
                <w:szCs w:val="18"/>
              </w:rPr>
              <w:t>USD/EGP (Egypt)</w:t>
            </w:r>
          </w:p>
        </w:tc>
        <w:tc>
          <w:tcPr>
            <w:tcW w:w="797" w:type="pct"/>
            <w:tcBorders>
              <w:top w:val="nil"/>
              <w:left w:val="nil"/>
              <w:bottom w:val="single" w:sz="4" w:space="0" w:color="CCCCCC"/>
              <w:right w:val="single" w:sz="4" w:space="0" w:color="CCCCCC"/>
            </w:tcBorders>
            <w:shd w:val="clear" w:color="000000" w:fill="E6F4EA"/>
            <w:noWrap/>
            <w:vAlign w:val="center"/>
            <w:hideMark/>
          </w:tcPr>
          <w:p w14:paraId="6242A057" w14:textId="4593FA7C" w:rsidR="0086717B" w:rsidRPr="008F325E" w:rsidRDefault="0086717B" w:rsidP="0086717B">
            <w:pPr>
              <w:jc w:val="right"/>
              <w:rPr>
                <w:rFonts w:eastAsia="Times New Roman"/>
                <w:b/>
                <w:bCs/>
                <w:color w:val="1A5C2E"/>
                <w:sz w:val="18"/>
                <w:szCs w:val="18"/>
              </w:rPr>
            </w:pPr>
            <w:r>
              <w:rPr>
                <w:b/>
                <w:bCs/>
                <w:color w:val="1A5C2E"/>
                <w:sz w:val="18"/>
                <w:szCs w:val="18"/>
              </w:rPr>
              <w:t>51.33</w:t>
            </w:r>
          </w:p>
        </w:tc>
        <w:tc>
          <w:tcPr>
            <w:tcW w:w="651" w:type="pct"/>
            <w:tcBorders>
              <w:top w:val="nil"/>
              <w:left w:val="nil"/>
              <w:bottom w:val="single" w:sz="4" w:space="0" w:color="CCCCCC"/>
              <w:right w:val="single" w:sz="4" w:space="0" w:color="CCCCCC"/>
            </w:tcBorders>
            <w:shd w:val="clear" w:color="000000" w:fill="E6F4EA"/>
            <w:noWrap/>
            <w:vAlign w:val="center"/>
            <w:hideMark/>
          </w:tcPr>
          <w:p w14:paraId="310E05B2" w14:textId="04A10DCF" w:rsidR="0086717B" w:rsidRPr="008F325E" w:rsidRDefault="0086717B" w:rsidP="0086717B">
            <w:pPr>
              <w:jc w:val="right"/>
              <w:rPr>
                <w:rFonts w:eastAsia="Times New Roman"/>
                <w:b/>
                <w:bCs/>
                <w:color w:val="1A5C2E"/>
                <w:sz w:val="18"/>
                <w:szCs w:val="18"/>
              </w:rPr>
            </w:pPr>
            <w:r>
              <w:rPr>
                <w:b/>
                <w:bCs/>
                <w:color w:val="1A5C2E"/>
                <w:sz w:val="18"/>
                <w:szCs w:val="18"/>
              </w:rPr>
              <w:t>0.53</w:t>
            </w:r>
          </w:p>
        </w:tc>
        <w:tc>
          <w:tcPr>
            <w:tcW w:w="556"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01FD3A36" w14:textId="315C82EE" w:rsidR="0086717B" w:rsidRPr="008F325E" w:rsidRDefault="0086717B" w:rsidP="0086717B">
            <w:pPr>
              <w:jc w:val="center"/>
              <w:rPr>
                <w:rFonts w:eastAsia="Times New Roman"/>
                <w:b/>
                <w:bCs/>
                <w:color w:val="1A5C2E"/>
                <w:sz w:val="18"/>
                <w:szCs w:val="18"/>
              </w:rPr>
            </w:pPr>
            <w:r>
              <w:rPr>
                <w:b/>
                <w:bCs/>
                <w:color w:val="1A5C2E"/>
                <w:sz w:val="18"/>
                <w:szCs w:val="18"/>
              </w:rPr>
              <w:t>+1.04%</w:t>
            </w:r>
          </w:p>
        </w:tc>
        <w:tc>
          <w:tcPr>
            <w:tcW w:w="556" w:type="pct"/>
            <w:tcBorders>
              <w:top w:val="nil"/>
              <w:left w:val="nil"/>
              <w:bottom w:val="single" w:sz="4" w:space="0" w:color="CCCCCC"/>
              <w:right w:val="single" w:sz="4" w:space="0" w:color="CCCCCC"/>
            </w:tcBorders>
            <w:shd w:val="clear" w:color="000000" w:fill="E6F4EA"/>
            <w:noWrap/>
            <w:vAlign w:val="center"/>
            <w:hideMark/>
          </w:tcPr>
          <w:p w14:paraId="6AAED419" w14:textId="37A7E747" w:rsidR="0086717B" w:rsidRPr="008F325E" w:rsidRDefault="0086717B" w:rsidP="0086717B">
            <w:pPr>
              <w:jc w:val="center"/>
              <w:rPr>
                <w:rFonts w:eastAsia="Times New Roman"/>
                <w:b/>
                <w:bCs/>
                <w:color w:val="1A5C2E"/>
                <w:sz w:val="18"/>
                <w:szCs w:val="18"/>
              </w:rPr>
            </w:pPr>
            <w:r>
              <w:rPr>
                <w:b/>
                <w:bCs/>
                <w:color w:val="1A5C2E"/>
                <w:sz w:val="18"/>
                <w:szCs w:val="18"/>
              </w:rPr>
              <w:t>+7.62%</w:t>
            </w:r>
          </w:p>
        </w:tc>
        <w:tc>
          <w:tcPr>
            <w:tcW w:w="1139" w:type="pct"/>
            <w:tcBorders>
              <w:top w:val="nil"/>
              <w:left w:val="nil"/>
              <w:bottom w:val="single" w:sz="4" w:space="0" w:color="CCCCCC"/>
              <w:right w:val="single" w:sz="4" w:space="0" w:color="CCCCCC"/>
            </w:tcBorders>
            <w:shd w:val="clear" w:color="000000" w:fill="E6F4EA"/>
            <w:noWrap/>
            <w:vAlign w:val="center"/>
            <w:hideMark/>
          </w:tcPr>
          <w:p w14:paraId="500BC2E9" w14:textId="7207F019" w:rsidR="0086717B" w:rsidRPr="00793134" w:rsidRDefault="0086717B" w:rsidP="0086717B">
            <w:pPr>
              <w:jc w:val="center"/>
              <w:rPr>
                <w:rFonts w:eastAsia="Times New Roman"/>
                <w:b/>
                <w:bCs/>
                <w:color w:val="124F1A" w:themeColor="accent3" w:themeShade="BF"/>
                <w:sz w:val="18"/>
                <w:szCs w:val="18"/>
              </w:rPr>
            </w:pPr>
            <w:r>
              <w:rPr>
                <w:b/>
                <w:bCs/>
                <w:color w:val="1A5C2E"/>
                <w:sz w:val="18"/>
                <w:szCs w:val="18"/>
              </w:rPr>
              <w:t>2026-09-11</w:t>
            </w:r>
          </w:p>
        </w:tc>
      </w:tr>
      <w:tr w:rsidR="0086717B" w:rsidRPr="008F325E" w14:paraId="2E3FBC89" w14:textId="77777777" w:rsidTr="004F6773">
        <w:trPr>
          <w:trHeight w:val="315"/>
        </w:trPr>
        <w:tc>
          <w:tcPr>
            <w:tcW w:w="1301" w:type="pct"/>
            <w:tcBorders>
              <w:top w:val="nil"/>
              <w:left w:val="single" w:sz="4" w:space="0" w:color="CCCCCC"/>
              <w:bottom w:val="single" w:sz="4" w:space="0" w:color="CCCCCC"/>
              <w:right w:val="single" w:sz="4" w:space="0" w:color="CCCCCC"/>
            </w:tcBorders>
            <w:noWrap/>
            <w:vAlign w:val="center"/>
            <w:hideMark/>
          </w:tcPr>
          <w:p w14:paraId="5AC72D08" w14:textId="77777777" w:rsidR="0086717B" w:rsidRPr="008F325E" w:rsidRDefault="0086717B" w:rsidP="0086717B">
            <w:pPr>
              <w:rPr>
                <w:rFonts w:eastAsia="Times New Roman"/>
                <w:b/>
                <w:bCs/>
                <w:sz w:val="18"/>
                <w:szCs w:val="18"/>
              </w:rPr>
            </w:pPr>
            <w:r>
              <w:rPr>
                <w:b/>
                <w:bCs/>
                <w:sz w:val="18"/>
                <w:szCs w:val="18"/>
              </w:rPr>
              <w:t>USD/GHS (Ghana)</w:t>
            </w:r>
          </w:p>
        </w:tc>
        <w:tc>
          <w:tcPr>
            <w:tcW w:w="797" w:type="pct"/>
            <w:tcBorders>
              <w:top w:val="nil"/>
              <w:left w:val="nil"/>
              <w:bottom w:val="single" w:sz="4" w:space="0" w:color="CCCCCC"/>
              <w:right w:val="single" w:sz="4" w:space="0" w:color="CCCCCC"/>
            </w:tcBorders>
            <w:noWrap/>
            <w:vAlign w:val="center"/>
            <w:hideMark/>
          </w:tcPr>
          <w:p w14:paraId="26177F86" w14:textId="5D2FA084" w:rsidR="0086717B" w:rsidRPr="008F325E" w:rsidRDefault="0086717B" w:rsidP="0086717B">
            <w:pPr>
              <w:jc w:val="right"/>
              <w:rPr>
                <w:rFonts w:eastAsia="Times New Roman"/>
                <w:b/>
                <w:bCs/>
                <w:color w:val="1A5C2E"/>
                <w:sz w:val="18"/>
                <w:szCs w:val="18"/>
              </w:rPr>
            </w:pPr>
            <w:r>
              <w:rPr>
                <w:b/>
                <w:bCs/>
                <w:color w:val="1A5C2E"/>
                <w:sz w:val="18"/>
                <w:szCs w:val="18"/>
              </w:rPr>
              <w:t>11.46</w:t>
            </w:r>
          </w:p>
        </w:tc>
        <w:tc>
          <w:tcPr>
            <w:tcW w:w="651" w:type="pct"/>
            <w:tcBorders>
              <w:top w:val="nil"/>
              <w:left w:val="nil"/>
              <w:bottom w:val="single" w:sz="4" w:space="0" w:color="CCCCCC"/>
              <w:right w:val="single" w:sz="4" w:space="0" w:color="CCCCCC"/>
            </w:tcBorders>
            <w:noWrap/>
            <w:vAlign w:val="center"/>
            <w:hideMark/>
          </w:tcPr>
          <w:p w14:paraId="6E83F591" w14:textId="014AFC1A" w:rsidR="0086717B" w:rsidRPr="008F325E" w:rsidRDefault="0086717B" w:rsidP="0086717B">
            <w:pPr>
              <w:jc w:val="right"/>
              <w:rPr>
                <w:rFonts w:eastAsia="Times New Roman"/>
                <w:b/>
                <w:bCs/>
                <w:color w:val="1A5C2E"/>
                <w:sz w:val="18"/>
                <w:szCs w:val="18"/>
              </w:rPr>
            </w:pPr>
            <w:r>
              <w:rPr>
                <w:b/>
                <w:bCs/>
                <w:color w:val="1A5C2E"/>
                <w:sz w:val="18"/>
                <w:szCs w:val="18"/>
              </w:rPr>
              <w:t>0.16</w:t>
            </w:r>
          </w:p>
        </w:tc>
        <w:tc>
          <w:tcPr>
            <w:tcW w:w="556" w:type="pct"/>
            <w:tcBorders>
              <w:top w:val="single" w:sz="4" w:space="0" w:color="CCCCCC"/>
              <w:left w:val="single" w:sz="4" w:space="0" w:color="CCCCCC"/>
              <w:bottom w:val="single" w:sz="4" w:space="0" w:color="CCCCCC"/>
              <w:right w:val="single" w:sz="4" w:space="0" w:color="CCCCCC"/>
            </w:tcBorders>
            <w:noWrap/>
            <w:vAlign w:val="center"/>
            <w:hideMark/>
          </w:tcPr>
          <w:p w14:paraId="5770BD3A" w14:textId="4CE989EE" w:rsidR="0086717B" w:rsidRPr="008F325E" w:rsidRDefault="0086717B" w:rsidP="0086717B">
            <w:pPr>
              <w:jc w:val="center"/>
              <w:rPr>
                <w:rFonts w:eastAsia="Times New Roman"/>
                <w:b/>
                <w:bCs/>
                <w:color w:val="1A5C2E"/>
                <w:sz w:val="18"/>
                <w:szCs w:val="18"/>
              </w:rPr>
            </w:pPr>
            <w:r>
              <w:rPr>
                <w:b/>
                <w:bCs/>
                <w:color w:val="1A5C2E"/>
                <w:sz w:val="18"/>
                <w:szCs w:val="18"/>
              </w:rPr>
              <w:t>+1.42%</w:t>
            </w:r>
          </w:p>
        </w:tc>
        <w:tc>
          <w:tcPr>
            <w:tcW w:w="556" w:type="pct"/>
            <w:tcBorders>
              <w:top w:val="nil"/>
              <w:left w:val="nil"/>
              <w:bottom w:val="single" w:sz="4" w:space="0" w:color="CCCCCC"/>
              <w:right w:val="single" w:sz="4" w:space="0" w:color="CCCCCC"/>
            </w:tcBorders>
            <w:noWrap/>
            <w:vAlign w:val="center"/>
            <w:hideMark/>
          </w:tcPr>
          <w:p w14:paraId="1B183629" w14:textId="348B4844" w:rsidR="0086717B" w:rsidRPr="008F325E" w:rsidRDefault="0086717B" w:rsidP="0086717B">
            <w:pPr>
              <w:jc w:val="center"/>
              <w:rPr>
                <w:rFonts w:eastAsia="Times New Roman"/>
                <w:b/>
                <w:bCs/>
                <w:color w:val="1A5C2E"/>
                <w:sz w:val="18"/>
                <w:szCs w:val="18"/>
              </w:rPr>
            </w:pPr>
            <w:r>
              <w:rPr>
                <w:b/>
                <w:bCs/>
                <w:color w:val="1A5C2E"/>
                <w:sz w:val="18"/>
                <w:szCs w:val="18"/>
              </w:rPr>
              <w:t>+5.14%</w:t>
            </w:r>
          </w:p>
        </w:tc>
        <w:tc>
          <w:tcPr>
            <w:tcW w:w="1139" w:type="pct"/>
            <w:tcBorders>
              <w:top w:val="nil"/>
              <w:left w:val="nil"/>
              <w:bottom w:val="single" w:sz="4" w:space="0" w:color="CCCCCC"/>
              <w:right w:val="single" w:sz="4" w:space="0" w:color="CCCCCC"/>
            </w:tcBorders>
            <w:noWrap/>
            <w:vAlign w:val="center"/>
            <w:hideMark/>
          </w:tcPr>
          <w:p w14:paraId="0AE27F71" w14:textId="2B51D23D" w:rsidR="0086717B" w:rsidRPr="00793134" w:rsidRDefault="0086717B" w:rsidP="0086717B">
            <w:pPr>
              <w:jc w:val="center"/>
              <w:rPr>
                <w:rFonts w:eastAsia="Times New Roman"/>
                <w:b/>
                <w:bCs/>
                <w:color w:val="124F1A" w:themeColor="accent3" w:themeShade="BF"/>
                <w:sz w:val="18"/>
                <w:szCs w:val="18"/>
              </w:rPr>
            </w:pPr>
            <w:r>
              <w:rPr>
                <w:b/>
                <w:bCs/>
                <w:color w:val="1A5C2E"/>
                <w:sz w:val="18"/>
                <w:szCs w:val="18"/>
              </w:rPr>
              <w:t>2026-09-11</w:t>
            </w:r>
          </w:p>
        </w:tc>
      </w:tr>
      <w:tr w:rsidR="0086717B" w:rsidRPr="008F325E" w14:paraId="0646FBB6" w14:textId="77777777" w:rsidTr="004F6773">
        <w:trPr>
          <w:trHeight w:val="315"/>
        </w:trPr>
        <w:tc>
          <w:tcPr>
            <w:tcW w:w="1301" w:type="pct"/>
            <w:tcBorders>
              <w:top w:val="nil"/>
              <w:left w:val="single" w:sz="4" w:space="0" w:color="CCCCCC"/>
              <w:bottom w:val="single" w:sz="4" w:space="0" w:color="CCCCCC"/>
              <w:right w:val="single" w:sz="4" w:space="0" w:color="CCCCCC"/>
            </w:tcBorders>
            <w:shd w:val="clear" w:color="000000" w:fill="E6F4EA"/>
            <w:noWrap/>
            <w:vAlign w:val="center"/>
            <w:hideMark/>
          </w:tcPr>
          <w:p w14:paraId="5E30AD3B" w14:textId="77777777" w:rsidR="0086717B" w:rsidRPr="008F325E" w:rsidRDefault="0086717B" w:rsidP="0086717B">
            <w:pPr>
              <w:rPr>
                <w:rFonts w:eastAsia="Times New Roman"/>
                <w:b/>
                <w:bCs/>
                <w:sz w:val="18"/>
                <w:szCs w:val="18"/>
              </w:rPr>
            </w:pPr>
            <w:r>
              <w:rPr>
                <w:b/>
                <w:bCs/>
                <w:sz w:val="18"/>
                <w:szCs w:val="18"/>
              </w:rPr>
              <w:t>USD/NGN Parallel (Bureau)</w:t>
            </w:r>
          </w:p>
        </w:tc>
        <w:tc>
          <w:tcPr>
            <w:tcW w:w="797" w:type="pct"/>
            <w:tcBorders>
              <w:top w:val="nil"/>
              <w:left w:val="nil"/>
              <w:bottom w:val="single" w:sz="4" w:space="0" w:color="CCCCCC"/>
              <w:right w:val="single" w:sz="4" w:space="0" w:color="CCCCCC"/>
            </w:tcBorders>
            <w:shd w:val="clear" w:color="000000" w:fill="E6F4EA"/>
            <w:noWrap/>
            <w:vAlign w:val="center"/>
            <w:hideMark/>
          </w:tcPr>
          <w:p w14:paraId="0C72ABFE" w14:textId="4D56CD12" w:rsidR="0086717B" w:rsidRPr="004708D1" w:rsidRDefault="0086717B" w:rsidP="0086717B">
            <w:pPr>
              <w:jc w:val="right"/>
              <w:rPr>
                <w:b/>
                <w:bCs/>
                <w:color w:val="1A5C2E"/>
                <w:sz w:val="18"/>
                <w:szCs w:val="18"/>
              </w:rPr>
            </w:pPr>
            <w:r>
              <w:rPr>
                <w:b/>
                <w:bCs/>
                <w:color w:val="1A5C2E"/>
                <w:sz w:val="18"/>
                <w:szCs w:val="18"/>
              </w:rPr>
              <w:t>1,390.00</w:t>
            </w:r>
          </w:p>
        </w:tc>
        <w:tc>
          <w:tcPr>
            <w:tcW w:w="651" w:type="pct"/>
            <w:tcBorders>
              <w:top w:val="nil"/>
              <w:left w:val="nil"/>
              <w:bottom w:val="single" w:sz="4" w:space="0" w:color="CCCCCC"/>
              <w:right w:val="single" w:sz="4" w:space="0" w:color="CCCCCC"/>
            </w:tcBorders>
            <w:shd w:val="clear" w:color="000000" w:fill="E6F4EA"/>
            <w:noWrap/>
            <w:vAlign w:val="center"/>
            <w:hideMark/>
          </w:tcPr>
          <w:p w14:paraId="263CF6E8" w14:textId="009EA530" w:rsidR="0086717B" w:rsidRPr="004708D1" w:rsidRDefault="0086717B" w:rsidP="0086717B">
            <w:pPr>
              <w:jc w:val="right"/>
              <w:rPr>
                <w:b/>
                <w:bCs/>
                <w:color w:val="1A5C2E"/>
                <w:sz w:val="18"/>
                <w:szCs w:val="18"/>
              </w:rPr>
            </w:pPr>
            <w:r>
              <w:rPr>
                <w:b/>
                <w:bCs/>
                <w:color w:val="1A5C2E"/>
                <w:sz w:val="18"/>
                <w:szCs w:val="18"/>
              </w:rPr>
              <w:t>-10.00</w:t>
            </w:r>
          </w:p>
        </w:tc>
        <w:tc>
          <w:tcPr>
            <w:tcW w:w="556" w:type="pct"/>
            <w:tcBorders>
              <w:top w:val="single" w:sz="4" w:space="0" w:color="CCCCCC"/>
              <w:left w:val="single" w:sz="4" w:space="0" w:color="CCCCCC"/>
              <w:bottom w:val="single" w:sz="4" w:space="0" w:color="CCCCCC"/>
              <w:right w:val="single" w:sz="4" w:space="0" w:color="CCCCCC"/>
            </w:tcBorders>
            <w:shd w:val="clear" w:color="000000" w:fill="E6F4EA"/>
            <w:noWrap/>
            <w:vAlign w:val="center"/>
            <w:hideMark/>
          </w:tcPr>
          <w:p w14:paraId="0BD8EEA3" w14:textId="1EF2690B" w:rsidR="0086717B" w:rsidRPr="004708D1" w:rsidRDefault="0086717B" w:rsidP="0086717B">
            <w:pPr>
              <w:jc w:val="center"/>
              <w:rPr>
                <w:b/>
                <w:bCs/>
                <w:color w:val="1A5C2E"/>
                <w:sz w:val="18"/>
                <w:szCs w:val="18"/>
              </w:rPr>
            </w:pPr>
            <w:r>
              <w:rPr>
                <w:b/>
                <w:bCs/>
                <w:color w:val="9C0006"/>
                <w:sz w:val="18"/>
                <w:szCs w:val="18"/>
              </w:rPr>
              <w:t>-0.72%</w:t>
            </w:r>
          </w:p>
        </w:tc>
        <w:tc>
          <w:tcPr>
            <w:tcW w:w="556" w:type="pct"/>
            <w:tcBorders>
              <w:top w:val="nil"/>
              <w:left w:val="nil"/>
              <w:bottom w:val="single" w:sz="4" w:space="0" w:color="CCCCCC"/>
              <w:right w:val="single" w:sz="4" w:space="0" w:color="CCCCCC"/>
            </w:tcBorders>
            <w:shd w:val="clear" w:color="000000" w:fill="E6F4EA"/>
            <w:noWrap/>
            <w:vAlign w:val="center"/>
            <w:hideMark/>
          </w:tcPr>
          <w:p w14:paraId="1C479A37" w14:textId="2C4D8F28" w:rsidR="0086717B" w:rsidRPr="004708D1" w:rsidRDefault="0086717B" w:rsidP="0086717B">
            <w:pPr>
              <w:jc w:val="center"/>
              <w:rPr>
                <w:b/>
                <w:bCs/>
                <w:color w:val="1A5C2E"/>
                <w:sz w:val="18"/>
                <w:szCs w:val="18"/>
              </w:rPr>
            </w:pPr>
            <w:r>
              <w:rPr>
                <w:b/>
                <w:bCs/>
                <w:color w:val="9C0006"/>
                <w:sz w:val="18"/>
                <w:szCs w:val="18"/>
              </w:rPr>
              <w:t>-6.40%</w:t>
            </w:r>
          </w:p>
        </w:tc>
        <w:tc>
          <w:tcPr>
            <w:tcW w:w="1139" w:type="pct"/>
            <w:tcBorders>
              <w:top w:val="nil"/>
              <w:left w:val="nil"/>
              <w:bottom w:val="single" w:sz="4" w:space="0" w:color="CCCCCC"/>
              <w:right w:val="single" w:sz="4" w:space="0" w:color="CCCCCC"/>
            </w:tcBorders>
            <w:shd w:val="clear" w:color="000000" w:fill="E6F4EA"/>
            <w:noWrap/>
            <w:vAlign w:val="center"/>
            <w:hideMark/>
          </w:tcPr>
          <w:p w14:paraId="01F3EFE6" w14:textId="75629C62" w:rsidR="0086717B" w:rsidRPr="00793134" w:rsidRDefault="0086717B" w:rsidP="0086717B">
            <w:pPr>
              <w:jc w:val="center"/>
              <w:rPr>
                <w:rFonts w:eastAsia="Times New Roman"/>
                <w:b/>
                <w:bCs/>
                <w:color w:val="124F1A" w:themeColor="accent3" w:themeShade="BF"/>
                <w:sz w:val="18"/>
                <w:szCs w:val="18"/>
              </w:rPr>
            </w:pPr>
            <w:r>
              <w:rPr>
                <w:b/>
                <w:bCs/>
                <w:color w:val="1A5C2E"/>
                <w:sz w:val="18"/>
                <w:szCs w:val="18"/>
              </w:rPr>
              <w:t>2026-09-11</w:t>
            </w:r>
          </w:p>
        </w:tc>
      </w:tr>
    </w:tbl>
    <w:p w14:paraId="43D87135" w14:textId="4E19DE20" w:rsidR="00C06B25" w:rsidRPr="004708D1" w:rsidRDefault="00CB3E7C">
      <w:pPr>
        <w:rPr>
          <w:color w:val="000000" w:themeColor="text1"/>
        </w:rPr>
      </w:pPr>
      <w:r>
        <w:rPr>
          <w:i/>
          <w:color w:val="000000" w:themeColor="text1"/>
          <w:sz w:val="16"/>
        </w:rPr>
        <w:t>FX tables are quoted on the currency-pair convention: a negative figure denotes a fall in USD/NGN, that is, naira appreciation. Narrative commentary states moves on the naira and is signed accordingly.</w:t>
      </w:r>
    </w:p>
    <w:p w14:paraId="6C332E96" w14:textId="77777777" w:rsidR="00C06B25" w:rsidRDefault="00CB3E7C">
      <w:pPr>
        <w:spacing w:before="180" w:after="80"/>
      </w:pPr>
      <w:r>
        <w:rPr>
          <w:b/>
          <w:bCs/>
          <w:color w:val="1A5C4E"/>
          <w:sz w:val="22"/>
          <w:szCs w:val="22"/>
        </w:rPr>
        <w:t>Frontier Africa Commentary</w:t>
      </w:r>
    </w:p>
    <w:p w14:paraId="5BEB93F9" w14:textId="77777777" w:rsidR="00705FDC" w:rsidRPr="00705FDC" w:rsidRDefault="00705FDC" w:rsidP="00705FDC">
      <w:pPr>
        <w:pStyle w:val="ListParagraph"/>
        <w:numPr>
          <w:ilvl w:val="0"/>
          <w:numId w:val="4"/>
        </w:numPr>
        <w:spacing w:before="120" w:after="120"/>
        <w:rPr>
          <w:color w:val="000000" w:themeColor="text1"/>
        </w:rPr>
      </w:pPr>
      <w:r>
        <w:rPr>
          <w:b/>
          <w:color w:val="00B050"/>
        </w:rPr>
        <w:lastRenderedPageBreak/>
        <w:t>▲</w:t>
      </w:r>
      <w:r>
        <w:rPr>
          <w:color w:val="000000" w:themeColor="text1"/>
        </w:rPr>
        <w:t xml:space="preserve"> Kenya led frontier Africa with NSE All Share </w:t>
      </w:r>
      <w:r>
        <w:rPr>
          <w:b/>
          <w:color w:val="00B050"/>
        </w:rPr>
        <w:t>▲</w:t>
      </w:r>
      <w:r>
        <w:rPr>
          <w:color w:val="000000" w:themeColor="text1"/>
        </w:rPr>
        <w:t xml:space="preserve">2.83% WoW to 244.72 and </w:t>
      </w:r>
      <w:r>
        <w:rPr>
          <w:b/>
          <w:color w:val="00B050"/>
        </w:rPr>
        <w:t>▲</w:t>
      </w:r>
      <w:r>
        <w:rPr>
          <w:color w:val="000000" w:themeColor="text1"/>
        </w:rPr>
        <w:t xml:space="preserve">7.14% MoM, the only market posting gains in both windows, extending YTD performance to </w:t>
      </w:r>
      <w:r>
        <w:rPr>
          <w:b/>
          <w:color w:val="00B050"/>
        </w:rPr>
        <w:t>▲</w:t>
      </w:r>
      <w:r>
        <w:rPr>
          <w:color w:val="000000" w:themeColor="text1"/>
        </w:rPr>
        <w:t>36.83% on a Ksh4.11tn capitalisation.</w:t>
      </w:r>
    </w:p>
    <w:p w14:paraId="3707545F" w14:textId="77777777" w:rsidR="00705FDC" w:rsidRPr="00705FDC" w:rsidRDefault="00705FDC" w:rsidP="00705FDC">
      <w:pPr>
        <w:pStyle w:val="ListParagraph"/>
        <w:numPr>
          <w:ilvl w:val="0"/>
          <w:numId w:val="4"/>
        </w:numPr>
        <w:spacing w:before="120" w:after="120"/>
        <w:rPr>
          <w:color w:val="000000" w:themeColor="text1"/>
        </w:rPr>
      </w:pPr>
      <w:r>
        <w:rPr>
          <w:b/>
          <w:color w:val="EE0000"/>
        </w:rPr>
        <w:t>▼</w:t>
      </w:r>
      <w:r>
        <w:t xml:space="preserve"> Nigeria lagged at </w:t>
      </w:r>
      <w:r>
        <w:rPr>
          <w:b/>
          <w:color w:val="EE0000"/>
        </w:rPr>
        <w:t>▼</w:t>
      </w:r>
      <w:r>
        <w:t xml:space="preserve">1.60% WoW to 243,052.74, with Ghana </w:t>
      </w:r>
      <w:r>
        <w:rPr>
          <w:b/>
          <w:color w:val="EE0000"/>
        </w:rPr>
        <w:t>▼</w:t>
      </w:r>
      <w:r>
        <w:t xml:space="preserve">1.37% and JSE All Share </w:t>
      </w:r>
      <w:r>
        <w:rPr>
          <w:b/>
          <w:color w:val="EE0000"/>
        </w:rPr>
        <w:t>▼</w:t>
      </w:r>
      <w:r>
        <w:t xml:space="preserve">1.34% alongside. Ghana's </w:t>
      </w:r>
      <w:r>
        <w:rPr>
          <w:b/>
          <w:color w:val="EE0000"/>
        </w:rPr>
        <w:t>▼</w:t>
      </w:r>
      <w:r>
        <w:t xml:space="preserve">3.70% MoM marks the sharpest monthly fade despite a sector-leading </w:t>
      </w:r>
      <w:r>
        <w:rPr>
          <w:b/>
          <w:color w:val="00B050"/>
        </w:rPr>
        <w:t>▲</w:t>
      </w:r>
      <w:r>
        <w:t>68.90% YTD.</w:t>
      </w:r>
    </w:p>
    <w:p w14:paraId="422589F0" w14:textId="77777777" w:rsidR="00705FDC" w:rsidRPr="00705FDC" w:rsidRDefault="00705FDC" w:rsidP="00705FDC">
      <w:pPr>
        <w:pStyle w:val="ListParagraph"/>
        <w:numPr>
          <w:ilvl w:val="0"/>
          <w:numId w:val="4"/>
        </w:numPr>
        <w:spacing w:before="120" w:after="120"/>
        <w:rPr>
          <w:color w:val="000000" w:themeColor="text1"/>
        </w:rPr>
      </w:pPr>
      <w:r>
        <w:rPr>
          <w:b/>
          <w:color w:val="00B050"/>
        </w:rPr>
        <w:t>▲</w:t>
      </w:r>
      <w:r>
        <w:rPr>
          <w:color w:val="000000" w:themeColor="text1"/>
        </w:rPr>
        <w:t xml:space="preserve"> Naira strengthened where it matters: the parallel rate firmed 10.00 to ₦1,390.00 (</w:t>
      </w:r>
      <w:r>
        <w:rPr>
          <w:b/>
          <w:color w:val="EE0000"/>
        </w:rPr>
        <w:t>▼</w:t>
      </w:r>
      <w:r>
        <w:rPr>
          <w:color w:val="000000" w:themeColor="text1"/>
        </w:rPr>
        <w:t xml:space="preserve">0.72%), narrowing the premium over the ₦1,326.23 official rate to 4.81%, even as the official window weakened 4.80 WoW. Egypt and Ghana both saw depreciation, USD/EGP </w:t>
      </w:r>
      <w:r>
        <w:rPr>
          <w:b/>
          <w:color w:val="00B050"/>
        </w:rPr>
        <w:t>▲</w:t>
      </w:r>
      <w:r>
        <w:rPr>
          <w:color w:val="000000" w:themeColor="text1"/>
        </w:rPr>
        <w:t xml:space="preserve">1.04% and USD/GHS </w:t>
      </w:r>
      <w:r>
        <w:rPr>
          <w:b/>
          <w:color w:val="00B050"/>
        </w:rPr>
        <w:t>▲</w:t>
      </w:r>
      <w:r>
        <w:rPr>
          <w:color w:val="000000" w:themeColor="text1"/>
        </w:rPr>
        <w:t>1.42%.</w:t>
      </w:r>
    </w:p>
    <w:p w14:paraId="25B7A5B9" w14:textId="6E190CB8" w:rsidR="00C06B25" w:rsidRPr="00705FDC" w:rsidRDefault="00705FDC" w:rsidP="00705FDC">
      <w:pPr>
        <w:pStyle w:val="ListParagraph"/>
        <w:numPr>
          <w:ilvl w:val="0"/>
          <w:numId w:val="4"/>
        </w:numPr>
        <w:spacing w:before="120" w:after="120"/>
        <w:rPr>
          <w:color w:val="000000" w:themeColor="text1"/>
        </w:rPr>
      </w:pPr>
      <w:r>
        <w:rPr>
          <w:b/>
          <w:color w:val="EE0000"/>
        </w:rPr>
        <w:t>▼</w:t>
      </w:r>
      <w:r>
        <w:rPr>
          <w:color w:val="000000" w:themeColor="text1"/>
        </w:rPr>
        <w:t xml:space="preserve"> Divergence is macro-driven. South African GDP contracted 0.2% in Q2 2026 with mining </w:t>
      </w:r>
      <w:r>
        <w:rPr>
          <w:b/>
          <w:color w:val="EE0000"/>
        </w:rPr>
        <w:t>▼</w:t>
      </w:r>
      <w:r>
        <w:rPr>
          <w:color w:val="000000" w:themeColor="text1"/>
        </w:rPr>
        <w:t xml:space="preserve">3.0% and manufacturing </w:t>
      </w:r>
      <w:r>
        <w:rPr>
          <w:b/>
          <w:color w:val="EE0000"/>
        </w:rPr>
        <w:t>▼</w:t>
      </w:r>
      <w:r>
        <w:rPr>
          <w:color w:val="000000" w:themeColor="text1"/>
        </w:rPr>
        <w:t xml:space="preserve">1.8%, leaving the JSE the only index negative YTD at </w:t>
      </w:r>
      <w:r>
        <w:rPr>
          <w:b/>
          <w:color w:val="EE0000"/>
        </w:rPr>
        <w:t>▼</w:t>
      </w:r>
      <w:r>
        <w:rPr>
          <w:color w:val="000000" w:themeColor="text1"/>
        </w:rPr>
        <w:t>0.58%. Ghana grew 6.0%, ICT contributing 41.5% of that expansion.</w:t>
      </w:r>
    </w:p>
    <w:p w14:paraId="115D6807" w14:textId="77777777" w:rsidR="00C06B25" w:rsidRDefault="00CB3E7C" w:rsidP="00793134">
      <w:pPr>
        <w:shd w:val="clear" w:color="auto" w:fill="1A5C4E"/>
        <w:spacing w:before="280" w:after="120"/>
        <w:ind w:left="160" w:hanging="160"/>
      </w:pPr>
      <w:r>
        <w:rPr>
          <w:b/>
          <w:bCs/>
          <w:color w:val="D6EDF0"/>
          <w:sz w:val="22"/>
          <w:szCs w:val="22"/>
        </w:rPr>
        <w:t xml:space="preserve">SECTION 3  </w:t>
      </w:r>
      <w:r>
        <w:rPr>
          <w:b/>
          <w:bCs/>
          <w:color w:val="FFFFFF"/>
          <w:sz w:val="22"/>
          <w:szCs w:val="22"/>
        </w:rPr>
        <w:t>|  NIGERIA — MARKET PULSE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2427"/>
        <w:gridCol w:w="2428"/>
        <w:gridCol w:w="2428"/>
      </w:tblGrid>
      <w:tr w:rsidR="0039670E" w14:paraId="2D9634CF" w14:textId="77777777" w:rsidTr="00793134">
        <w:tc>
          <w:tcPr>
            <w:tcW w:w="1250" w:type="pct"/>
            <w:shd w:val="clear" w:color="auto" w:fill="EEF7F5"/>
            <w:tcMar>
              <w:top w:w="120" w:type="dxa"/>
              <w:left w:w="120" w:type="dxa"/>
              <w:bottom w:w="120" w:type="dxa"/>
              <w:right w:w="120" w:type="dxa"/>
            </w:tcMar>
          </w:tcPr>
          <w:p w14:paraId="476C8266" w14:textId="77777777" w:rsidR="0008236F" w:rsidRDefault="0008236F">
            <w:pPr>
              <w:spacing w:after="40"/>
            </w:pPr>
            <w:r>
              <w:rPr>
                <w:color w:val="444444"/>
                <w:sz w:val="17"/>
                <w:szCs w:val="17"/>
              </w:rPr>
              <w:t>NGX ASI Level</w:t>
            </w:r>
          </w:p>
          <w:p w14:paraId="28D36330" w14:textId="732C98D7" w:rsidR="0008236F" w:rsidRDefault="00705FDC">
            <w:r>
              <w:rPr>
                <w:b/>
                <w:bCs/>
                <w:color w:val="1A5C4E"/>
                <w:sz w:val="26"/>
                <w:szCs w:val="26"/>
              </w:rPr>
              <w:t>243,052.74</w:t>
            </w:r>
          </w:p>
        </w:tc>
        <w:tc>
          <w:tcPr>
            <w:tcW w:w="1250" w:type="pct"/>
            <w:shd w:val="clear" w:color="auto" w:fill="EEF7F5"/>
            <w:tcMar>
              <w:top w:w="120" w:type="dxa"/>
              <w:left w:w="120" w:type="dxa"/>
              <w:bottom w:w="120" w:type="dxa"/>
              <w:right w:w="120" w:type="dxa"/>
            </w:tcMar>
          </w:tcPr>
          <w:p w14:paraId="50910400" w14:textId="77777777" w:rsidR="0008236F" w:rsidRDefault="0008236F">
            <w:pPr>
              <w:spacing w:after="40"/>
            </w:pPr>
            <w:r>
              <w:rPr>
                <w:color w:val="444444"/>
                <w:sz w:val="17"/>
                <w:szCs w:val="17"/>
              </w:rPr>
              <w:t>Weekly Change</w:t>
            </w:r>
          </w:p>
          <w:p w14:paraId="66534C7D" w14:textId="1A8FC78C" w:rsidR="0008236F" w:rsidRPr="005B3ACA" w:rsidRDefault="00705FDC">
            <w:pPr>
              <w:rPr>
                <w:b/>
                <w:bCs/>
                <w:color w:val="00B050"/>
                <w:sz w:val="26"/>
                <w:szCs w:val="26"/>
              </w:rPr>
            </w:pPr>
            <w:r>
              <w:rPr>
                <w:b/>
                <w:bCs/>
                <w:color w:val="C00000"/>
                <w:sz w:val="26"/>
                <w:szCs w:val="26"/>
              </w:rPr>
              <w:t>-1.60%</w:t>
            </w:r>
          </w:p>
        </w:tc>
        <w:tc>
          <w:tcPr>
            <w:tcW w:w="1250" w:type="pct"/>
            <w:shd w:val="clear" w:color="auto" w:fill="EEF7F5"/>
            <w:tcMar>
              <w:top w:w="120" w:type="dxa"/>
              <w:left w:w="120" w:type="dxa"/>
              <w:bottom w:w="120" w:type="dxa"/>
              <w:right w:w="120" w:type="dxa"/>
            </w:tcMar>
          </w:tcPr>
          <w:p w14:paraId="24AA451B" w14:textId="77777777" w:rsidR="0008236F" w:rsidRDefault="0008236F">
            <w:pPr>
              <w:spacing w:after="40"/>
            </w:pPr>
            <w:r>
              <w:rPr>
                <w:color w:val="444444"/>
                <w:sz w:val="17"/>
                <w:szCs w:val="17"/>
              </w:rPr>
              <w:t>YTD Return</w:t>
            </w:r>
          </w:p>
          <w:p w14:paraId="3329F3A7" w14:textId="2D5B1924" w:rsidR="0008236F" w:rsidRDefault="00705FDC">
            <w:r>
              <w:rPr>
                <w:b/>
                <w:bCs/>
                <w:color w:val="1A5C4E"/>
                <w:sz w:val="26"/>
                <w:szCs w:val="26"/>
              </w:rPr>
              <w:t>+56.19%</w:t>
            </w:r>
          </w:p>
        </w:tc>
        <w:tc>
          <w:tcPr>
            <w:tcW w:w="1250" w:type="pct"/>
            <w:shd w:val="clear" w:color="auto" w:fill="EEF7F5"/>
            <w:tcMar>
              <w:top w:w="120" w:type="dxa"/>
              <w:left w:w="120" w:type="dxa"/>
              <w:bottom w:w="120" w:type="dxa"/>
              <w:right w:w="120" w:type="dxa"/>
            </w:tcMar>
          </w:tcPr>
          <w:p w14:paraId="6B751526" w14:textId="77777777" w:rsidR="0008236F" w:rsidRDefault="0008236F">
            <w:pPr>
              <w:spacing w:after="40"/>
            </w:pPr>
            <w:r>
              <w:rPr>
                <w:color w:val="444444"/>
                <w:sz w:val="17"/>
                <w:szCs w:val="17"/>
              </w:rPr>
              <w:t>Market Cap (₦tn)</w:t>
            </w:r>
          </w:p>
          <w:p w14:paraId="05B93796" w14:textId="4E3B1FAB" w:rsidR="0008236F" w:rsidRDefault="0008236F">
            <w:r>
              <w:rPr>
                <w:b/>
                <w:bCs/>
                <w:color w:val="124F1A" w:themeColor="accent3" w:themeShade="BF"/>
                <w:sz w:val="26"/>
                <w:szCs w:val="26"/>
              </w:rPr>
              <w:t>₦157.59tn</w:t>
            </w:r>
          </w:p>
        </w:tc>
      </w:tr>
    </w:tbl>
    <w:p w14:paraId="7674AF54" w14:textId="77777777" w:rsidR="00C06B25" w:rsidRDefault="00C06B2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2427"/>
        <w:gridCol w:w="2428"/>
        <w:gridCol w:w="2428"/>
      </w:tblGrid>
      <w:tr w:rsidR="0039670E" w14:paraId="61E26958" w14:textId="77777777" w:rsidTr="00793134">
        <w:tc>
          <w:tcPr>
            <w:tcW w:w="1250" w:type="pct"/>
            <w:shd w:val="clear" w:color="auto" w:fill="EEF7F5"/>
            <w:tcMar>
              <w:top w:w="120" w:type="dxa"/>
              <w:left w:w="120" w:type="dxa"/>
              <w:bottom w:w="120" w:type="dxa"/>
              <w:right w:w="120" w:type="dxa"/>
            </w:tcMar>
          </w:tcPr>
          <w:p w14:paraId="75772A50" w14:textId="77777777" w:rsidR="0008236F" w:rsidRPr="002D75C1" w:rsidRDefault="0008236F">
            <w:pPr>
              <w:spacing w:after="40"/>
              <w:rPr>
                <w:color w:val="444444"/>
                <w:sz w:val="17"/>
                <w:szCs w:val="17"/>
              </w:rPr>
            </w:pPr>
            <w:r>
              <w:rPr>
                <w:color w:val="444444"/>
                <w:sz w:val="17"/>
                <w:szCs w:val="17"/>
              </w:rPr>
              <w:t>Weekly Volume (bn)</w:t>
            </w:r>
          </w:p>
          <w:p w14:paraId="779F488E" w14:textId="3388B2AC" w:rsidR="0008236F" w:rsidRDefault="00705FDC">
            <w:r>
              <w:rPr>
                <w:b/>
                <w:bCs/>
                <w:color w:val="124F1A" w:themeColor="accent3" w:themeShade="BF"/>
                <w:sz w:val="26"/>
                <w:szCs w:val="26"/>
              </w:rPr>
              <w:t>3.10bn</w:t>
            </w:r>
          </w:p>
        </w:tc>
        <w:tc>
          <w:tcPr>
            <w:tcW w:w="1250" w:type="pct"/>
            <w:shd w:val="clear" w:color="auto" w:fill="EEF7F5"/>
            <w:tcMar>
              <w:top w:w="120" w:type="dxa"/>
              <w:left w:w="120" w:type="dxa"/>
              <w:bottom w:w="120" w:type="dxa"/>
              <w:right w:w="120" w:type="dxa"/>
            </w:tcMar>
          </w:tcPr>
          <w:p w14:paraId="34AF556A" w14:textId="77777777" w:rsidR="0008236F" w:rsidRDefault="0008236F">
            <w:pPr>
              <w:spacing w:after="40"/>
            </w:pPr>
            <w:r>
              <w:rPr>
                <w:color w:val="444444"/>
                <w:sz w:val="17"/>
                <w:szCs w:val="17"/>
              </w:rPr>
              <w:t>Turnover (₦ bn)</w:t>
            </w:r>
          </w:p>
          <w:p w14:paraId="456C97A7" w14:textId="335F1E38" w:rsidR="0008236F" w:rsidRDefault="0008236F">
            <w:r>
              <w:rPr>
                <w:b/>
                <w:bCs/>
                <w:color w:val="124F1A" w:themeColor="accent3" w:themeShade="BF"/>
                <w:sz w:val="26"/>
                <w:szCs w:val="26"/>
              </w:rPr>
              <w:t>₦130.15bn</w:t>
            </w:r>
          </w:p>
        </w:tc>
        <w:tc>
          <w:tcPr>
            <w:tcW w:w="1250" w:type="pct"/>
            <w:shd w:val="clear" w:color="auto" w:fill="EEF7F5"/>
            <w:tcMar>
              <w:top w:w="120" w:type="dxa"/>
              <w:left w:w="120" w:type="dxa"/>
              <w:bottom w:w="120" w:type="dxa"/>
              <w:right w:w="120" w:type="dxa"/>
            </w:tcMar>
          </w:tcPr>
          <w:p w14:paraId="7202BAD4" w14:textId="77777777" w:rsidR="0008236F" w:rsidRDefault="0008236F">
            <w:pPr>
              <w:spacing w:after="40"/>
            </w:pPr>
            <w:r>
              <w:rPr>
                <w:color w:val="444444"/>
                <w:sz w:val="17"/>
                <w:szCs w:val="17"/>
              </w:rPr>
              <w:t>Advances</w:t>
            </w:r>
          </w:p>
          <w:p w14:paraId="6DC65D0F" w14:textId="63170BC1" w:rsidR="0008236F" w:rsidRDefault="00680578" w:rsidP="008F325E">
            <w:pPr>
              <w:tabs>
                <w:tab w:val="center" w:pos="960"/>
              </w:tabs>
            </w:pPr>
            <w:r>
              <w:rPr>
                <w:b/>
                <w:bCs/>
                <w:color w:val="1A5C4E"/>
                <w:sz w:val="26"/>
                <w:szCs w:val="26"/>
              </w:rPr>
              <w:t>6</w:t>
            </w:r>
            <w:r>
              <w:rPr>
                <w:b/>
                <w:bCs/>
                <w:color w:val="1A5C4E"/>
                <w:sz w:val="26"/>
                <w:szCs w:val="26"/>
              </w:rPr>
              <w:tab/>
            </w:r>
          </w:p>
        </w:tc>
        <w:tc>
          <w:tcPr>
            <w:tcW w:w="1250" w:type="pct"/>
            <w:shd w:val="clear" w:color="auto" w:fill="EEF7F5"/>
            <w:tcMar>
              <w:top w:w="120" w:type="dxa"/>
              <w:left w:w="120" w:type="dxa"/>
              <w:bottom w:w="120" w:type="dxa"/>
              <w:right w:w="120" w:type="dxa"/>
            </w:tcMar>
          </w:tcPr>
          <w:p w14:paraId="6DED0700" w14:textId="77777777" w:rsidR="0008236F" w:rsidRDefault="0008236F">
            <w:pPr>
              <w:spacing w:after="40"/>
            </w:pPr>
            <w:r>
              <w:rPr>
                <w:color w:val="444444"/>
                <w:sz w:val="17"/>
                <w:szCs w:val="17"/>
              </w:rPr>
              <w:t>Declines</w:t>
            </w:r>
          </w:p>
          <w:p w14:paraId="39328343" w14:textId="0D00AD3E" w:rsidR="0008236F" w:rsidRDefault="00705FDC">
            <w:r>
              <w:rPr>
                <w:b/>
                <w:bCs/>
                <w:color w:val="124F1A" w:themeColor="accent3" w:themeShade="BF"/>
                <w:sz w:val="26"/>
                <w:szCs w:val="26"/>
              </w:rPr>
              <w:t>92</w:t>
            </w:r>
          </w:p>
        </w:tc>
      </w:tr>
    </w:tbl>
    <w:p w14:paraId="45F0442A" w14:textId="77777777" w:rsidR="00C06B25" w:rsidRDefault="00C06B2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2427"/>
        <w:gridCol w:w="2428"/>
        <w:gridCol w:w="2428"/>
      </w:tblGrid>
      <w:tr w:rsidR="0039670E" w14:paraId="6D976EE4" w14:textId="77777777" w:rsidTr="00793134">
        <w:tc>
          <w:tcPr>
            <w:tcW w:w="1250" w:type="pct"/>
            <w:shd w:val="clear" w:color="auto" w:fill="EEF7F5"/>
            <w:tcMar>
              <w:top w:w="120" w:type="dxa"/>
              <w:left w:w="120" w:type="dxa"/>
              <w:bottom w:w="120" w:type="dxa"/>
              <w:right w:w="120" w:type="dxa"/>
            </w:tcMar>
          </w:tcPr>
          <w:p w14:paraId="2D73C804" w14:textId="77777777" w:rsidR="0008236F" w:rsidRDefault="0008236F">
            <w:pPr>
              <w:spacing w:after="40"/>
            </w:pPr>
            <w:r>
              <w:rPr>
                <w:color w:val="444444"/>
                <w:sz w:val="17"/>
                <w:szCs w:val="17"/>
              </w:rPr>
              <w:t>Unchanged</w:t>
            </w:r>
          </w:p>
          <w:p w14:paraId="4DCD033D" w14:textId="7D6F3322" w:rsidR="0008236F" w:rsidRDefault="00680578">
            <w:r>
              <w:rPr>
                <w:b/>
                <w:bCs/>
                <w:color w:val="1A5C4E"/>
                <w:sz w:val="26"/>
                <w:szCs w:val="26"/>
              </w:rPr>
              <w:t>45</w:t>
            </w:r>
          </w:p>
        </w:tc>
        <w:tc>
          <w:tcPr>
            <w:tcW w:w="1250" w:type="pct"/>
            <w:shd w:val="clear" w:color="auto" w:fill="EEF7F5"/>
            <w:tcMar>
              <w:top w:w="120" w:type="dxa"/>
              <w:left w:w="120" w:type="dxa"/>
              <w:bottom w:w="120" w:type="dxa"/>
              <w:right w:w="120" w:type="dxa"/>
            </w:tcMar>
          </w:tcPr>
          <w:p w14:paraId="4D02276E" w14:textId="77777777" w:rsidR="0008236F" w:rsidRDefault="0008236F">
            <w:pPr>
              <w:spacing w:after="40"/>
            </w:pPr>
            <w:r>
              <w:rPr>
                <w:color w:val="444444"/>
                <w:sz w:val="17"/>
                <w:szCs w:val="17"/>
              </w:rPr>
              <w:t>A/D Ratio</w:t>
            </w:r>
          </w:p>
          <w:p w14:paraId="66AF92DB" w14:textId="0C502010" w:rsidR="0008236F" w:rsidRDefault="00705FDC">
            <w:r>
              <w:rPr>
                <w:b/>
                <w:bCs/>
                <w:color w:val="1A5C4E"/>
                <w:sz w:val="26"/>
                <w:szCs w:val="26"/>
              </w:rPr>
              <w:t>0.07x</w:t>
            </w:r>
          </w:p>
        </w:tc>
        <w:tc>
          <w:tcPr>
            <w:tcW w:w="1250" w:type="pct"/>
            <w:shd w:val="clear" w:color="auto" w:fill="EEF7F5"/>
            <w:tcMar>
              <w:top w:w="120" w:type="dxa"/>
              <w:left w:w="120" w:type="dxa"/>
              <w:bottom w:w="120" w:type="dxa"/>
              <w:right w:w="120" w:type="dxa"/>
            </w:tcMar>
          </w:tcPr>
          <w:p w14:paraId="78A1CAF9" w14:textId="77777777" w:rsidR="0008236F" w:rsidRDefault="0008236F">
            <w:pPr>
              <w:spacing w:after="40"/>
            </w:pPr>
            <w:r>
              <w:rPr>
                <w:color w:val="444444"/>
                <w:sz w:val="17"/>
                <w:szCs w:val="17"/>
              </w:rPr>
              <w:t>Number of Deals</w:t>
            </w:r>
          </w:p>
          <w:p w14:paraId="71F4B67A" w14:textId="327DBF55" w:rsidR="0008236F" w:rsidRDefault="00680578">
            <w:r>
              <w:rPr>
                <w:b/>
                <w:bCs/>
                <w:color w:val="1A5C4E"/>
                <w:sz w:val="26"/>
                <w:szCs w:val="26"/>
              </w:rPr>
              <w:t>244,777</w:t>
            </w:r>
          </w:p>
        </w:tc>
        <w:tc>
          <w:tcPr>
            <w:tcW w:w="1250" w:type="pct"/>
            <w:shd w:val="clear" w:color="auto" w:fill="EEF7F5"/>
            <w:tcMar>
              <w:top w:w="120" w:type="dxa"/>
              <w:left w:w="120" w:type="dxa"/>
              <w:bottom w:w="120" w:type="dxa"/>
              <w:right w:w="120" w:type="dxa"/>
            </w:tcMar>
          </w:tcPr>
          <w:p w14:paraId="5409689F" w14:textId="77777777" w:rsidR="0008236F" w:rsidRDefault="0008236F">
            <w:pPr>
              <w:spacing w:after="40"/>
            </w:pPr>
            <w:r>
              <w:rPr>
                <w:color w:val="444444"/>
                <w:sz w:val="17"/>
                <w:szCs w:val="17"/>
              </w:rPr>
              <w:t>52-Wk ASI Range</w:t>
            </w:r>
          </w:p>
          <w:p w14:paraId="07FF70CF" w14:textId="77777777" w:rsidR="0008236F" w:rsidRDefault="00C26AAE">
            <w:r>
              <w:rPr>
                <w:b/>
                <w:bCs/>
                <w:color w:val="1A5C4E"/>
                <w:sz w:val="26"/>
                <w:szCs w:val="26"/>
              </w:rPr>
              <w:t>126,689.54 – 254,067.42</w:t>
            </w:r>
          </w:p>
        </w:tc>
      </w:tr>
    </w:tbl>
    <w:p w14:paraId="65861BC9" w14:textId="77777777" w:rsidR="00C06B25" w:rsidRDefault="00CB3E7C">
      <w:pPr>
        <w:spacing w:before="180" w:after="80"/>
      </w:pPr>
      <w:r>
        <w:rPr>
          <w:b/>
          <w:bCs/>
          <w:color w:val="1A5C4E"/>
          <w:sz w:val="22"/>
          <w:szCs w:val="22"/>
        </w:rPr>
        <w:t>Market Snapshot Commentary</w:t>
      </w:r>
    </w:p>
    <w:p w14:paraId="32CF4256" w14:textId="77777777" w:rsidR="00705FDC" w:rsidRPr="00705FDC" w:rsidRDefault="00705FDC" w:rsidP="00705FDC">
      <w:pPr>
        <w:pStyle w:val="ListParagraph"/>
        <w:numPr>
          <w:ilvl w:val="0"/>
          <w:numId w:val="4"/>
        </w:numPr>
        <w:spacing w:before="120" w:after="120"/>
        <w:rPr>
          <w:color w:val="auto"/>
        </w:rPr>
      </w:pPr>
      <w:r>
        <w:rPr>
          <w:color w:val="auto"/>
        </w:rPr>
        <w:t xml:space="preserve">The NGX All-Share Index shed 3,939.70 points to close at 243,052.74, a </w:t>
      </w:r>
      <w:r>
        <w:rPr>
          <w:b/>
          <w:color w:val="EE0000"/>
        </w:rPr>
        <w:t>▼</w:t>
      </w:r>
      <w:r>
        <w:rPr>
          <w:color w:val="auto"/>
        </w:rPr>
        <w:t xml:space="preserve">1.60% WoW reversal from the prior week's </w:t>
      </w:r>
      <w:r>
        <w:rPr>
          <w:b/>
          <w:color w:val="00B050"/>
        </w:rPr>
        <w:t>▲</w:t>
      </w:r>
      <w:r>
        <w:rPr>
          <w:color w:val="auto"/>
        </w:rPr>
        <w:t xml:space="preserve">2.36% advance. Market capitalisation contracted ₦1.97tn to ₦157.59tn. YTD return compressed 253bps to </w:t>
      </w:r>
      <w:r>
        <w:rPr>
          <w:b/>
          <w:color w:val="00B050"/>
        </w:rPr>
        <w:t>▲</w:t>
      </w:r>
      <w:r>
        <w:rPr>
          <w:color w:val="auto"/>
        </w:rPr>
        <w:t xml:space="preserve">56.19% from </w:t>
      </w:r>
      <w:r>
        <w:rPr>
          <w:b/>
          <w:color w:val="00B050"/>
        </w:rPr>
        <w:t>▲</w:t>
      </w:r>
      <w:r>
        <w:rPr>
          <w:color w:val="auto"/>
        </w:rPr>
        <w:t>58.72%, though the index remains the strongest performer across the frontier Africa scoreboard on a year-to-date basis.</w:t>
      </w:r>
    </w:p>
    <w:p w14:paraId="6799C417" w14:textId="77777777" w:rsidR="00705FDC" w:rsidRPr="00705FDC" w:rsidRDefault="00705FDC" w:rsidP="00705FDC">
      <w:pPr>
        <w:pStyle w:val="ListParagraph"/>
        <w:numPr>
          <w:ilvl w:val="0"/>
          <w:numId w:val="4"/>
        </w:numPr>
        <w:spacing w:before="120" w:after="120"/>
        <w:rPr>
          <w:color w:val="auto"/>
        </w:rPr>
      </w:pPr>
      <w:r>
        <w:t>Breadth deteriorated sharply. Advancers fell to 6 from 66 while decliners rose to 92 from 31, driving the advance/decline ratio to 0.07x from 2.13x across an unchanged 143-security universe. Volume told the opposite story: 3.10bn shares traded against 2.12bn prior, up 975.55m, and deals rose 21,493 to 244,777. Value traded on the exact series fell ₦80.18bn, or 38.1%, to ₦130.15bn from ₦210.33bn. The NGX also publishes an approximate series, ₦105.35bn against ₦138.63bn, and the two series are not interchangeable; this report uses the exact series throughout.</w:t>
      </w:r>
    </w:p>
    <w:p w14:paraId="22DF1FE6" w14:textId="2BE871AB" w:rsidR="009E7A98" w:rsidRPr="00705FDC" w:rsidRDefault="00705FDC" w:rsidP="00705FDC">
      <w:pPr>
        <w:pStyle w:val="ListParagraph"/>
        <w:numPr>
          <w:ilvl w:val="0"/>
          <w:numId w:val="4"/>
        </w:numPr>
        <w:spacing w:before="120" w:after="120"/>
        <w:rPr>
          <w:color w:val="auto"/>
        </w:rPr>
      </w:pPr>
      <w:r>
        <w:t>Higher volume against sharply negative weekly breadth is consistent with concentrated selling in larger, more liquid names, although Friday's positive breadth of 31 gainers to 18 decliners shows the weakness was not uniform across the week. The ASI sits 4.34% below its 52-week high of 254,067.42 and 91.85% above the 126,689.54 low, both unchanged WoW.</w:t>
      </w:r>
    </w:p>
    <w:p w14:paraId="1270EA9B" w14:textId="2379706E" w:rsidR="00C06B25" w:rsidRPr="009E7A98" w:rsidRDefault="0030383D" w:rsidP="009E7A98">
      <w:pPr>
        <w:spacing w:before="120" w:after="120"/>
        <w:ind w:left="360"/>
        <w:rPr>
          <w:color w:val="444444"/>
        </w:rPr>
      </w:pPr>
      <w:r>
        <w:rPr>
          <w:color w:val="000000" w:themeColor="text1"/>
        </w:rPr>
        <w:br w:type="page"/>
      </w:r>
    </w:p>
    <w:p w14:paraId="10E4F555" w14:textId="77777777" w:rsidR="00C06B25" w:rsidRDefault="00CB3E7C" w:rsidP="0008236F">
      <w:pPr>
        <w:shd w:val="clear" w:color="auto" w:fill="1A5C4E"/>
        <w:spacing w:before="280" w:after="120"/>
        <w:ind w:left="160"/>
      </w:pPr>
      <w:r>
        <w:rPr>
          <w:b/>
          <w:bCs/>
          <w:color w:val="D6EDF0"/>
          <w:sz w:val="22"/>
          <w:szCs w:val="22"/>
        </w:rPr>
        <w:lastRenderedPageBreak/>
        <w:t xml:space="preserve">SECTION 4  </w:t>
      </w:r>
      <w:r>
        <w:rPr>
          <w:b/>
          <w:bCs/>
          <w:color w:val="FFFFFF"/>
          <w:sz w:val="22"/>
          <w:szCs w:val="22"/>
        </w:rPr>
        <w:t>|  NIGERIA — SECTORAL SCOREBOARD</w:t>
      </w:r>
    </w:p>
    <w:tbl>
      <w:tblPr>
        <w:tblW w:w="5000" w:type="pct"/>
        <w:tblLook w:val="04A0" w:firstRow="1" w:lastRow="0" w:firstColumn="1" w:lastColumn="0" w:noHBand="0" w:noVBand="1"/>
      </w:tblPr>
      <w:tblGrid>
        <w:gridCol w:w="2743"/>
        <w:gridCol w:w="1511"/>
        <w:gridCol w:w="1556"/>
        <w:gridCol w:w="895"/>
        <w:gridCol w:w="940"/>
        <w:gridCol w:w="1055"/>
        <w:gridCol w:w="1010"/>
      </w:tblGrid>
      <w:tr w:rsidR="00705FDC" w:rsidRPr="00DD5C15" w14:paraId="1F32DD01" w14:textId="77777777" w:rsidTr="00705FDC">
        <w:trPr>
          <w:trHeight w:val="360"/>
        </w:trPr>
        <w:tc>
          <w:tcPr>
            <w:tcW w:w="1413" w:type="pct"/>
            <w:tcBorders>
              <w:top w:val="single" w:sz="4" w:space="0" w:color="CCCCCC"/>
              <w:left w:val="single" w:sz="4" w:space="0" w:color="CCCCCC"/>
              <w:bottom w:val="single" w:sz="4" w:space="0" w:color="CCCCCC"/>
              <w:right w:val="single" w:sz="4" w:space="0" w:color="CCCCCC"/>
            </w:tcBorders>
            <w:shd w:val="clear" w:color="000000" w:fill="1A5C4E"/>
            <w:noWrap/>
            <w:vAlign w:val="center"/>
            <w:hideMark/>
          </w:tcPr>
          <w:p w14:paraId="3AA47A1F" w14:textId="77777777" w:rsidR="00705FDC" w:rsidRPr="00DD5C15" w:rsidRDefault="00705FDC" w:rsidP="00DD5C15">
            <w:pPr>
              <w:rPr>
                <w:rFonts w:eastAsia="Times New Roman"/>
                <w:b/>
                <w:bCs/>
                <w:color w:val="FFFFFF"/>
                <w:sz w:val="14"/>
                <w:szCs w:val="14"/>
              </w:rPr>
            </w:pPr>
            <w:r>
              <w:rPr>
                <w:rFonts w:eastAsia="Times New Roman"/>
                <w:b/>
                <w:bCs/>
                <w:color w:val="FFFFFF"/>
                <w:sz w:val="14"/>
                <w:szCs w:val="14"/>
              </w:rPr>
              <w:t>Index / Sector</w:t>
            </w:r>
          </w:p>
        </w:tc>
        <w:tc>
          <w:tcPr>
            <w:tcW w:w="778" w:type="pct"/>
            <w:tcBorders>
              <w:top w:val="single" w:sz="4" w:space="0" w:color="CCCCCC"/>
              <w:left w:val="nil"/>
              <w:bottom w:val="single" w:sz="4" w:space="0" w:color="CCCCCC"/>
              <w:right w:val="single" w:sz="4" w:space="0" w:color="CCCCCC"/>
            </w:tcBorders>
            <w:shd w:val="clear" w:color="000000" w:fill="1A5C4E"/>
            <w:noWrap/>
            <w:vAlign w:val="center"/>
            <w:hideMark/>
          </w:tcPr>
          <w:p w14:paraId="52EDD299" w14:textId="77777777" w:rsidR="00705FDC" w:rsidRPr="00DD5C15" w:rsidRDefault="00705FDC" w:rsidP="00DD5C15">
            <w:pPr>
              <w:rPr>
                <w:rFonts w:eastAsia="Times New Roman"/>
                <w:b/>
                <w:bCs/>
                <w:color w:val="FFFFFF"/>
                <w:sz w:val="14"/>
                <w:szCs w:val="14"/>
              </w:rPr>
            </w:pPr>
            <w:r>
              <w:rPr>
                <w:rFonts w:eastAsia="Times New Roman"/>
                <w:b/>
                <w:bCs/>
                <w:color w:val="FFFFFF"/>
                <w:sz w:val="14"/>
                <w:szCs w:val="14"/>
              </w:rPr>
              <w:t>This Week Close</w:t>
            </w:r>
          </w:p>
        </w:tc>
        <w:tc>
          <w:tcPr>
            <w:tcW w:w="801" w:type="pct"/>
            <w:tcBorders>
              <w:top w:val="single" w:sz="4" w:space="0" w:color="CCCCCC"/>
              <w:left w:val="nil"/>
              <w:bottom w:val="single" w:sz="4" w:space="0" w:color="CCCCCC"/>
              <w:right w:val="single" w:sz="4" w:space="0" w:color="CCCCCC"/>
            </w:tcBorders>
            <w:shd w:val="clear" w:color="000000" w:fill="1A5C4E"/>
            <w:noWrap/>
            <w:vAlign w:val="center"/>
            <w:hideMark/>
          </w:tcPr>
          <w:p w14:paraId="08B52189" w14:textId="77777777" w:rsidR="00705FDC" w:rsidRPr="00DD5C15" w:rsidRDefault="00705FDC" w:rsidP="00DD5C15">
            <w:pPr>
              <w:rPr>
                <w:rFonts w:eastAsia="Times New Roman"/>
                <w:b/>
                <w:bCs/>
                <w:color w:val="FFFFFF"/>
                <w:sz w:val="14"/>
                <w:szCs w:val="14"/>
              </w:rPr>
            </w:pPr>
            <w:r>
              <w:rPr>
                <w:rFonts w:eastAsia="Times New Roman"/>
                <w:b/>
                <w:bCs/>
                <w:color w:val="FFFFFF"/>
                <w:sz w:val="14"/>
                <w:szCs w:val="14"/>
              </w:rPr>
              <w:t>Prior Week Close</w:t>
            </w:r>
          </w:p>
        </w:tc>
        <w:tc>
          <w:tcPr>
            <w:tcW w:w="461" w:type="pct"/>
            <w:tcBorders>
              <w:top w:val="single" w:sz="4" w:space="0" w:color="CCCCCC"/>
              <w:left w:val="nil"/>
              <w:bottom w:val="single" w:sz="4" w:space="0" w:color="CCCCCC"/>
              <w:right w:val="single" w:sz="4" w:space="0" w:color="CCCCCC"/>
            </w:tcBorders>
            <w:shd w:val="clear" w:color="000000" w:fill="1A5C4E"/>
            <w:noWrap/>
            <w:vAlign w:val="center"/>
            <w:hideMark/>
          </w:tcPr>
          <w:p w14:paraId="27D4321A" w14:textId="77777777" w:rsidR="00705FDC" w:rsidRPr="00DD5C15" w:rsidRDefault="00705FDC" w:rsidP="00DD5C15">
            <w:pPr>
              <w:rPr>
                <w:rFonts w:eastAsia="Times New Roman"/>
                <w:b/>
                <w:bCs/>
                <w:color w:val="FFFFFF"/>
                <w:sz w:val="14"/>
                <w:szCs w:val="14"/>
              </w:rPr>
            </w:pPr>
            <w:r>
              <w:rPr>
                <w:rFonts w:eastAsia="Times New Roman"/>
                <w:b/>
                <w:bCs/>
                <w:color w:val="FFFFFF"/>
                <w:sz w:val="14"/>
                <w:szCs w:val="14"/>
              </w:rPr>
              <w:t>WoW %</w:t>
            </w:r>
          </w:p>
        </w:tc>
        <w:tc>
          <w:tcPr>
            <w:tcW w:w="484" w:type="pct"/>
            <w:tcBorders>
              <w:top w:val="single" w:sz="4" w:space="0" w:color="CCCCCC"/>
              <w:left w:val="nil"/>
              <w:bottom w:val="single" w:sz="4" w:space="0" w:color="CCCCCC"/>
              <w:right w:val="single" w:sz="4" w:space="0" w:color="CCCCCC"/>
            </w:tcBorders>
            <w:shd w:val="clear" w:color="000000" w:fill="1A5C4E"/>
            <w:noWrap/>
            <w:vAlign w:val="center"/>
            <w:hideMark/>
          </w:tcPr>
          <w:p w14:paraId="1292E52B" w14:textId="77777777" w:rsidR="00705FDC" w:rsidRPr="00DD5C15" w:rsidRDefault="00705FDC" w:rsidP="00DD5C15">
            <w:pPr>
              <w:rPr>
                <w:rFonts w:eastAsia="Times New Roman"/>
                <w:b/>
                <w:bCs/>
                <w:color w:val="FFFFFF"/>
                <w:sz w:val="14"/>
                <w:szCs w:val="14"/>
              </w:rPr>
            </w:pPr>
            <w:r>
              <w:rPr>
                <w:rFonts w:eastAsia="Times New Roman"/>
                <w:b/>
                <w:bCs/>
                <w:color w:val="FFFFFF"/>
                <w:sz w:val="14"/>
                <w:szCs w:val="14"/>
              </w:rPr>
              <w:t>MoM %</w:t>
            </w:r>
          </w:p>
        </w:tc>
        <w:tc>
          <w:tcPr>
            <w:tcW w:w="543" w:type="pct"/>
            <w:tcBorders>
              <w:top w:val="single" w:sz="4" w:space="0" w:color="CCCCCC"/>
              <w:left w:val="nil"/>
              <w:bottom w:val="single" w:sz="4" w:space="0" w:color="CCCCCC"/>
              <w:right w:val="single" w:sz="4" w:space="0" w:color="CCCCCC"/>
            </w:tcBorders>
            <w:shd w:val="clear" w:color="000000" w:fill="1A5C4E"/>
            <w:noWrap/>
            <w:vAlign w:val="center"/>
            <w:hideMark/>
          </w:tcPr>
          <w:p w14:paraId="286E4E4E" w14:textId="77777777" w:rsidR="00705FDC" w:rsidRPr="00DD5C15" w:rsidRDefault="00705FDC" w:rsidP="00DD5C15">
            <w:pPr>
              <w:rPr>
                <w:rFonts w:eastAsia="Times New Roman"/>
                <w:b/>
                <w:bCs/>
                <w:color w:val="FFFFFF"/>
                <w:sz w:val="14"/>
                <w:szCs w:val="14"/>
              </w:rPr>
            </w:pPr>
            <w:r>
              <w:rPr>
                <w:rFonts w:eastAsia="Times New Roman"/>
                <w:b/>
                <w:bCs/>
                <w:color w:val="FFFFFF"/>
                <w:sz w:val="14"/>
                <w:szCs w:val="14"/>
              </w:rPr>
              <w:t>YTD %</w:t>
            </w:r>
          </w:p>
        </w:tc>
        <w:tc>
          <w:tcPr>
            <w:tcW w:w="520" w:type="pct"/>
            <w:tcBorders>
              <w:top w:val="single" w:sz="4" w:space="0" w:color="CCCCCC"/>
              <w:left w:val="nil"/>
              <w:bottom w:val="single" w:sz="4" w:space="0" w:color="CCCCCC"/>
              <w:right w:val="single" w:sz="4" w:space="0" w:color="CCCCCC"/>
            </w:tcBorders>
            <w:shd w:val="clear" w:color="000000" w:fill="1A5C4E"/>
            <w:noWrap/>
            <w:vAlign w:val="center"/>
            <w:hideMark/>
          </w:tcPr>
          <w:p w14:paraId="2ABEDC35" w14:textId="77777777" w:rsidR="00705FDC" w:rsidRPr="00DD5C15" w:rsidRDefault="00705FDC" w:rsidP="00DD5C15">
            <w:pPr>
              <w:rPr>
                <w:rFonts w:eastAsia="Times New Roman"/>
                <w:b/>
                <w:bCs/>
                <w:color w:val="FFFFFF"/>
                <w:sz w:val="14"/>
                <w:szCs w:val="14"/>
              </w:rPr>
            </w:pPr>
            <w:r>
              <w:rPr>
                <w:rFonts w:eastAsia="Times New Roman"/>
                <w:b/>
                <w:bCs/>
                <w:color w:val="FFFFFF"/>
                <w:sz w:val="14"/>
                <w:szCs w:val="14"/>
              </w:rPr>
              <w:t>QtD %</w:t>
            </w:r>
          </w:p>
        </w:tc>
      </w:tr>
      <w:tr w:rsidR="00705FDC" w:rsidRPr="00DD5C15" w14:paraId="0087DA17" w14:textId="77777777" w:rsidTr="00705FDC">
        <w:trPr>
          <w:trHeight w:val="315"/>
        </w:trPr>
        <w:tc>
          <w:tcPr>
            <w:tcW w:w="1413" w:type="pct"/>
            <w:tcBorders>
              <w:top w:val="nil"/>
              <w:left w:val="single" w:sz="4" w:space="0" w:color="CCCCCC"/>
              <w:bottom w:val="single" w:sz="4" w:space="0" w:color="CCCCCC"/>
              <w:right w:val="single" w:sz="4" w:space="0" w:color="CCCCCC"/>
            </w:tcBorders>
            <w:noWrap/>
            <w:vAlign w:val="center"/>
            <w:hideMark/>
          </w:tcPr>
          <w:p w14:paraId="7D5529BB" w14:textId="77777777" w:rsidR="00705FDC" w:rsidRPr="0030383D" w:rsidRDefault="00705FDC" w:rsidP="00705FDC">
            <w:pPr>
              <w:rPr>
                <w:rFonts w:eastAsia="Times New Roman"/>
                <w:b/>
                <w:bCs/>
                <w:sz w:val="16"/>
                <w:szCs w:val="16"/>
              </w:rPr>
            </w:pPr>
            <w:r>
              <w:rPr>
                <w:b/>
                <w:bCs/>
                <w:sz w:val="16"/>
                <w:szCs w:val="16"/>
              </w:rPr>
              <w:t>NGX All-Share Index (ASI)</w:t>
            </w:r>
          </w:p>
        </w:tc>
        <w:tc>
          <w:tcPr>
            <w:tcW w:w="778" w:type="pct"/>
            <w:tcBorders>
              <w:top w:val="nil"/>
              <w:left w:val="nil"/>
              <w:bottom w:val="single" w:sz="4" w:space="0" w:color="CCCCCC"/>
              <w:right w:val="single" w:sz="4" w:space="0" w:color="CCCCCC"/>
            </w:tcBorders>
            <w:noWrap/>
            <w:vAlign w:val="center"/>
            <w:hideMark/>
          </w:tcPr>
          <w:p w14:paraId="472ED7E1" w14:textId="60CFFCA7" w:rsidR="00705FDC" w:rsidRPr="00BA447A" w:rsidRDefault="00705FDC" w:rsidP="00705FDC">
            <w:pPr>
              <w:jc w:val="right"/>
              <w:rPr>
                <w:rFonts w:eastAsia="Times New Roman"/>
                <w:b/>
                <w:bCs/>
                <w:color w:val="1A5C2E"/>
                <w:sz w:val="16"/>
                <w:szCs w:val="16"/>
              </w:rPr>
            </w:pPr>
            <w:r>
              <w:rPr>
                <w:b/>
                <w:bCs/>
                <w:color w:val="1A5C2E"/>
                <w:sz w:val="18"/>
                <w:szCs w:val="18"/>
              </w:rPr>
              <w:t>243,052.74</w:t>
            </w:r>
          </w:p>
        </w:tc>
        <w:tc>
          <w:tcPr>
            <w:tcW w:w="801" w:type="pct"/>
            <w:tcBorders>
              <w:top w:val="nil"/>
              <w:left w:val="nil"/>
              <w:bottom w:val="single" w:sz="4" w:space="0" w:color="CCCCCC"/>
              <w:right w:val="single" w:sz="4" w:space="0" w:color="CCCCCC"/>
            </w:tcBorders>
            <w:noWrap/>
            <w:vAlign w:val="center"/>
            <w:hideMark/>
          </w:tcPr>
          <w:p w14:paraId="6B1CB0C5" w14:textId="2FF3956E" w:rsidR="00705FDC" w:rsidRPr="00BA447A" w:rsidRDefault="00705FDC" w:rsidP="00705FDC">
            <w:pPr>
              <w:jc w:val="right"/>
              <w:rPr>
                <w:rFonts w:eastAsia="Times New Roman"/>
                <w:b/>
                <w:bCs/>
                <w:color w:val="1A5C2E"/>
                <w:sz w:val="16"/>
                <w:szCs w:val="16"/>
              </w:rPr>
            </w:pPr>
            <w:r>
              <w:rPr>
                <w:b/>
                <w:bCs/>
                <w:color w:val="1A5C2E"/>
                <w:sz w:val="18"/>
                <w:szCs w:val="18"/>
              </w:rPr>
              <w:t>246,992.44</w:t>
            </w:r>
          </w:p>
        </w:tc>
        <w:tc>
          <w:tcPr>
            <w:tcW w:w="461" w:type="pct"/>
            <w:tcBorders>
              <w:top w:val="single" w:sz="4" w:space="0" w:color="CCCCCC"/>
              <w:left w:val="single" w:sz="4" w:space="0" w:color="CCCCCC"/>
              <w:bottom w:val="single" w:sz="4" w:space="0" w:color="CCCCCC"/>
              <w:right w:val="single" w:sz="4" w:space="0" w:color="CCCCCC"/>
            </w:tcBorders>
            <w:shd w:val="clear" w:color="000000" w:fill="FEE883"/>
            <w:noWrap/>
            <w:vAlign w:val="center"/>
            <w:hideMark/>
          </w:tcPr>
          <w:p w14:paraId="46B67432" w14:textId="714B9AD6" w:rsidR="00705FDC" w:rsidRPr="00BA447A" w:rsidRDefault="00705FDC" w:rsidP="00705FDC">
            <w:pPr>
              <w:jc w:val="center"/>
              <w:rPr>
                <w:rFonts w:eastAsia="Times New Roman"/>
                <w:sz w:val="16"/>
                <w:szCs w:val="16"/>
              </w:rPr>
            </w:pPr>
            <w:r>
              <w:rPr>
                <w:sz w:val="18"/>
                <w:szCs w:val="18"/>
              </w:rPr>
              <w:t>-1.60%</w:t>
            </w:r>
          </w:p>
        </w:tc>
        <w:tc>
          <w:tcPr>
            <w:tcW w:w="484" w:type="pct"/>
            <w:tcBorders>
              <w:top w:val="single" w:sz="4" w:space="0" w:color="CCCCCC"/>
              <w:left w:val="single" w:sz="4" w:space="0" w:color="CCCCCC"/>
              <w:bottom w:val="single" w:sz="4" w:space="0" w:color="CCCCCC"/>
              <w:right w:val="single" w:sz="4" w:space="0" w:color="CCCCCC"/>
            </w:tcBorders>
            <w:shd w:val="clear" w:color="000000" w:fill="F6E984"/>
            <w:noWrap/>
            <w:vAlign w:val="center"/>
            <w:hideMark/>
          </w:tcPr>
          <w:p w14:paraId="60947B1A" w14:textId="56B3E632" w:rsidR="00705FDC" w:rsidRPr="00BA447A" w:rsidRDefault="00705FDC" w:rsidP="00705FDC">
            <w:pPr>
              <w:jc w:val="center"/>
              <w:rPr>
                <w:rFonts w:eastAsia="Times New Roman"/>
                <w:sz w:val="16"/>
                <w:szCs w:val="16"/>
              </w:rPr>
            </w:pPr>
            <w:r>
              <w:rPr>
                <w:sz w:val="18"/>
                <w:szCs w:val="18"/>
              </w:rPr>
              <w:t>-0.47%</w:t>
            </w:r>
          </w:p>
        </w:tc>
        <w:tc>
          <w:tcPr>
            <w:tcW w:w="543" w:type="pct"/>
            <w:tcBorders>
              <w:top w:val="single" w:sz="4" w:space="0" w:color="CCCCCC"/>
              <w:left w:val="single" w:sz="4" w:space="0" w:color="CCCCCC"/>
              <w:bottom w:val="single" w:sz="4" w:space="0" w:color="CCCCCC"/>
              <w:right w:val="single" w:sz="4" w:space="0" w:color="CCCCCC"/>
            </w:tcBorders>
            <w:shd w:val="clear" w:color="000000" w:fill="A4D17F"/>
            <w:noWrap/>
            <w:vAlign w:val="center"/>
            <w:hideMark/>
          </w:tcPr>
          <w:p w14:paraId="3B438596" w14:textId="73695339" w:rsidR="00705FDC" w:rsidRPr="00BA447A" w:rsidRDefault="00705FDC" w:rsidP="00705FDC">
            <w:pPr>
              <w:jc w:val="center"/>
              <w:rPr>
                <w:rFonts w:eastAsia="Times New Roman"/>
                <w:sz w:val="16"/>
                <w:szCs w:val="16"/>
              </w:rPr>
            </w:pPr>
            <w:r>
              <w:rPr>
                <w:sz w:val="18"/>
                <w:szCs w:val="18"/>
              </w:rPr>
              <w:t>56.19%</w:t>
            </w:r>
          </w:p>
        </w:tc>
        <w:tc>
          <w:tcPr>
            <w:tcW w:w="520" w:type="pct"/>
            <w:tcBorders>
              <w:top w:val="single" w:sz="4" w:space="0" w:color="CCCCCC"/>
              <w:left w:val="single" w:sz="4" w:space="0" w:color="CCCCCC"/>
              <w:bottom w:val="single" w:sz="4" w:space="0" w:color="CCCCCC"/>
              <w:right w:val="single" w:sz="4" w:space="0" w:color="CCCCCC"/>
            </w:tcBorders>
            <w:shd w:val="clear" w:color="000000" w:fill="F6E984"/>
            <w:noWrap/>
            <w:vAlign w:val="center"/>
            <w:hideMark/>
          </w:tcPr>
          <w:p w14:paraId="2868AFF9" w14:textId="71278D02" w:rsidR="00705FDC" w:rsidRPr="00BA447A" w:rsidRDefault="00705FDC" w:rsidP="00705FDC">
            <w:pPr>
              <w:jc w:val="center"/>
              <w:rPr>
                <w:rFonts w:eastAsia="Times New Roman"/>
                <w:sz w:val="16"/>
                <w:szCs w:val="16"/>
              </w:rPr>
            </w:pPr>
            <w:r>
              <w:rPr>
                <w:sz w:val="18"/>
                <w:szCs w:val="18"/>
              </w:rPr>
              <w:t>5.94%</w:t>
            </w:r>
          </w:p>
        </w:tc>
      </w:tr>
      <w:tr w:rsidR="00705FDC" w:rsidRPr="00DD5C15" w14:paraId="6C1E8A92"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E6F4EA"/>
            <w:noWrap/>
            <w:vAlign w:val="center"/>
            <w:hideMark/>
          </w:tcPr>
          <w:p w14:paraId="76C65B0D" w14:textId="77777777" w:rsidR="00705FDC" w:rsidRPr="0030383D" w:rsidRDefault="00705FDC" w:rsidP="00705FDC">
            <w:pPr>
              <w:rPr>
                <w:rFonts w:eastAsia="Times New Roman"/>
                <w:b/>
                <w:bCs/>
                <w:sz w:val="16"/>
                <w:szCs w:val="16"/>
              </w:rPr>
            </w:pPr>
            <w:r>
              <w:rPr>
                <w:b/>
                <w:bCs/>
                <w:sz w:val="16"/>
                <w:szCs w:val="16"/>
              </w:rPr>
              <w:t>NGX Main Board Index</w:t>
            </w:r>
          </w:p>
        </w:tc>
        <w:tc>
          <w:tcPr>
            <w:tcW w:w="778" w:type="pct"/>
            <w:tcBorders>
              <w:top w:val="nil"/>
              <w:left w:val="nil"/>
              <w:bottom w:val="single" w:sz="4" w:space="0" w:color="CCCCCC"/>
              <w:right w:val="single" w:sz="4" w:space="0" w:color="CCCCCC"/>
            </w:tcBorders>
            <w:shd w:val="clear" w:color="000000" w:fill="E6F4EA"/>
            <w:noWrap/>
            <w:vAlign w:val="center"/>
            <w:hideMark/>
          </w:tcPr>
          <w:p w14:paraId="329FF27E" w14:textId="27796184" w:rsidR="00705FDC" w:rsidRPr="00BA447A" w:rsidRDefault="00705FDC" w:rsidP="00705FDC">
            <w:pPr>
              <w:jc w:val="right"/>
              <w:rPr>
                <w:rFonts w:eastAsia="Times New Roman"/>
                <w:b/>
                <w:bCs/>
                <w:color w:val="1A5C2E"/>
                <w:sz w:val="16"/>
                <w:szCs w:val="16"/>
              </w:rPr>
            </w:pPr>
            <w:r>
              <w:rPr>
                <w:b/>
                <w:bCs/>
                <w:color w:val="1A5C2E"/>
                <w:sz w:val="18"/>
                <w:szCs w:val="18"/>
              </w:rPr>
              <w:t>10,670.88</w:t>
            </w:r>
          </w:p>
        </w:tc>
        <w:tc>
          <w:tcPr>
            <w:tcW w:w="801" w:type="pct"/>
            <w:tcBorders>
              <w:top w:val="nil"/>
              <w:left w:val="nil"/>
              <w:bottom w:val="single" w:sz="4" w:space="0" w:color="CCCCCC"/>
              <w:right w:val="single" w:sz="4" w:space="0" w:color="CCCCCC"/>
            </w:tcBorders>
            <w:shd w:val="clear" w:color="000000" w:fill="E6F4EA"/>
            <w:noWrap/>
            <w:vAlign w:val="center"/>
            <w:hideMark/>
          </w:tcPr>
          <w:p w14:paraId="3D269906" w14:textId="45661F7B" w:rsidR="00705FDC" w:rsidRPr="00BA447A" w:rsidRDefault="00705FDC" w:rsidP="00705FDC">
            <w:pPr>
              <w:jc w:val="right"/>
              <w:rPr>
                <w:rFonts w:eastAsia="Times New Roman"/>
                <w:b/>
                <w:bCs/>
                <w:color w:val="1A5C2E"/>
                <w:sz w:val="16"/>
                <w:szCs w:val="16"/>
              </w:rPr>
            </w:pPr>
            <w:r>
              <w:rPr>
                <w:b/>
                <w:bCs/>
                <w:color w:val="1A5C2E"/>
                <w:sz w:val="18"/>
                <w:szCs w:val="18"/>
              </w:rPr>
              <w:t>10,939.66</w:t>
            </w:r>
          </w:p>
        </w:tc>
        <w:tc>
          <w:tcPr>
            <w:tcW w:w="461" w:type="pct"/>
            <w:tcBorders>
              <w:top w:val="single" w:sz="4" w:space="0" w:color="CCCCCC"/>
              <w:left w:val="single" w:sz="4" w:space="0" w:color="CCCCCC"/>
              <w:bottom w:val="single" w:sz="4" w:space="0" w:color="CCCCCC"/>
              <w:right w:val="single" w:sz="4" w:space="0" w:color="CCCCCC"/>
            </w:tcBorders>
            <w:shd w:val="clear" w:color="000000" w:fill="FDCB7D"/>
            <w:noWrap/>
            <w:vAlign w:val="center"/>
            <w:hideMark/>
          </w:tcPr>
          <w:p w14:paraId="0CC95F70" w14:textId="1EFA1170" w:rsidR="00705FDC" w:rsidRPr="00BA447A" w:rsidRDefault="00705FDC" w:rsidP="00705FDC">
            <w:pPr>
              <w:jc w:val="center"/>
              <w:rPr>
                <w:rFonts w:eastAsia="Times New Roman"/>
                <w:sz w:val="16"/>
                <w:szCs w:val="16"/>
              </w:rPr>
            </w:pPr>
            <w:r>
              <w:rPr>
                <w:sz w:val="18"/>
                <w:szCs w:val="18"/>
              </w:rPr>
              <w:t>-2.46%</w:t>
            </w:r>
          </w:p>
        </w:tc>
        <w:tc>
          <w:tcPr>
            <w:tcW w:w="484" w:type="pct"/>
            <w:tcBorders>
              <w:top w:val="single" w:sz="4" w:space="0" w:color="CCCCCC"/>
              <w:left w:val="single" w:sz="4" w:space="0" w:color="CCCCCC"/>
              <w:bottom w:val="single" w:sz="4" w:space="0" w:color="CCCCCC"/>
              <w:right w:val="single" w:sz="4" w:space="0" w:color="CCCCCC"/>
            </w:tcBorders>
            <w:shd w:val="clear" w:color="000000" w:fill="FAEA84"/>
            <w:noWrap/>
            <w:vAlign w:val="center"/>
            <w:hideMark/>
          </w:tcPr>
          <w:p w14:paraId="245F0084" w14:textId="77A4E471" w:rsidR="00705FDC" w:rsidRPr="00BA447A" w:rsidRDefault="00705FDC" w:rsidP="00705FDC">
            <w:pPr>
              <w:jc w:val="center"/>
              <w:rPr>
                <w:rFonts w:eastAsia="Times New Roman"/>
                <w:sz w:val="16"/>
                <w:szCs w:val="16"/>
              </w:rPr>
            </w:pPr>
            <w:r>
              <w:rPr>
                <w:sz w:val="18"/>
                <w:szCs w:val="18"/>
              </w:rPr>
              <w:t>-1.79%</w:t>
            </w:r>
          </w:p>
        </w:tc>
        <w:tc>
          <w:tcPr>
            <w:tcW w:w="543" w:type="pct"/>
            <w:tcBorders>
              <w:top w:val="single" w:sz="4" w:space="0" w:color="CCCCCC"/>
              <w:left w:val="single" w:sz="4" w:space="0" w:color="CCCCCC"/>
              <w:bottom w:val="single" w:sz="4" w:space="0" w:color="CCCCCC"/>
              <w:right w:val="single" w:sz="4" w:space="0" w:color="CCCCCC"/>
            </w:tcBorders>
            <w:shd w:val="clear" w:color="000000" w:fill="B2D580"/>
            <w:noWrap/>
            <w:vAlign w:val="center"/>
            <w:hideMark/>
          </w:tcPr>
          <w:p w14:paraId="6BA37D99" w14:textId="2C5B8778" w:rsidR="00705FDC" w:rsidRPr="00BA447A" w:rsidRDefault="00705FDC" w:rsidP="00705FDC">
            <w:pPr>
              <w:jc w:val="center"/>
              <w:rPr>
                <w:rFonts w:eastAsia="Times New Roman"/>
                <w:sz w:val="16"/>
                <w:szCs w:val="16"/>
              </w:rPr>
            </w:pPr>
            <w:r>
              <w:rPr>
                <w:sz w:val="18"/>
                <w:szCs w:val="18"/>
              </w:rPr>
              <w:t>41.72%</w:t>
            </w:r>
          </w:p>
        </w:tc>
        <w:tc>
          <w:tcPr>
            <w:tcW w:w="520" w:type="pct"/>
            <w:tcBorders>
              <w:top w:val="single" w:sz="4" w:space="0" w:color="CCCCCC"/>
              <w:left w:val="single" w:sz="4" w:space="0" w:color="CCCCCC"/>
              <w:bottom w:val="single" w:sz="4" w:space="0" w:color="CCCCCC"/>
              <w:right w:val="single" w:sz="4" w:space="0" w:color="CCCCCC"/>
            </w:tcBorders>
            <w:shd w:val="clear" w:color="000000" w:fill="FAEA84"/>
            <w:noWrap/>
            <w:vAlign w:val="center"/>
            <w:hideMark/>
          </w:tcPr>
          <w:p w14:paraId="7A1658E1" w14:textId="269109DB" w:rsidR="00705FDC" w:rsidRPr="00BA447A" w:rsidRDefault="00705FDC" w:rsidP="00705FDC">
            <w:pPr>
              <w:jc w:val="center"/>
              <w:rPr>
                <w:rFonts w:eastAsia="Times New Roman"/>
                <w:sz w:val="16"/>
                <w:szCs w:val="16"/>
              </w:rPr>
            </w:pPr>
            <w:r>
              <w:rPr>
                <w:sz w:val="18"/>
                <w:szCs w:val="18"/>
              </w:rPr>
              <w:t>-1.20%</w:t>
            </w:r>
          </w:p>
        </w:tc>
      </w:tr>
      <w:tr w:rsidR="00705FDC" w:rsidRPr="00DD5C15" w14:paraId="5EE61D9D"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FFFFFF"/>
            <w:noWrap/>
            <w:vAlign w:val="center"/>
            <w:hideMark/>
          </w:tcPr>
          <w:p w14:paraId="6AB704F6" w14:textId="77777777" w:rsidR="00705FDC" w:rsidRPr="0030383D" w:rsidRDefault="00705FDC" w:rsidP="00705FDC">
            <w:pPr>
              <w:rPr>
                <w:rFonts w:eastAsia="Times New Roman"/>
                <w:b/>
                <w:bCs/>
                <w:sz w:val="16"/>
                <w:szCs w:val="16"/>
              </w:rPr>
            </w:pPr>
            <w:r>
              <w:rPr>
                <w:b/>
                <w:bCs/>
                <w:sz w:val="16"/>
                <w:szCs w:val="16"/>
              </w:rPr>
              <w:t>NGX 30 Index</w:t>
            </w:r>
          </w:p>
        </w:tc>
        <w:tc>
          <w:tcPr>
            <w:tcW w:w="778" w:type="pct"/>
            <w:tcBorders>
              <w:top w:val="nil"/>
              <w:left w:val="nil"/>
              <w:bottom w:val="single" w:sz="4" w:space="0" w:color="CCCCCC"/>
              <w:right w:val="single" w:sz="4" w:space="0" w:color="CCCCCC"/>
            </w:tcBorders>
            <w:noWrap/>
            <w:vAlign w:val="center"/>
            <w:hideMark/>
          </w:tcPr>
          <w:p w14:paraId="0A465060" w14:textId="4FAC6380" w:rsidR="00705FDC" w:rsidRPr="00BA447A" w:rsidRDefault="00705FDC" w:rsidP="00705FDC">
            <w:pPr>
              <w:jc w:val="right"/>
              <w:rPr>
                <w:rFonts w:eastAsia="Times New Roman"/>
                <w:b/>
                <w:bCs/>
                <w:color w:val="1A5C2E"/>
                <w:sz w:val="16"/>
                <w:szCs w:val="16"/>
              </w:rPr>
            </w:pPr>
            <w:r>
              <w:rPr>
                <w:b/>
                <w:bCs/>
                <w:color w:val="1A5C2E"/>
                <w:sz w:val="18"/>
                <w:szCs w:val="18"/>
              </w:rPr>
              <w:t>8,940.99</w:t>
            </w:r>
          </w:p>
        </w:tc>
        <w:tc>
          <w:tcPr>
            <w:tcW w:w="801" w:type="pct"/>
            <w:tcBorders>
              <w:top w:val="nil"/>
              <w:left w:val="nil"/>
              <w:bottom w:val="single" w:sz="4" w:space="0" w:color="CCCCCC"/>
              <w:right w:val="single" w:sz="4" w:space="0" w:color="CCCCCC"/>
            </w:tcBorders>
            <w:noWrap/>
            <w:vAlign w:val="center"/>
            <w:hideMark/>
          </w:tcPr>
          <w:p w14:paraId="468621C8" w14:textId="68351493" w:rsidR="00705FDC" w:rsidRPr="00BA447A" w:rsidRDefault="00705FDC" w:rsidP="00705FDC">
            <w:pPr>
              <w:jc w:val="right"/>
              <w:rPr>
                <w:rFonts w:eastAsia="Times New Roman"/>
                <w:b/>
                <w:bCs/>
                <w:color w:val="1A5C2E"/>
                <w:sz w:val="16"/>
                <w:szCs w:val="16"/>
              </w:rPr>
            </w:pPr>
            <w:r>
              <w:rPr>
                <w:b/>
                <w:bCs/>
                <w:color w:val="1A5C2E"/>
                <w:sz w:val="18"/>
                <w:szCs w:val="18"/>
              </w:rPr>
              <w:t>9,077.49</w:t>
            </w:r>
          </w:p>
        </w:tc>
        <w:tc>
          <w:tcPr>
            <w:tcW w:w="461" w:type="pct"/>
            <w:tcBorders>
              <w:top w:val="single" w:sz="4" w:space="0" w:color="CCCCCC"/>
              <w:left w:val="single" w:sz="4" w:space="0" w:color="CCCCCC"/>
              <w:bottom w:val="single" w:sz="4" w:space="0" w:color="CCCCCC"/>
              <w:right w:val="single" w:sz="4" w:space="0" w:color="CCCCCC"/>
            </w:tcBorders>
            <w:shd w:val="clear" w:color="000000" w:fill="FAEA84"/>
            <w:noWrap/>
            <w:vAlign w:val="center"/>
            <w:hideMark/>
          </w:tcPr>
          <w:p w14:paraId="22CAC442" w14:textId="16F3AF82" w:rsidR="00705FDC" w:rsidRPr="00BA447A" w:rsidRDefault="00705FDC" w:rsidP="00705FDC">
            <w:pPr>
              <w:jc w:val="center"/>
              <w:rPr>
                <w:rFonts w:eastAsia="Times New Roman"/>
                <w:sz w:val="16"/>
                <w:szCs w:val="16"/>
              </w:rPr>
            </w:pPr>
            <w:r>
              <w:rPr>
                <w:sz w:val="18"/>
                <w:szCs w:val="18"/>
              </w:rPr>
              <w:t>-1.50%</w:t>
            </w:r>
          </w:p>
        </w:tc>
        <w:tc>
          <w:tcPr>
            <w:tcW w:w="484" w:type="pct"/>
            <w:tcBorders>
              <w:top w:val="single" w:sz="4" w:space="0" w:color="CCCCCC"/>
              <w:left w:val="single" w:sz="4" w:space="0" w:color="CCCCCC"/>
              <w:bottom w:val="single" w:sz="4" w:space="0" w:color="CCCCCC"/>
              <w:right w:val="single" w:sz="4" w:space="0" w:color="CCCCCC"/>
            </w:tcBorders>
            <w:shd w:val="clear" w:color="000000" w:fill="F4E884"/>
            <w:noWrap/>
            <w:vAlign w:val="center"/>
            <w:hideMark/>
          </w:tcPr>
          <w:p w14:paraId="57D7E035" w14:textId="3F80D688" w:rsidR="00705FDC" w:rsidRPr="00BA447A" w:rsidRDefault="00705FDC" w:rsidP="00705FDC">
            <w:pPr>
              <w:jc w:val="center"/>
              <w:rPr>
                <w:rFonts w:eastAsia="Times New Roman"/>
                <w:sz w:val="16"/>
                <w:szCs w:val="16"/>
              </w:rPr>
            </w:pPr>
            <w:r>
              <w:rPr>
                <w:sz w:val="18"/>
                <w:szCs w:val="18"/>
              </w:rPr>
              <w:t>-0.32%</w:t>
            </w:r>
          </w:p>
        </w:tc>
        <w:tc>
          <w:tcPr>
            <w:tcW w:w="543" w:type="pct"/>
            <w:tcBorders>
              <w:top w:val="single" w:sz="4" w:space="0" w:color="CCCCCC"/>
              <w:left w:val="single" w:sz="4" w:space="0" w:color="CCCCCC"/>
              <w:bottom w:val="single" w:sz="4" w:space="0" w:color="CCCCCC"/>
              <w:right w:val="single" w:sz="4" w:space="0" w:color="CCCCCC"/>
            </w:tcBorders>
            <w:shd w:val="clear" w:color="000000" w:fill="A4D17F"/>
            <w:noWrap/>
            <w:vAlign w:val="center"/>
            <w:hideMark/>
          </w:tcPr>
          <w:p w14:paraId="0FC12EFE" w14:textId="082DA1C7" w:rsidR="00705FDC" w:rsidRPr="00BA447A" w:rsidRDefault="00705FDC" w:rsidP="00705FDC">
            <w:pPr>
              <w:jc w:val="center"/>
              <w:rPr>
                <w:rFonts w:eastAsia="Times New Roman"/>
                <w:sz w:val="16"/>
                <w:szCs w:val="16"/>
              </w:rPr>
            </w:pPr>
            <w:r>
              <w:rPr>
                <w:sz w:val="18"/>
                <w:szCs w:val="18"/>
              </w:rPr>
              <w:t>57.61%</w:t>
            </w:r>
          </w:p>
        </w:tc>
        <w:tc>
          <w:tcPr>
            <w:tcW w:w="520" w:type="pct"/>
            <w:tcBorders>
              <w:top w:val="single" w:sz="4" w:space="0" w:color="CCCCCC"/>
              <w:left w:val="single" w:sz="4" w:space="0" w:color="CCCCCC"/>
              <w:bottom w:val="single" w:sz="4" w:space="0" w:color="CCCCCC"/>
              <w:right w:val="single" w:sz="4" w:space="0" w:color="CCCCCC"/>
            </w:tcBorders>
            <w:shd w:val="clear" w:color="000000" w:fill="F4E884"/>
            <w:noWrap/>
            <w:vAlign w:val="center"/>
            <w:hideMark/>
          </w:tcPr>
          <w:p w14:paraId="013482AB" w14:textId="06C591D1" w:rsidR="00705FDC" w:rsidRPr="00BA447A" w:rsidRDefault="00705FDC" w:rsidP="00705FDC">
            <w:pPr>
              <w:jc w:val="center"/>
              <w:rPr>
                <w:rFonts w:eastAsia="Times New Roman"/>
                <w:sz w:val="16"/>
                <w:szCs w:val="16"/>
              </w:rPr>
            </w:pPr>
            <w:r>
              <w:rPr>
                <w:sz w:val="18"/>
                <w:szCs w:val="18"/>
              </w:rPr>
              <w:t>7.38%</w:t>
            </w:r>
          </w:p>
        </w:tc>
      </w:tr>
      <w:tr w:rsidR="00705FDC" w:rsidRPr="00DD5C15" w14:paraId="2B819000"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E6F4EA"/>
            <w:noWrap/>
            <w:vAlign w:val="center"/>
            <w:hideMark/>
          </w:tcPr>
          <w:p w14:paraId="3D0AEFF2" w14:textId="77777777" w:rsidR="00705FDC" w:rsidRPr="0030383D" w:rsidRDefault="00705FDC" w:rsidP="00705FDC">
            <w:pPr>
              <w:rPr>
                <w:rFonts w:eastAsia="Times New Roman"/>
                <w:b/>
                <w:bCs/>
                <w:sz w:val="16"/>
                <w:szCs w:val="16"/>
              </w:rPr>
            </w:pPr>
            <w:r>
              <w:rPr>
                <w:b/>
                <w:bCs/>
                <w:sz w:val="16"/>
                <w:szCs w:val="16"/>
              </w:rPr>
              <w:t>NGX Banking Index</w:t>
            </w:r>
          </w:p>
        </w:tc>
        <w:tc>
          <w:tcPr>
            <w:tcW w:w="778" w:type="pct"/>
            <w:tcBorders>
              <w:top w:val="nil"/>
              <w:left w:val="nil"/>
              <w:bottom w:val="single" w:sz="4" w:space="0" w:color="CCCCCC"/>
              <w:right w:val="single" w:sz="4" w:space="0" w:color="CCCCCC"/>
            </w:tcBorders>
            <w:shd w:val="clear" w:color="000000" w:fill="E6F4EA"/>
            <w:noWrap/>
            <w:vAlign w:val="center"/>
            <w:hideMark/>
          </w:tcPr>
          <w:p w14:paraId="67A3DD92" w14:textId="5E5A52B8" w:rsidR="00705FDC" w:rsidRPr="00BA447A" w:rsidRDefault="00705FDC" w:rsidP="00705FDC">
            <w:pPr>
              <w:jc w:val="right"/>
              <w:rPr>
                <w:rFonts w:eastAsia="Times New Roman"/>
                <w:b/>
                <w:bCs/>
                <w:color w:val="1A5C2E"/>
                <w:sz w:val="16"/>
                <w:szCs w:val="16"/>
              </w:rPr>
            </w:pPr>
            <w:r>
              <w:rPr>
                <w:b/>
                <w:bCs/>
                <w:color w:val="1A5C2E"/>
                <w:sz w:val="18"/>
                <w:szCs w:val="18"/>
              </w:rPr>
              <w:t>2,528.80</w:t>
            </w:r>
          </w:p>
        </w:tc>
        <w:tc>
          <w:tcPr>
            <w:tcW w:w="801" w:type="pct"/>
            <w:tcBorders>
              <w:top w:val="nil"/>
              <w:left w:val="nil"/>
              <w:bottom w:val="single" w:sz="4" w:space="0" w:color="CCCCCC"/>
              <w:right w:val="single" w:sz="4" w:space="0" w:color="CCCCCC"/>
            </w:tcBorders>
            <w:shd w:val="clear" w:color="000000" w:fill="E6F4EA"/>
            <w:noWrap/>
            <w:vAlign w:val="center"/>
            <w:hideMark/>
          </w:tcPr>
          <w:p w14:paraId="14780EE5" w14:textId="6C32B3A5" w:rsidR="00705FDC" w:rsidRPr="00BA447A" w:rsidRDefault="00705FDC" w:rsidP="00705FDC">
            <w:pPr>
              <w:jc w:val="right"/>
              <w:rPr>
                <w:rFonts w:eastAsia="Times New Roman"/>
                <w:b/>
                <w:bCs/>
                <w:color w:val="1A5C2E"/>
                <w:sz w:val="16"/>
                <w:szCs w:val="16"/>
              </w:rPr>
            </w:pPr>
            <w:r>
              <w:rPr>
                <w:b/>
                <w:bCs/>
                <w:color w:val="1A5C2E"/>
                <w:sz w:val="18"/>
                <w:szCs w:val="18"/>
              </w:rPr>
              <w:t>2,636.10</w:t>
            </w:r>
          </w:p>
        </w:tc>
        <w:tc>
          <w:tcPr>
            <w:tcW w:w="461" w:type="pct"/>
            <w:tcBorders>
              <w:top w:val="single" w:sz="4" w:space="0" w:color="CCCCCC"/>
              <w:left w:val="single" w:sz="4" w:space="0" w:color="CCCCCC"/>
              <w:bottom w:val="single" w:sz="4" w:space="0" w:color="CCCCCC"/>
              <w:right w:val="single" w:sz="4" w:space="0" w:color="CCCCCC"/>
            </w:tcBorders>
            <w:shd w:val="clear" w:color="000000" w:fill="63BE7B"/>
            <w:noWrap/>
            <w:vAlign w:val="center"/>
            <w:hideMark/>
          </w:tcPr>
          <w:p w14:paraId="5CE02D66" w14:textId="00A056E2" w:rsidR="00705FDC" w:rsidRPr="00BA447A" w:rsidRDefault="00705FDC" w:rsidP="00705FDC">
            <w:pPr>
              <w:jc w:val="center"/>
              <w:rPr>
                <w:rFonts w:eastAsia="Times New Roman"/>
                <w:sz w:val="16"/>
                <w:szCs w:val="16"/>
              </w:rPr>
            </w:pPr>
            <w:r>
              <w:rPr>
                <w:sz w:val="18"/>
                <w:szCs w:val="18"/>
              </w:rPr>
              <w:t>-4.07%</w:t>
            </w:r>
          </w:p>
        </w:tc>
        <w:tc>
          <w:tcPr>
            <w:tcW w:w="484" w:type="pct"/>
            <w:tcBorders>
              <w:top w:val="single" w:sz="4" w:space="0" w:color="CCCCCC"/>
              <w:left w:val="single" w:sz="4" w:space="0" w:color="CCCCCC"/>
              <w:bottom w:val="single" w:sz="4" w:space="0" w:color="CCCCCC"/>
              <w:right w:val="single" w:sz="4" w:space="0" w:color="CCCCCC"/>
            </w:tcBorders>
            <w:shd w:val="clear" w:color="000000" w:fill="EAE583"/>
            <w:noWrap/>
            <w:vAlign w:val="center"/>
            <w:hideMark/>
          </w:tcPr>
          <w:p w14:paraId="1F3A8377" w14:textId="6DB59E43" w:rsidR="00705FDC" w:rsidRPr="00BA447A" w:rsidRDefault="00705FDC" w:rsidP="00705FDC">
            <w:pPr>
              <w:jc w:val="center"/>
              <w:rPr>
                <w:rFonts w:eastAsia="Times New Roman"/>
                <w:sz w:val="16"/>
                <w:szCs w:val="16"/>
              </w:rPr>
            </w:pPr>
            <w:r>
              <w:rPr>
                <w:sz w:val="18"/>
                <w:szCs w:val="18"/>
              </w:rPr>
              <w:t>-3.63%</w:t>
            </w:r>
          </w:p>
        </w:tc>
        <w:tc>
          <w:tcPr>
            <w:tcW w:w="543" w:type="pct"/>
            <w:tcBorders>
              <w:top w:val="single" w:sz="4" w:space="0" w:color="CCCCCC"/>
              <w:left w:val="single" w:sz="4" w:space="0" w:color="CCCCCC"/>
              <w:bottom w:val="single" w:sz="4" w:space="0" w:color="CCCCCC"/>
              <w:right w:val="single" w:sz="4" w:space="0" w:color="CCCCCC"/>
            </w:tcBorders>
            <w:shd w:val="clear" w:color="000000" w:fill="A7D27F"/>
            <w:noWrap/>
            <w:vAlign w:val="center"/>
            <w:hideMark/>
          </w:tcPr>
          <w:p w14:paraId="22D224CE" w14:textId="76880561" w:rsidR="00705FDC" w:rsidRPr="00BA447A" w:rsidRDefault="00705FDC" w:rsidP="00705FDC">
            <w:pPr>
              <w:jc w:val="center"/>
              <w:rPr>
                <w:rFonts w:eastAsia="Times New Roman"/>
                <w:sz w:val="16"/>
                <w:szCs w:val="16"/>
              </w:rPr>
            </w:pPr>
            <w:r>
              <w:rPr>
                <w:sz w:val="18"/>
                <w:szCs w:val="18"/>
              </w:rPr>
              <w:t>66.82%</w:t>
            </w:r>
          </w:p>
        </w:tc>
        <w:tc>
          <w:tcPr>
            <w:tcW w:w="520" w:type="pct"/>
            <w:tcBorders>
              <w:top w:val="single" w:sz="4" w:space="0" w:color="CCCCCC"/>
              <w:left w:val="single" w:sz="4" w:space="0" w:color="CCCCCC"/>
              <w:bottom w:val="single" w:sz="4" w:space="0" w:color="CCCCCC"/>
              <w:right w:val="single" w:sz="4" w:space="0" w:color="CCCCCC"/>
            </w:tcBorders>
            <w:shd w:val="clear" w:color="000000" w:fill="EAE583"/>
            <w:noWrap/>
            <w:vAlign w:val="center"/>
            <w:hideMark/>
          </w:tcPr>
          <w:p w14:paraId="72DAABA1" w14:textId="42812C55" w:rsidR="00705FDC" w:rsidRPr="00BA447A" w:rsidRDefault="00705FDC" w:rsidP="00705FDC">
            <w:pPr>
              <w:jc w:val="center"/>
              <w:rPr>
                <w:rFonts w:eastAsia="Times New Roman"/>
                <w:sz w:val="16"/>
                <w:szCs w:val="16"/>
              </w:rPr>
            </w:pPr>
            <w:r>
              <w:rPr>
                <w:sz w:val="18"/>
                <w:szCs w:val="18"/>
              </w:rPr>
              <w:t>22.16%</w:t>
            </w:r>
          </w:p>
        </w:tc>
      </w:tr>
      <w:tr w:rsidR="00705FDC" w:rsidRPr="00DD5C15" w14:paraId="11F6E6EB"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FFFFFF"/>
            <w:noWrap/>
            <w:vAlign w:val="center"/>
            <w:hideMark/>
          </w:tcPr>
          <w:p w14:paraId="247E196F" w14:textId="77777777" w:rsidR="00705FDC" w:rsidRPr="0030383D" w:rsidRDefault="00705FDC" w:rsidP="00705FDC">
            <w:pPr>
              <w:rPr>
                <w:rFonts w:eastAsia="Times New Roman"/>
                <w:b/>
                <w:bCs/>
                <w:sz w:val="16"/>
                <w:szCs w:val="16"/>
              </w:rPr>
            </w:pPr>
            <w:r>
              <w:rPr>
                <w:b/>
                <w:bCs/>
                <w:sz w:val="16"/>
                <w:szCs w:val="16"/>
              </w:rPr>
              <w:t>NGX Consumer Goods Index</w:t>
            </w:r>
          </w:p>
        </w:tc>
        <w:tc>
          <w:tcPr>
            <w:tcW w:w="778" w:type="pct"/>
            <w:tcBorders>
              <w:top w:val="nil"/>
              <w:left w:val="nil"/>
              <w:bottom w:val="single" w:sz="4" w:space="0" w:color="CCCCCC"/>
              <w:right w:val="single" w:sz="4" w:space="0" w:color="CCCCCC"/>
            </w:tcBorders>
            <w:noWrap/>
            <w:vAlign w:val="center"/>
            <w:hideMark/>
          </w:tcPr>
          <w:p w14:paraId="14A26B1A" w14:textId="27775BD7" w:rsidR="00705FDC" w:rsidRPr="00BA447A" w:rsidRDefault="00705FDC" w:rsidP="00705FDC">
            <w:pPr>
              <w:jc w:val="right"/>
              <w:rPr>
                <w:rFonts w:eastAsia="Times New Roman"/>
                <w:b/>
                <w:bCs/>
                <w:color w:val="1A5C2E"/>
                <w:sz w:val="16"/>
                <w:szCs w:val="16"/>
              </w:rPr>
            </w:pPr>
            <w:r>
              <w:rPr>
                <w:b/>
                <w:bCs/>
                <w:color w:val="1A5C2E"/>
                <w:sz w:val="18"/>
                <w:szCs w:val="18"/>
              </w:rPr>
              <w:t>4,048.07</w:t>
            </w:r>
          </w:p>
        </w:tc>
        <w:tc>
          <w:tcPr>
            <w:tcW w:w="801" w:type="pct"/>
            <w:tcBorders>
              <w:top w:val="nil"/>
              <w:left w:val="nil"/>
              <w:bottom w:val="single" w:sz="4" w:space="0" w:color="CCCCCC"/>
              <w:right w:val="single" w:sz="4" w:space="0" w:color="CCCCCC"/>
            </w:tcBorders>
            <w:noWrap/>
            <w:vAlign w:val="center"/>
            <w:hideMark/>
          </w:tcPr>
          <w:p w14:paraId="35F38BA1" w14:textId="258C742E" w:rsidR="00705FDC" w:rsidRPr="00BA447A" w:rsidRDefault="00705FDC" w:rsidP="00705FDC">
            <w:pPr>
              <w:jc w:val="right"/>
              <w:rPr>
                <w:rFonts w:eastAsia="Times New Roman"/>
                <w:b/>
                <w:bCs/>
                <w:color w:val="1A5C2E"/>
                <w:sz w:val="16"/>
                <w:szCs w:val="16"/>
              </w:rPr>
            </w:pPr>
            <w:r>
              <w:rPr>
                <w:b/>
                <w:bCs/>
                <w:color w:val="1A5C2E"/>
                <w:sz w:val="18"/>
                <w:szCs w:val="18"/>
              </w:rPr>
              <w:t>4,154.18</w:t>
            </w:r>
          </w:p>
        </w:tc>
        <w:tc>
          <w:tcPr>
            <w:tcW w:w="461" w:type="pct"/>
            <w:tcBorders>
              <w:top w:val="single" w:sz="4" w:space="0" w:color="CCCCCC"/>
              <w:left w:val="single" w:sz="4" w:space="0" w:color="CCCCCC"/>
              <w:bottom w:val="single" w:sz="4" w:space="0" w:color="CCCCCC"/>
              <w:right w:val="single" w:sz="4" w:space="0" w:color="CCCCCC"/>
            </w:tcBorders>
            <w:shd w:val="clear" w:color="000000" w:fill="FEE783"/>
            <w:noWrap/>
            <w:vAlign w:val="center"/>
            <w:hideMark/>
          </w:tcPr>
          <w:p w14:paraId="5B406864" w14:textId="18504E31" w:rsidR="00705FDC" w:rsidRPr="00BA447A" w:rsidRDefault="00705FDC" w:rsidP="00705FDC">
            <w:pPr>
              <w:jc w:val="center"/>
              <w:rPr>
                <w:rFonts w:eastAsia="Times New Roman"/>
                <w:sz w:val="16"/>
                <w:szCs w:val="16"/>
              </w:rPr>
            </w:pPr>
            <w:r>
              <w:rPr>
                <w:sz w:val="18"/>
                <w:szCs w:val="18"/>
              </w:rPr>
              <w:t>-2.55%</w:t>
            </w:r>
          </w:p>
        </w:tc>
        <w:tc>
          <w:tcPr>
            <w:tcW w:w="484" w:type="pct"/>
            <w:tcBorders>
              <w:top w:val="single" w:sz="4" w:space="0" w:color="CCCCCC"/>
              <w:left w:val="single" w:sz="4" w:space="0" w:color="CCCCCC"/>
              <w:bottom w:val="single" w:sz="4" w:space="0" w:color="CCCCCC"/>
              <w:right w:val="single" w:sz="4" w:space="0" w:color="CCCCCC"/>
            </w:tcBorders>
            <w:shd w:val="clear" w:color="000000" w:fill="FCEB84"/>
            <w:noWrap/>
            <w:vAlign w:val="center"/>
            <w:hideMark/>
          </w:tcPr>
          <w:p w14:paraId="50F1BA6A" w14:textId="7E00AE53" w:rsidR="00705FDC" w:rsidRPr="00BA447A" w:rsidRDefault="00705FDC" w:rsidP="00705FDC">
            <w:pPr>
              <w:jc w:val="center"/>
              <w:rPr>
                <w:rFonts w:eastAsia="Times New Roman"/>
                <w:sz w:val="16"/>
                <w:szCs w:val="16"/>
              </w:rPr>
            </w:pPr>
            <w:r>
              <w:rPr>
                <w:sz w:val="18"/>
                <w:szCs w:val="18"/>
              </w:rPr>
              <w:t>-0.83%</w:t>
            </w:r>
          </w:p>
        </w:tc>
        <w:tc>
          <w:tcPr>
            <w:tcW w:w="543" w:type="pct"/>
            <w:tcBorders>
              <w:top w:val="single" w:sz="4" w:space="0" w:color="CCCCCC"/>
              <w:left w:val="single" w:sz="4" w:space="0" w:color="CCCCCC"/>
              <w:bottom w:val="single" w:sz="4" w:space="0" w:color="CCCCCC"/>
              <w:right w:val="single" w:sz="4" w:space="0" w:color="CCCCCC"/>
            </w:tcBorders>
            <w:shd w:val="clear" w:color="000000" w:fill="E3E383"/>
            <w:noWrap/>
            <w:vAlign w:val="center"/>
            <w:hideMark/>
          </w:tcPr>
          <w:p w14:paraId="64895889" w14:textId="7861A08C" w:rsidR="00705FDC" w:rsidRPr="00BA447A" w:rsidRDefault="00705FDC" w:rsidP="00705FDC">
            <w:pPr>
              <w:jc w:val="center"/>
              <w:rPr>
                <w:rFonts w:eastAsia="Times New Roman"/>
                <w:sz w:val="16"/>
                <w:szCs w:val="16"/>
              </w:rPr>
            </w:pPr>
            <w:r>
              <w:rPr>
                <w:sz w:val="18"/>
                <w:szCs w:val="18"/>
              </w:rPr>
              <w:t>1.83%</w:t>
            </w:r>
          </w:p>
        </w:tc>
        <w:tc>
          <w:tcPr>
            <w:tcW w:w="520" w:type="pct"/>
            <w:tcBorders>
              <w:top w:val="single" w:sz="4" w:space="0" w:color="CCCCCC"/>
              <w:left w:val="single" w:sz="4" w:space="0" w:color="CCCCCC"/>
              <w:bottom w:val="single" w:sz="4" w:space="0" w:color="CCCCCC"/>
              <w:right w:val="single" w:sz="4" w:space="0" w:color="CCCCCC"/>
            </w:tcBorders>
            <w:shd w:val="clear" w:color="000000" w:fill="FCEB84"/>
            <w:noWrap/>
            <w:vAlign w:val="center"/>
            <w:hideMark/>
          </w:tcPr>
          <w:p w14:paraId="04166C6B" w14:textId="78BDCE93" w:rsidR="00705FDC" w:rsidRPr="00BA447A" w:rsidRDefault="00705FDC" w:rsidP="00705FDC">
            <w:pPr>
              <w:jc w:val="center"/>
              <w:rPr>
                <w:rFonts w:eastAsia="Times New Roman"/>
                <w:sz w:val="16"/>
                <w:szCs w:val="16"/>
              </w:rPr>
            </w:pPr>
            <w:r>
              <w:rPr>
                <w:sz w:val="18"/>
                <w:szCs w:val="18"/>
              </w:rPr>
              <w:t>-11.89%</w:t>
            </w:r>
          </w:p>
        </w:tc>
      </w:tr>
      <w:tr w:rsidR="00705FDC" w:rsidRPr="00DD5C15" w14:paraId="3A04E950"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E6F4EA"/>
            <w:noWrap/>
            <w:vAlign w:val="center"/>
            <w:hideMark/>
          </w:tcPr>
          <w:p w14:paraId="48057E8B" w14:textId="77777777" w:rsidR="00705FDC" w:rsidRPr="0030383D" w:rsidRDefault="00705FDC" w:rsidP="00705FDC">
            <w:pPr>
              <w:rPr>
                <w:rFonts w:eastAsia="Times New Roman"/>
                <w:b/>
                <w:bCs/>
                <w:sz w:val="16"/>
                <w:szCs w:val="16"/>
              </w:rPr>
            </w:pPr>
            <w:r>
              <w:rPr>
                <w:b/>
                <w:bCs/>
                <w:sz w:val="16"/>
                <w:szCs w:val="16"/>
              </w:rPr>
              <w:t>NGX Oil &amp; Gas Index</w:t>
            </w:r>
          </w:p>
        </w:tc>
        <w:tc>
          <w:tcPr>
            <w:tcW w:w="778" w:type="pct"/>
            <w:tcBorders>
              <w:top w:val="nil"/>
              <w:left w:val="nil"/>
              <w:bottom w:val="single" w:sz="4" w:space="0" w:color="CCCCCC"/>
              <w:right w:val="single" w:sz="4" w:space="0" w:color="CCCCCC"/>
            </w:tcBorders>
            <w:shd w:val="clear" w:color="000000" w:fill="E6F4EA"/>
            <w:noWrap/>
            <w:vAlign w:val="center"/>
            <w:hideMark/>
          </w:tcPr>
          <w:p w14:paraId="15D464AE" w14:textId="490A403B" w:rsidR="00705FDC" w:rsidRPr="00BA447A" w:rsidRDefault="00705FDC" w:rsidP="00705FDC">
            <w:pPr>
              <w:jc w:val="right"/>
              <w:rPr>
                <w:rFonts w:eastAsia="Times New Roman"/>
                <w:b/>
                <w:bCs/>
                <w:color w:val="1A5C2E"/>
                <w:sz w:val="16"/>
                <w:szCs w:val="16"/>
              </w:rPr>
            </w:pPr>
            <w:r>
              <w:rPr>
                <w:b/>
                <w:bCs/>
                <w:color w:val="1A5C2E"/>
                <w:sz w:val="18"/>
                <w:szCs w:val="18"/>
              </w:rPr>
              <w:t>5,817.36</w:t>
            </w:r>
          </w:p>
        </w:tc>
        <w:tc>
          <w:tcPr>
            <w:tcW w:w="801" w:type="pct"/>
            <w:tcBorders>
              <w:top w:val="nil"/>
              <w:left w:val="nil"/>
              <w:bottom w:val="single" w:sz="4" w:space="0" w:color="CCCCCC"/>
              <w:right w:val="single" w:sz="4" w:space="0" w:color="CCCCCC"/>
            </w:tcBorders>
            <w:shd w:val="clear" w:color="000000" w:fill="E6F4EA"/>
            <w:noWrap/>
            <w:vAlign w:val="center"/>
            <w:hideMark/>
          </w:tcPr>
          <w:p w14:paraId="102713F2" w14:textId="567665FC" w:rsidR="00705FDC" w:rsidRPr="00BA447A" w:rsidRDefault="00705FDC" w:rsidP="00705FDC">
            <w:pPr>
              <w:jc w:val="right"/>
              <w:rPr>
                <w:rFonts w:eastAsia="Times New Roman"/>
                <w:b/>
                <w:bCs/>
                <w:color w:val="1A5C2E"/>
                <w:sz w:val="16"/>
                <w:szCs w:val="16"/>
              </w:rPr>
            </w:pPr>
            <w:r>
              <w:rPr>
                <w:b/>
                <w:bCs/>
                <w:color w:val="1A5C2E"/>
                <w:sz w:val="18"/>
                <w:szCs w:val="18"/>
              </w:rPr>
              <w:t>5,657.27</w:t>
            </w:r>
          </w:p>
        </w:tc>
        <w:tc>
          <w:tcPr>
            <w:tcW w:w="461" w:type="pct"/>
            <w:tcBorders>
              <w:top w:val="single" w:sz="4" w:space="0" w:color="CCCCCC"/>
              <w:left w:val="single" w:sz="4" w:space="0" w:color="CCCCCC"/>
              <w:bottom w:val="single" w:sz="4" w:space="0" w:color="CCCCCC"/>
              <w:right w:val="single" w:sz="4" w:space="0" w:color="CCCCCC"/>
            </w:tcBorders>
            <w:shd w:val="clear" w:color="000000" w:fill="FEE883"/>
            <w:noWrap/>
            <w:vAlign w:val="center"/>
            <w:hideMark/>
          </w:tcPr>
          <w:p w14:paraId="4634EF40" w14:textId="29E234A4" w:rsidR="00705FDC" w:rsidRPr="00BA447A" w:rsidRDefault="00705FDC" w:rsidP="00705FDC">
            <w:pPr>
              <w:jc w:val="center"/>
              <w:rPr>
                <w:rFonts w:eastAsia="Times New Roman"/>
                <w:sz w:val="16"/>
                <w:szCs w:val="16"/>
              </w:rPr>
            </w:pPr>
            <w:r>
              <w:rPr>
                <w:sz w:val="18"/>
                <w:szCs w:val="18"/>
              </w:rPr>
              <w:t>2.83%</w:t>
            </w:r>
          </w:p>
        </w:tc>
        <w:tc>
          <w:tcPr>
            <w:tcW w:w="484" w:type="pct"/>
            <w:tcBorders>
              <w:top w:val="single" w:sz="4" w:space="0" w:color="CCCCCC"/>
              <w:left w:val="single" w:sz="4" w:space="0" w:color="CCCCCC"/>
              <w:bottom w:val="single" w:sz="4" w:space="0" w:color="CCCCCC"/>
              <w:right w:val="single" w:sz="4" w:space="0" w:color="CCCCCC"/>
            </w:tcBorders>
            <w:shd w:val="clear" w:color="000000" w:fill="FAEA84"/>
            <w:noWrap/>
            <w:vAlign w:val="center"/>
            <w:hideMark/>
          </w:tcPr>
          <w:p w14:paraId="77CB36E6" w14:textId="34836BD0" w:rsidR="00705FDC" w:rsidRPr="00BA447A" w:rsidRDefault="00705FDC" w:rsidP="00705FDC">
            <w:pPr>
              <w:jc w:val="center"/>
              <w:rPr>
                <w:rFonts w:eastAsia="Times New Roman"/>
                <w:sz w:val="16"/>
                <w:szCs w:val="16"/>
              </w:rPr>
            </w:pPr>
            <w:r>
              <w:rPr>
                <w:sz w:val="18"/>
                <w:szCs w:val="18"/>
              </w:rPr>
              <w:t>10.69%</w:t>
            </w:r>
          </w:p>
        </w:tc>
        <w:tc>
          <w:tcPr>
            <w:tcW w:w="543" w:type="pct"/>
            <w:tcBorders>
              <w:top w:val="single" w:sz="4" w:space="0" w:color="CCCCCC"/>
              <w:left w:val="single" w:sz="4" w:space="0" w:color="CCCCCC"/>
              <w:bottom w:val="single" w:sz="4" w:space="0" w:color="CCCCCC"/>
              <w:right w:val="single" w:sz="4" w:space="0" w:color="CCCCCC"/>
            </w:tcBorders>
            <w:shd w:val="clear" w:color="000000" w:fill="63BE7B"/>
            <w:noWrap/>
            <w:vAlign w:val="center"/>
            <w:hideMark/>
          </w:tcPr>
          <w:p w14:paraId="4A060ECA" w14:textId="16571400" w:rsidR="00705FDC" w:rsidRPr="00BA447A" w:rsidRDefault="00705FDC" w:rsidP="00705FDC">
            <w:pPr>
              <w:jc w:val="center"/>
              <w:rPr>
                <w:rFonts w:eastAsia="Times New Roman"/>
                <w:sz w:val="16"/>
                <w:szCs w:val="16"/>
              </w:rPr>
            </w:pPr>
            <w:r>
              <w:rPr>
                <w:sz w:val="18"/>
                <w:szCs w:val="18"/>
              </w:rPr>
              <w:t>117.86%</w:t>
            </w:r>
          </w:p>
        </w:tc>
        <w:tc>
          <w:tcPr>
            <w:tcW w:w="520" w:type="pct"/>
            <w:tcBorders>
              <w:top w:val="single" w:sz="4" w:space="0" w:color="CCCCCC"/>
              <w:left w:val="single" w:sz="4" w:space="0" w:color="CCCCCC"/>
              <w:bottom w:val="single" w:sz="4" w:space="0" w:color="CCCCCC"/>
              <w:right w:val="single" w:sz="4" w:space="0" w:color="CCCCCC"/>
            </w:tcBorders>
            <w:shd w:val="clear" w:color="000000" w:fill="FAEA84"/>
            <w:noWrap/>
            <w:vAlign w:val="center"/>
            <w:hideMark/>
          </w:tcPr>
          <w:p w14:paraId="65723153" w14:textId="153F4927" w:rsidR="00705FDC" w:rsidRPr="00BA447A" w:rsidRDefault="00705FDC" w:rsidP="00705FDC">
            <w:pPr>
              <w:jc w:val="center"/>
              <w:rPr>
                <w:rFonts w:eastAsia="Times New Roman"/>
                <w:sz w:val="16"/>
                <w:szCs w:val="16"/>
              </w:rPr>
            </w:pPr>
            <w:r>
              <w:rPr>
                <w:sz w:val="18"/>
                <w:szCs w:val="18"/>
              </w:rPr>
              <w:t>14.54%</w:t>
            </w:r>
          </w:p>
        </w:tc>
      </w:tr>
      <w:tr w:rsidR="00705FDC" w:rsidRPr="00DD5C15" w14:paraId="5A3CAB17"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FFFFFF"/>
            <w:noWrap/>
            <w:vAlign w:val="center"/>
            <w:hideMark/>
          </w:tcPr>
          <w:p w14:paraId="6977832B" w14:textId="77777777" w:rsidR="00705FDC" w:rsidRPr="0030383D" w:rsidRDefault="00705FDC" w:rsidP="00705FDC">
            <w:pPr>
              <w:rPr>
                <w:rFonts w:eastAsia="Times New Roman"/>
                <w:b/>
                <w:bCs/>
                <w:sz w:val="16"/>
                <w:szCs w:val="16"/>
              </w:rPr>
            </w:pPr>
            <w:r>
              <w:rPr>
                <w:b/>
                <w:bCs/>
                <w:sz w:val="16"/>
                <w:szCs w:val="16"/>
              </w:rPr>
              <w:t>NGX Industrial Goods Index</w:t>
            </w:r>
          </w:p>
        </w:tc>
        <w:tc>
          <w:tcPr>
            <w:tcW w:w="778" w:type="pct"/>
            <w:tcBorders>
              <w:top w:val="nil"/>
              <w:left w:val="nil"/>
              <w:bottom w:val="single" w:sz="4" w:space="0" w:color="CCCCCC"/>
              <w:right w:val="single" w:sz="4" w:space="0" w:color="CCCCCC"/>
            </w:tcBorders>
            <w:noWrap/>
            <w:vAlign w:val="center"/>
            <w:hideMark/>
          </w:tcPr>
          <w:p w14:paraId="28EFF20C" w14:textId="136395B9" w:rsidR="00705FDC" w:rsidRPr="00BA447A" w:rsidRDefault="00705FDC" w:rsidP="00705FDC">
            <w:pPr>
              <w:jc w:val="right"/>
              <w:rPr>
                <w:rFonts w:eastAsia="Times New Roman"/>
                <w:b/>
                <w:bCs/>
                <w:color w:val="1A5C2E"/>
                <w:sz w:val="16"/>
                <w:szCs w:val="16"/>
              </w:rPr>
            </w:pPr>
            <w:r>
              <w:rPr>
                <w:b/>
                <w:bCs/>
                <w:color w:val="1A5C2E"/>
                <w:sz w:val="18"/>
                <w:szCs w:val="18"/>
              </w:rPr>
              <w:t>9,994.79</w:t>
            </w:r>
          </w:p>
        </w:tc>
        <w:tc>
          <w:tcPr>
            <w:tcW w:w="801" w:type="pct"/>
            <w:tcBorders>
              <w:top w:val="nil"/>
              <w:left w:val="nil"/>
              <w:bottom w:val="single" w:sz="4" w:space="0" w:color="CCCCCC"/>
              <w:right w:val="single" w:sz="4" w:space="0" w:color="CCCCCC"/>
            </w:tcBorders>
            <w:noWrap/>
            <w:vAlign w:val="center"/>
            <w:hideMark/>
          </w:tcPr>
          <w:p w14:paraId="18257FA4" w14:textId="6503423B" w:rsidR="00705FDC" w:rsidRPr="00BA447A" w:rsidRDefault="00705FDC" w:rsidP="00705FDC">
            <w:pPr>
              <w:jc w:val="right"/>
              <w:rPr>
                <w:rFonts w:eastAsia="Times New Roman"/>
                <w:b/>
                <w:bCs/>
                <w:color w:val="1A5C2E"/>
                <w:sz w:val="16"/>
                <w:szCs w:val="16"/>
              </w:rPr>
            </w:pPr>
            <w:r>
              <w:rPr>
                <w:b/>
                <w:bCs/>
                <w:color w:val="1A5C2E"/>
                <w:sz w:val="18"/>
                <w:szCs w:val="18"/>
              </w:rPr>
              <w:t>10,342.50</w:t>
            </w:r>
          </w:p>
        </w:tc>
        <w:tc>
          <w:tcPr>
            <w:tcW w:w="461" w:type="pct"/>
            <w:tcBorders>
              <w:top w:val="single" w:sz="4" w:space="0" w:color="CCCCCC"/>
              <w:left w:val="single" w:sz="4" w:space="0" w:color="CCCCCC"/>
              <w:bottom w:val="single" w:sz="4" w:space="0" w:color="CCCCCC"/>
              <w:right w:val="single" w:sz="4" w:space="0" w:color="CCCCCC"/>
            </w:tcBorders>
            <w:shd w:val="clear" w:color="000000" w:fill="F8696B"/>
            <w:noWrap/>
            <w:vAlign w:val="center"/>
            <w:hideMark/>
          </w:tcPr>
          <w:p w14:paraId="719E82C7" w14:textId="23C5FD38" w:rsidR="00705FDC" w:rsidRPr="00BA447A" w:rsidRDefault="00705FDC" w:rsidP="00705FDC">
            <w:pPr>
              <w:jc w:val="center"/>
              <w:rPr>
                <w:rFonts w:eastAsia="Times New Roman"/>
                <w:sz w:val="16"/>
                <w:szCs w:val="16"/>
              </w:rPr>
            </w:pPr>
            <w:r>
              <w:rPr>
                <w:sz w:val="18"/>
                <w:szCs w:val="18"/>
              </w:rPr>
              <w:t>-3.36%</w:t>
            </w:r>
          </w:p>
        </w:tc>
        <w:tc>
          <w:tcPr>
            <w:tcW w:w="484" w:type="pct"/>
            <w:tcBorders>
              <w:top w:val="single" w:sz="4" w:space="0" w:color="CCCCCC"/>
              <w:left w:val="single" w:sz="4" w:space="0" w:color="CCCCCC"/>
              <w:bottom w:val="single" w:sz="4" w:space="0" w:color="CCCCCC"/>
              <w:right w:val="single" w:sz="4" w:space="0" w:color="CCCCCC"/>
            </w:tcBorders>
            <w:shd w:val="clear" w:color="000000" w:fill="FDC87D"/>
            <w:noWrap/>
            <w:vAlign w:val="center"/>
            <w:hideMark/>
          </w:tcPr>
          <w:p w14:paraId="690C0214" w14:textId="1AAFB09E" w:rsidR="00705FDC" w:rsidRPr="00BA447A" w:rsidRDefault="00705FDC" w:rsidP="00705FDC">
            <w:pPr>
              <w:jc w:val="center"/>
              <w:rPr>
                <w:rFonts w:eastAsia="Times New Roman"/>
                <w:sz w:val="16"/>
                <w:szCs w:val="16"/>
              </w:rPr>
            </w:pPr>
            <w:r>
              <w:rPr>
                <w:sz w:val="18"/>
                <w:szCs w:val="18"/>
              </w:rPr>
              <w:t>-3.07%</w:t>
            </w:r>
          </w:p>
        </w:tc>
        <w:tc>
          <w:tcPr>
            <w:tcW w:w="543" w:type="pct"/>
            <w:tcBorders>
              <w:top w:val="single" w:sz="4" w:space="0" w:color="CCCCCC"/>
              <w:left w:val="single" w:sz="4" w:space="0" w:color="CCCCCC"/>
              <w:bottom w:val="single" w:sz="4" w:space="0" w:color="CCCCCC"/>
              <w:right w:val="single" w:sz="4" w:space="0" w:color="CCCCCC"/>
            </w:tcBorders>
            <w:shd w:val="clear" w:color="000000" w:fill="83C87D"/>
            <w:noWrap/>
            <w:vAlign w:val="center"/>
            <w:hideMark/>
          </w:tcPr>
          <w:p w14:paraId="0CB8A7CA" w14:textId="562A772F" w:rsidR="00705FDC" w:rsidRPr="00BA447A" w:rsidRDefault="00705FDC" w:rsidP="00705FDC">
            <w:pPr>
              <w:jc w:val="center"/>
              <w:rPr>
                <w:rFonts w:eastAsia="Times New Roman"/>
                <w:sz w:val="16"/>
                <w:szCs w:val="16"/>
              </w:rPr>
            </w:pPr>
            <w:r>
              <w:rPr>
                <w:sz w:val="18"/>
                <w:szCs w:val="18"/>
              </w:rPr>
              <w:t>76.07%</w:t>
            </w:r>
          </w:p>
        </w:tc>
        <w:tc>
          <w:tcPr>
            <w:tcW w:w="520" w:type="pct"/>
            <w:tcBorders>
              <w:top w:val="single" w:sz="4" w:space="0" w:color="CCCCCC"/>
              <w:left w:val="single" w:sz="4" w:space="0" w:color="CCCCCC"/>
              <w:bottom w:val="single" w:sz="4" w:space="0" w:color="CCCCCC"/>
              <w:right w:val="single" w:sz="4" w:space="0" w:color="CCCCCC"/>
            </w:tcBorders>
            <w:shd w:val="clear" w:color="000000" w:fill="FDC87D"/>
            <w:noWrap/>
            <w:vAlign w:val="center"/>
            <w:hideMark/>
          </w:tcPr>
          <w:p w14:paraId="2309A0CA" w14:textId="31E6C97D" w:rsidR="00705FDC" w:rsidRPr="00BA447A" w:rsidRDefault="00705FDC" w:rsidP="00705FDC">
            <w:pPr>
              <w:jc w:val="center"/>
              <w:rPr>
                <w:rFonts w:eastAsia="Times New Roman"/>
                <w:sz w:val="16"/>
                <w:szCs w:val="16"/>
              </w:rPr>
            </w:pPr>
            <w:r>
              <w:rPr>
                <w:sz w:val="18"/>
                <w:szCs w:val="18"/>
              </w:rPr>
              <w:t>-1.65%</w:t>
            </w:r>
          </w:p>
        </w:tc>
      </w:tr>
      <w:tr w:rsidR="00705FDC" w:rsidRPr="00DD5C15" w14:paraId="6446D023"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E6F4EA"/>
            <w:noWrap/>
            <w:vAlign w:val="center"/>
            <w:hideMark/>
          </w:tcPr>
          <w:p w14:paraId="647C7695" w14:textId="77777777" w:rsidR="00705FDC" w:rsidRPr="0030383D" w:rsidRDefault="00705FDC" w:rsidP="00705FDC">
            <w:pPr>
              <w:rPr>
                <w:rFonts w:eastAsia="Times New Roman"/>
                <w:b/>
                <w:bCs/>
                <w:sz w:val="16"/>
                <w:szCs w:val="16"/>
              </w:rPr>
            </w:pPr>
            <w:r>
              <w:rPr>
                <w:b/>
                <w:bCs/>
                <w:sz w:val="16"/>
                <w:szCs w:val="16"/>
              </w:rPr>
              <w:t>NGX Insurance Index</w:t>
            </w:r>
          </w:p>
        </w:tc>
        <w:tc>
          <w:tcPr>
            <w:tcW w:w="778" w:type="pct"/>
            <w:tcBorders>
              <w:top w:val="nil"/>
              <w:left w:val="nil"/>
              <w:bottom w:val="single" w:sz="4" w:space="0" w:color="CCCCCC"/>
              <w:right w:val="single" w:sz="4" w:space="0" w:color="CCCCCC"/>
            </w:tcBorders>
            <w:shd w:val="clear" w:color="000000" w:fill="E6F4EA"/>
            <w:noWrap/>
            <w:vAlign w:val="center"/>
            <w:hideMark/>
          </w:tcPr>
          <w:p w14:paraId="15DE1B2E" w14:textId="2ACDF760" w:rsidR="00705FDC" w:rsidRPr="00BA447A" w:rsidRDefault="00705FDC" w:rsidP="00705FDC">
            <w:pPr>
              <w:jc w:val="right"/>
              <w:rPr>
                <w:rFonts w:eastAsia="Times New Roman"/>
                <w:b/>
                <w:bCs/>
                <w:color w:val="1A5C2E"/>
                <w:sz w:val="16"/>
                <w:szCs w:val="16"/>
              </w:rPr>
            </w:pPr>
            <w:r>
              <w:rPr>
                <w:b/>
                <w:bCs/>
                <w:color w:val="1A5C2E"/>
                <w:sz w:val="18"/>
                <w:szCs w:val="18"/>
              </w:rPr>
              <w:t>1,059.16</w:t>
            </w:r>
          </w:p>
        </w:tc>
        <w:tc>
          <w:tcPr>
            <w:tcW w:w="801" w:type="pct"/>
            <w:tcBorders>
              <w:top w:val="nil"/>
              <w:left w:val="nil"/>
              <w:bottom w:val="single" w:sz="4" w:space="0" w:color="CCCCCC"/>
              <w:right w:val="single" w:sz="4" w:space="0" w:color="CCCCCC"/>
            </w:tcBorders>
            <w:shd w:val="clear" w:color="000000" w:fill="E6F4EA"/>
            <w:noWrap/>
            <w:vAlign w:val="center"/>
            <w:hideMark/>
          </w:tcPr>
          <w:p w14:paraId="04C58084" w14:textId="70DF11FB" w:rsidR="00705FDC" w:rsidRPr="00BA447A" w:rsidRDefault="00705FDC" w:rsidP="00705FDC">
            <w:pPr>
              <w:jc w:val="right"/>
              <w:rPr>
                <w:rFonts w:eastAsia="Times New Roman"/>
                <w:b/>
                <w:bCs/>
                <w:color w:val="1A5C2E"/>
                <w:sz w:val="16"/>
                <w:szCs w:val="16"/>
              </w:rPr>
            </w:pPr>
            <w:r>
              <w:rPr>
                <w:b/>
                <w:bCs/>
                <w:color w:val="1A5C2E"/>
                <w:sz w:val="18"/>
                <w:szCs w:val="18"/>
              </w:rPr>
              <w:t>1,121.08</w:t>
            </w:r>
          </w:p>
        </w:tc>
        <w:tc>
          <w:tcPr>
            <w:tcW w:w="461" w:type="pct"/>
            <w:tcBorders>
              <w:top w:val="single" w:sz="4" w:space="0" w:color="CCCCCC"/>
              <w:left w:val="single" w:sz="4" w:space="0" w:color="CCCCCC"/>
              <w:bottom w:val="single" w:sz="4" w:space="0" w:color="CCCCCC"/>
              <w:right w:val="single" w:sz="4" w:space="0" w:color="CCCCCC"/>
            </w:tcBorders>
            <w:shd w:val="clear" w:color="000000" w:fill="FBEA84"/>
            <w:noWrap/>
            <w:vAlign w:val="center"/>
            <w:hideMark/>
          </w:tcPr>
          <w:p w14:paraId="27E00266" w14:textId="7B44E351" w:rsidR="00705FDC" w:rsidRPr="00BA447A" w:rsidRDefault="00705FDC" w:rsidP="00705FDC">
            <w:pPr>
              <w:jc w:val="center"/>
              <w:rPr>
                <w:rFonts w:eastAsia="Times New Roman"/>
                <w:sz w:val="16"/>
                <w:szCs w:val="16"/>
              </w:rPr>
            </w:pPr>
            <w:r>
              <w:rPr>
                <w:sz w:val="18"/>
                <w:szCs w:val="18"/>
              </w:rPr>
              <w:t>-5.52%</w:t>
            </w:r>
          </w:p>
        </w:tc>
        <w:tc>
          <w:tcPr>
            <w:tcW w:w="484" w:type="pct"/>
            <w:tcBorders>
              <w:top w:val="single" w:sz="4" w:space="0" w:color="CCCCCC"/>
              <w:left w:val="single" w:sz="4" w:space="0" w:color="CCCCCC"/>
              <w:bottom w:val="single" w:sz="4" w:space="0" w:color="CCCCCC"/>
              <w:right w:val="single" w:sz="4" w:space="0" w:color="CCCCCC"/>
            </w:tcBorders>
            <w:shd w:val="clear" w:color="000000" w:fill="FAEA84"/>
            <w:noWrap/>
            <w:vAlign w:val="center"/>
            <w:hideMark/>
          </w:tcPr>
          <w:p w14:paraId="57C8D09B" w14:textId="2CECE947" w:rsidR="00705FDC" w:rsidRPr="00BA447A" w:rsidRDefault="00705FDC" w:rsidP="00705FDC">
            <w:pPr>
              <w:jc w:val="center"/>
              <w:rPr>
                <w:rFonts w:eastAsia="Times New Roman"/>
                <w:sz w:val="16"/>
                <w:szCs w:val="16"/>
              </w:rPr>
            </w:pPr>
            <w:r>
              <w:rPr>
                <w:sz w:val="18"/>
                <w:szCs w:val="18"/>
              </w:rPr>
              <w:t>-2.74%</w:t>
            </w:r>
          </w:p>
        </w:tc>
        <w:tc>
          <w:tcPr>
            <w:tcW w:w="543" w:type="pct"/>
            <w:tcBorders>
              <w:top w:val="single" w:sz="4" w:space="0" w:color="CCCCCC"/>
              <w:left w:val="single" w:sz="4" w:space="0" w:color="CCCCCC"/>
              <w:bottom w:val="single" w:sz="4" w:space="0" w:color="CCCCCC"/>
              <w:right w:val="single" w:sz="4" w:space="0" w:color="CCCCCC"/>
            </w:tcBorders>
            <w:shd w:val="clear" w:color="000000" w:fill="F8696B"/>
            <w:noWrap/>
            <w:vAlign w:val="center"/>
            <w:hideMark/>
          </w:tcPr>
          <w:p w14:paraId="4DF7A412" w14:textId="73381E8C" w:rsidR="00705FDC" w:rsidRPr="00BA447A" w:rsidRDefault="00705FDC" w:rsidP="00705FDC">
            <w:pPr>
              <w:jc w:val="center"/>
              <w:rPr>
                <w:rFonts w:eastAsia="Times New Roman"/>
                <w:sz w:val="16"/>
                <w:szCs w:val="16"/>
              </w:rPr>
            </w:pPr>
            <w:r>
              <w:rPr>
                <w:sz w:val="18"/>
                <w:szCs w:val="18"/>
              </w:rPr>
              <w:t>-10.94%</w:t>
            </w:r>
          </w:p>
        </w:tc>
        <w:tc>
          <w:tcPr>
            <w:tcW w:w="520" w:type="pct"/>
            <w:tcBorders>
              <w:top w:val="single" w:sz="4" w:space="0" w:color="CCCCCC"/>
              <w:left w:val="single" w:sz="4" w:space="0" w:color="CCCCCC"/>
              <w:bottom w:val="single" w:sz="4" w:space="0" w:color="CCCCCC"/>
              <w:right w:val="single" w:sz="4" w:space="0" w:color="CCCCCC"/>
            </w:tcBorders>
            <w:shd w:val="clear" w:color="000000" w:fill="FAEA84"/>
            <w:noWrap/>
            <w:vAlign w:val="center"/>
            <w:hideMark/>
          </w:tcPr>
          <w:p w14:paraId="305E379B" w14:textId="48BF55E8" w:rsidR="00705FDC" w:rsidRPr="00BA447A" w:rsidRDefault="00705FDC" w:rsidP="00705FDC">
            <w:pPr>
              <w:jc w:val="center"/>
              <w:rPr>
                <w:rFonts w:eastAsia="Times New Roman"/>
                <w:sz w:val="16"/>
                <w:szCs w:val="16"/>
              </w:rPr>
            </w:pPr>
            <w:r>
              <w:rPr>
                <w:sz w:val="18"/>
                <w:szCs w:val="18"/>
              </w:rPr>
              <w:t>-3.55%</w:t>
            </w:r>
          </w:p>
        </w:tc>
      </w:tr>
      <w:tr w:rsidR="00705FDC" w:rsidRPr="00DD5C15" w14:paraId="237D069E"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FFFFFF"/>
            <w:noWrap/>
            <w:vAlign w:val="center"/>
            <w:hideMark/>
          </w:tcPr>
          <w:p w14:paraId="0BABC45B" w14:textId="77777777" w:rsidR="00705FDC" w:rsidRPr="0030383D" w:rsidRDefault="00705FDC" w:rsidP="00705FDC">
            <w:pPr>
              <w:rPr>
                <w:rFonts w:eastAsia="Times New Roman"/>
                <w:b/>
                <w:bCs/>
                <w:sz w:val="16"/>
                <w:szCs w:val="16"/>
              </w:rPr>
            </w:pPr>
            <w:r>
              <w:rPr>
                <w:b/>
                <w:bCs/>
                <w:sz w:val="16"/>
                <w:szCs w:val="16"/>
              </w:rPr>
              <w:t>NGX Pension Index</w:t>
            </w:r>
          </w:p>
        </w:tc>
        <w:tc>
          <w:tcPr>
            <w:tcW w:w="778" w:type="pct"/>
            <w:tcBorders>
              <w:top w:val="nil"/>
              <w:left w:val="nil"/>
              <w:bottom w:val="single" w:sz="4" w:space="0" w:color="CCCCCC"/>
              <w:right w:val="single" w:sz="4" w:space="0" w:color="CCCCCC"/>
            </w:tcBorders>
            <w:noWrap/>
            <w:vAlign w:val="center"/>
            <w:hideMark/>
          </w:tcPr>
          <w:p w14:paraId="57989147" w14:textId="58C6AEAE" w:rsidR="00705FDC" w:rsidRPr="00BA447A" w:rsidRDefault="00705FDC" w:rsidP="00705FDC">
            <w:pPr>
              <w:jc w:val="right"/>
              <w:rPr>
                <w:rFonts w:eastAsia="Times New Roman"/>
                <w:b/>
                <w:bCs/>
                <w:color w:val="1A5C2E"/>
                <w:sz w:val="16"/>
                <w:szCs w:val="16"/>
              </w:rPr>
            </w:pPr>
            <w:r>
              <w:rPr>
                <w:b/>
                <w:bCs/>
                <w:color w:val="1A5C2E"/>
                <w:sz w:val="18"/>
                <w:szCs w:val="18"/>
              </w:rPr>
              <w:t>12,689.03</w:t>
            </w:r>
          </w:p>
        </w:tc>
        <w:tc>
          <w:tcPr>
            <w:tcW w:w="801" w:type="pct"/>
            <w:tcBorders>
              <w:top w:val="nil"/>
              <w:left w:val="nil"/>
              <w:bottom w:val="single" w:sz="4" w:space="0" w:color="CCCCCC"/>
              <w:right w:val="single" w:sz="4" w:space="0" w:color="CCCCCC"/>
            </w:tcBorders>
            <w:noWrap/>
            <w:vAlign w:val="center"/>
            <w:hideMark/>
          </w:tcPr>
          <w:p w14:paraId="130A2FCE" w14:textId="778A10B7" w:rsidR="00705FDC" w:rsidRPr="00BA447A" w:rsidRDefault="00705FDC" w:rsidP="00705FDC">
            <w:pPr>
              <w:jc w:val="right"/>
              <w:rPr>
                <w:rFonts w:eastAsia="Times New Roman"/>
                <w:b/>
                <w:bCs/>
                <w:color w:val="1A5C2E"/>
                <w:sz w:val="16"/>
                <w:szCs w:val="16"/>
              </w:rPr>
            </w:pPr>
            <w:r>
              <w:rPr>
                <w:b/>
                <w:bCs/>
                <w:color w:val="1A5C2E"/>
                <w:sz w:val="18"/>
                <w:szCs w:val="18"/>
              </w:rPr>
              <w:t>12,938.32</w:t>
            </w:r>
          </w:p>
        </w:tc>
        <w:tc>
          <w:tcPr>
            <w:tcW w:w="461" w:type="pct"/>
            <w:tcBorders>
              <w:top w:val="single" w:sz="4" w:space="0" w:color="CCCCCC"/>
              <w:left w:val="single" w:sz="4" w:space="0" w:color="CCCCCC"/>
              <w:bottom w:val="single" w:sz="4" w:space="0" w:color="CCCCCC"/>
              <w:right w:val="single" w:sz="4" w:space="0" w:color="CCCCCC"/>
            </w:tcBorders>
            <w:shd w:val="clear" w:color="000000" w:fill="C4DA81"/>
            <w:noWrap/>
            <w:vAlign w:val="center"/>
            <w:hideMark/>
          </w:tcPr>
          <w:p w14:paraId="08D8B19B" w14:textId="2F6E75D8" w:rsidR="00705FDC" w:rsidRPr="00BA447A" w:rsidRDefault="00705FDC" w:rsidP="00705FDC">
            <w:pPr>
              <w:jc w:val="center"/>
              <w:rPr>
                <w:rFonts w:eastAsia="Times New Roman"/>
                <w:sz w:val="16"/>
                <w:szCs w:val="16"/>
              </w:rPr>
            </w:pPr>
            <w:r>
              <w:rPr>
                <w:sz w:val="18"/>
                <w:szCs w:val="18"/>
              </w:rPr>
              <w:t>-1.93%</w:t>
            </w:r>
          </w:p>
        </w:tc>
        <w:tc>
          <w:tcPr>
            <w:tcW w:w="484" w:type="pct"/>
            <w:tcBorders>
              <w:top w:val="single" w:sz="4" w:space="0" w:color="CCCCCC"/>
              <w:left w:val="single" w:sz="4" w:space="0" w:color="CCCCCC"/>
              <w:bottom w:val="single" w:sz="4" w:space="0" w:color="CCCCCC"/>
              <w:right w:val="single" w:sz="4" w:space="0" w:color="CCCCCC"/>
            </w:tcBorders>
            <w:shd w:val="clear" w:color="000000" w:fill="F0E784"/>
            <w:noWrap/>
            <w:vAlign w:val="center"/>
            <w:hideMark/>
          </w:tcPr>
          <w:p w14:paraId="7C222A86" w14:textId="43309D0E" w:rsidR="00705FDC" w:rsidRPr="00BA447A" w:rsidRDefault="00705FDC" w:rsidP="00705FDC">
            <w:pPr>
              <w:jc w:val="center"/>
              <w:rPr>
                <w:rFonts w:eastAsia="Times New Roman"/>
                <w:sz w:val="16"/>
                <w:szCs w:val="16"/>
              </w:rPr>
            </w:pPr>
            <w:r>
              <w:rPr>
                <w:sz w:val="18"/>
                <w:szCs w:val="18"/>
              </w:rPr>
              <w:t>-0.54%</w:t>
            </w:r>
          </w:p>
        </w:tc>
        <w:tc>
          <w:tcPr>
            <w:tcW w:w="543" w:type="pct"/>
            <w:tcBorders>
              <w:top w:val="single" w:sz="4" w:space="0" w:color="CCCCCC"/>
              <w:left w:val="single" w:sz="4" w:space="0" w:color="CCCCCC"/>
              <w:bottom w:val="single" w:sz="4" w:space="0" w:color="CCCCCC"/>
              <w:right w:val="single" w:sz="4" w:space="0" w:color="CCCCCC"/>
            </w:tcBorders>
            <w:shd w:val="clear" w:color="000000" w:fill="8CCA7E"/>
            <w:noWrap/>
            <w:vAlign w:val="center"/>
            <w:hideMark/>
          </w:tcPr>
          <w:p w14:paraId="45C63EC1" w14:textId="7161D076" w:rsidR="00705FDC" w:rsidRPr="00BA447A" w:rsidRDefault="00705FDC" w:rsidP="00705FDC">
            <w:pPr>
              <w:jc w:val="center"/>
              <w:rPr>
                <w:rFonts w:eastAsia="Times New Roman"/>
                <w:sz w:val="16"/>
                <w:szCs w:val="16"/>
              </w:rPr>
            </w:pPr>
            <w:r>
              <w:rPr>
                <w:sz w:val="18"/>
                <w:szCs w:val="18"/>
              </w:rPr>
              <w:t>78.27%</w:t>
            </w:r>
          </w:p>
        </w:tc>
        <w:tc>
          <w:tcPr>
            <w:tcW w:w="520" w:type="pct"/>
            <w:tcBorders>
              <w:top w:val="single" w:sz="4" w:space="0" w:color="CCCCCC"/>
              <w:left w:val="single" w:sz="4" w:space="0" w:color="CCCCCC"/>
              <w:bottom w:val="single" w:sz="4" w:space="0" w:color="CCCCCC"/>
              <w:right w:val="single" w:sz="4" w:space="0" w:color="CCCCCC"/>
            </w:tcBorders>
            <w:shd w:val="clear" w:color="000000" w:fill="F0E784"/>
            <w:noWrap/>
            <w:vAlign w:val="center"/>
            <w:hideMark/>
          </w:tcPr>
          <w:p w14:paraId="6162577D" w14:textId="70407F36" w:rsidR="00705FDC" w:rsidRPr="00BA447A" w:rsidRDefault="00705FDC" w:rsidP="00705FDC">
            <w:pPr>
              <w:jc w:val="center"/>
              <w:rPr>
                <w:rFonts w:eastAsia="Times New Roman"/>
                <w:sz w:val="16"/>
                <w:szCs w:val="16"/>
              </w:rPr>
            </w:pPr>
            <w:r>
              <w:rPr>
                <w:sz w:val="18"/>
                <w:szCs w:val="18"/>
              </w:rPr>
              <w:t>14.12%</w:t>
            </w:r>
          </w:p>
        </w:tc>
      </w:tr>
      <w:tr w:rsidR="00705FDC" w:rsidRPr="00DD5C15" w14:paraId="251DB4E2" w14:textId="77777777" w:rsidTr="00705FDC">
        <w:trPr>
          <w:trHeight w:val="315"/>
        </w:trPr>
        <w:tc>
          <w:tcPr>
            <w:tcW w:w="1413" w:type="pct"/>
            <w:tcBorders>
              <w:top w:val="nil"/>
              <w:left w:val="single" w:sz="4" w:space="0" w:color="CCCCCC"/>
              <w:bottom w:val="single" w:sz="4" w:space="0" w:color="CCCCCC"/>
              <w:right w:val="single" w:sz="4" w:space="0" w:color="CCCCCC"/>
            </w:tcBorders>
            <w:shd w:val="clear" w:color="000000" w:fill="E6F4EA"/>
            <w:noWrap/>
            <w:vAlign w:val="center"/>
            <w:hideMark/>
          </w:tcPr>
          <w:p w14:paraId="0E739698" w14:textId="77777777" w:rsidR="00705FDC" w:rsidRPr="0030383D" w:rsidRDefault="00705FDC" w:rsidP="00705FDC">
            <w:pPr>
              <w:rPr>
                <w:rFonts w:eastAsia="Times New Roman"/>
                <w:b/>
                <w:bCs/>
                <w:sz w:val="16"/>
                <w:szCs w:val="16"/>
              </w:rPr>
            </w:pPr>
            <w:r>
              <w:rPr>
                <w:b/>
                <w:bCs/>
                <w:sz w:val="16"/>
                <w:szCs w:val="16"/>
              </w:rPr>
              <w:t>NGX Sovereign Bond Index</w:t>
            </w:r>
          </w:p>
        </w:tc>
        <w:tc>
          <w:tcPr>
            <w:tcW w:w="778" w:type="pct"/>
            <w:tcBorders>
              <w:top w:val="nil"/>
              <w:left w:val="nil"/>
              <w:bottom w:val="single" w:sz="4" w:space="0" w:color="CCCCCC"/>
              <w:right w:val="single" w:sz="4" w:space="0" w:color="CCCCCC"/>
            </w:tcBorders>
            <w:shd w:val="clear" w:color="000000" w:fill="E6F4EA"/>
            <w:noWrap/>
            <w:vAlign w:val="center"/>
            <w:hideMark/>
          </w:tcPr>
          <w:p w14:paraId="03650BBB" w14:textId="124217A9" w:rsidR="00705FDC" w:rsidRPr="00BA447A" w:rsidRDefault="00705FDC" w:rsidP="00705FDC">
            <w:pPr>
              <w:jc w:val="right"/>
              <w:rPr>
                <w:rFonts w:eastAsia="Times New Roman"/>
                <w:b/>
                <w:bCs/>
                <w:color w:val="1A5C2E"/>
                <w:sz w:val="16"/>
                <w:szCs w:val="16"/>
              </w:rPr>
            </w:pPr>
            <w:r>
              <w:rPr>
                <w:b/>
                <w:bCs/>
                <w:color w:val="1A5C2E"/>
                <w:sz w:val="18"/>
                <w:szCs w:val="18"/>
              </w:rPr>
              <w:t>668.47</w:t>
            </w:r>
          </w:p>
        </w:tc>
        <w:tc>
          <w:tcPr>
            <w:tcW w:w="801" w:type="pct"/>
            <w:tcBorders>
              <w:top w:val="nil"/>
              <w:left w:val="nil"/>
              <w:bottom w:val="single" w:sz="4" w:space="0" w:color="CCCCCC"/>
              <w:right w:val="single" w:sz="4" w:space="0" w:color="CCCCCC"/>
            </w:tcBorders>
            <w:shd w:val="clear" w:color="000000" w:fill="E6F4EA"/>
            <w:noWrap/>
            <w:vAlign w:val="center"/>
            <w:hideMark/>
          </w:tcPr>
          <w:p w14:paraId="567FB57C" w14:textId="681A6A2A" w:rsidR="00705FDC" w:rsidRPr="00BA447A" w:rsidRDefault="00705FDC" w:rsidP="00705FDC">
            <w:pPr>
              <w:jc w:val="right"/>
              <w:rPr>
                <w:rFonts w:eastAsia="Times New Roman"/>
                <w:b/>
                <w:bCs/>
                <w:color w:val="1A5C2E"/>
                <w:sz w:val="16"/>
                <w:szCs w:val="16"/>
              </w:rPr>
            </w:pPr>
            <w:r>
              <w:rPr>
                <w:b/>
                <w:bCs/>
                <w:color w:val="1A5C2E"/>
                <w:sz w:val="18"/>
                <w:szCs w:val="18"/>
              </w:rPr>
              <w:t>667.51</w:t>
            </w:r>
          </w:p>
        </w:tc>
        <w:tc>
          <w:tcPr>
            <w:tcW w:w="461" w:type="pct"/>
            <w:tcBorders>
              <w:top w:val="single" w:sz="4" w:space="0" w:color="CCCCCC"/>
              <w:left w:val="single" w:sz="4" w:space="0" w:color="CCCCCC"/>
              <w:bottom w:val="single" w:sz="4" w:space="0" w:color="CCCCCC"/>
              <w:right w:val="single" w:sz="4" w:space="0" w:color="CCCCCC"/>
            </w:tcBorders>
            <w:shd w:val="clear" w:color="000000" w:fill="FEE482"/>
            <w:noWrap/>
            <w:vAlign w:val="center"/>
            <w:hideMark/>
          </w:tcPr>
          <w:p w14:paraId="7C624ADB" w14:textId="1C11F54A" w:rsidR="00705FDC" w:rsidRPr="00BA447A" w:rsidRDefault="00705FDC" w:rsidP="00705FDC">
            <w:pPr>
              <w:jc w:val="center"/>
              <w:rPr>
                <w:rFonts w:eastAsia="Times New Roman"/>
                <w:sz w:val="16"/>
                <w:szCs w:val="16"/>
              </w:rPr>
            </w:pPr>
            <w:r>
              <w:rPr>
                <w:sz w:val="18"/>
                <w:szCs w:val="18"/>
              </w:rPr>
              <w:t>0.14%</w:t>
            </w:r>
          </w:p>
        </w:tc>
        <w:tc>
          <w:tcPr>
            <w:tcW w:w="484" w:type="pct"/>
            <w:tcBorders>
              <w:top w:val="single" w:sz="4" w:space="0" w:color="CCCCCC"/>
              <w:left w:val="single" w:sz="4" w:space="0" w:color="CCCCCC"/>
              <w:bottom w:val="single" w:sz="4" w:space="0" w:color="CCCCCC"/>
              <w:right w:val="single" w:sz="4" w:space="0" w:color="CCCCCC"/>
            </w:tcBorders>
            <w:shd w:val="clear" w:color="000000" w:fill="FDCE7E"/>
            <w:noWrap/>
            <w:vAlign w:val="center"/>
            <w:hideMark/>
          </w:tcPr>
          <w:p w14:paraId="61DEBA94" w14:textId="1541B13B" w:rsidR="00705FDC" w:rsidRPr="00BA447A" w:rsidRDefault="00705FDC" w:rsidP="00705FDC">
            <w:pPr>
              <w:jc w:val="center"/>
              <w:rPr>
                <w:rFonts w:eastAsia="Times New Roman"/>
                <w:sz w:val="16"/>
                <w:szCs w:val="16"/>
              </w:rPr>
            </w:pPr>
            <w:r>
              <w:rPr>
                <w:sz w:val="18"/>
                <w:szCs w:val="18"/>
              </w:rPr>
              <w:t>-0.57%</w:t>
            </w:r>
          </w:p>
        </w:tc>
        <w:tc>
          <w:tcPr>
            <w:tcW w:w="543" w:type="pct"/>
            <w:tcBorders>
              <w:top w:val="single" w:sz="4" w:space="0" w:color="CCCCCC"/>
              <w:left w:val="single" w:sz="4" w:space="0" w:color="CCCCCC"/>
              <w:bottom w:val="single" w:sz="4" w:space="0" w:color="CCCCCC"/>
              <w:right w:val="single" w:sz="4" w:space="0" w:color="CCCCCC"/>
            </w:tcBorders>
            <w:shd w:val="clear" w:color="000000" w:fill="FBAF78"/>
            <w:noWrap/>
            <w:vAlign w:val="center"/>
            <w:hideMark/>
          </w:tcPr>
          <w:p w14:paraId="38A8A5E5" w14:textId="6404D436" w:rsidR="00705FDC" w:rsidRPr="00BA447A" w:rsidRDefault="00705FDC" w:rsidP="00705FDC">
            <w:pPr>
              <w:jc w:val="center"/>
              <w:rPr>
                <w:rFonts w:eastAsia="Times New Roman"/>
                <w:sz w:val="16"/>
                <w:szCs w:val="16"/>
              </w:rPr>
            </w:pPr>
            <w:r>
              <w:rPr>
                <w:sz w:val="18"/>
                <w:szCs w:val="18"/>
              </w:rPr>
              <w:t>-2.01%</w:t>
            </w:r>
          </w:p>
        </w:tc>
        <w:tc>
          <w:tcPr>
            <w:tcW w:w="520" w:type="pct"/>
            <w:tcBorders>
              <w:top w:val="single" w:sz="4" w:space="0" w:color="CCCCCC"/>
              <w:left w:val="single" w:sz="4" w:space="0" w:color="CCCCCC"/>
              <w:bottom w:val="single" w:sz="4" w:space="0" w:color="CCCCCC"/>
              <w:right w:val="single" w:sz="4" w:space="0" w:color="CCCCCC"/>
            </w:tcBorders>
            <w:shd w:val="clear" w:color="000000" w:fill="FDCE7E"/>
            <w:noWrap/>
            <w:vAlign w:val="center"/>
            <w:hideMark/>
          </w:tcPr>
          <w:p w14:paraId="38F10BC6" w14:textId="542A0004" w:rsidR="00705FDC" w:rsidRPr="00BA447A" w:rsidRDefault="00705FDC" w:rsidP="00705FDC">
            <w:pPr>
              <w:jc w:val="center"/>
              <w:rPr>
                <w:rFonts w:eastAsia="Times New Roman"/>
                <w:sz w:val="16"/>
                <w:szCs w:val="16"/>
              </w:rPr>
            </w:pPr>
            <w:r>
              <w:rPr>
                <w:sz w:val="18"/>
                <w:szCs w:val="18"/>
              </w:rPr>
              <w:t>-0.92%</w:t>
            </w:r>
          </w:p>
        </w:tc>
      </w:tr>
    </w:tbl>
    <w:p w14:paraId="7FB10BC1" w14:textId="77777777" w:rsidR="000D4C5E" w:rsidRDefault="000D4C5E" w:rsidP="000D4C5E">
      <w:pPr>
        <w:spacing w:before="180" w:after="80"/>
      </w:pPr>
      <w:r>
        <w:rPr>
          <w:b/>
          <w:bCs/>
          <w:color w:val="1A5C4E"/>
          <w:sz w:val="22"/>
          <w:szCs w:val="22"/>
        </w:rPr>
        <w:t>Market Snapshot Commentary</w:t>
      </w:r>
    </w:p>
    <w:p w14:paraId="721AE2C6" w14:textId="77777777" w:rsidR="00F56AEE" w:rsidRPr="00F56AEE" w:rsidRDefault="00F56AEE" w:rsidP="00F56AEE">
      <w:pPr>
        <w:pStyle w:val="ListParagraph"/>
        <w:numPr>
          <w:ilvl w:val="0"/>
          <w:numId w:val="6"/>
        </w:numPr>
        <w:spacing w:before="120" w:after="120"/>
        <w:rPr>
          <w:color w:val="auto"/>
        </w:rPr>
      </w:pPr>
      <w:r>
        <w:t xml:space="preserve">Oil &amp; Gas was the sole sector to gain, </w:t>
      </w:r>
      <w:r>
        <w:rPr>
          <w:b/>
          <w:color w:val="00B050"/>
        </w:rPr>
        <w:t>▲</w:t>
      </w:r>
      <w:r>
        <w:t xml:space="preserve">2.83% WoW to 5,817.36 and </w:t>
      </w:r>
      <w:r>
        <w:rPr>
          <w:b/>
          <w:color w:val="00B050"/>
        </w:rPr>
        <w:t>▲</w:t>
      </w:r>
      <w:r>
        <w:t xml:space="preserve">10.69% MoM, extending YTD performance to </w:t>
      </w:r>
      <w:r>
        <w:rPr>
          <w:b/>
          <w:color w:val="00B050"/>
        </w:rPr>
        <w:t>▲</w:t>
      </w:r>
      <w:r>
        <w:t xml:space="preserve">117.86%. Brent's move above $100 on US-Iran hostilities drove Aradel Holdings and Seplat Energy, the latter rallying 10.00% to ₦14,907.80 on Thursday. Insurance was the worst performer at </w:t>
      </w:r>
      <w:r>
        <w:rPr>
          <w:b/>
          <w:color w:val="EE0000"/>
        </w:rPr>
        <w:t>▼</w:t>
      </w:r>
      <w:r>
        <w:t xml:space="preserve">5.52% to 1,059.16, the only index negative YTD at </w:t>
      </w:r>
      <w:r>
        <w:rPr>
          <w:b/>
          <w:color w:val="EE0000"/>
        </w:rPr>
        <w:t>▼</w:t>
      </w:r>
      <w:r>
        <w:t>10.94%. Market commentary attributed part of the weakness to investors raising liquidity ahead of the ₦2.15tn Dangote Refinery offer opening 14 September, although profit taking after a strong run is an equally consistent explanation.</w:t>
      </w:r>
    </w:p>
    <w:p w14:paraId="5B18CEA7" w14:textId="77777777" w:rsidR="00F56AEE" w:rsidRPr="00F56AEE" w:rsidRDefault="00F56AEE" w:rsidP="00F56AEE">
      <w:pPr>
        <w:pStyle w:val="ListParagraph"/>
        <w:numPr>
          <w:ilvl w:val="0"/>
          <w:numId w:val="6"/>
        </w:numPr>
        <w:spacing w:before="120" w:after="120"/>
        <w:rPr>
          <w:color w:val="auto"/>
        </w:rPr>
      </w:pPr>
      <w:r>
        <w:t xml:space="preserve">Banking fell </w:t>
      </w:r>
      <w:r>
        <w:rPr>
          <w:b/>
          <w:color w:val="EE0000"/>
        </w:rPr>
        <w:t>▼</w:t>
      </w:r>
      <w:r>
        <w:t xml:space="preserve">4.07% to 2,528.80, with Tuesday alone taking the index down 5.29% as First HoldCo shed 9.30% and Access Holdings 7.06%. The sell-off appears partly liquidity driven ahead of the offer, although profit taking and positioning ahead of FTSE reclassification may also have contributed. Industrial Goods </w:t>
      </w:r>
      <w:r>
        <w:rPr>
          <w:b/>
          <w:color w:val="EE0000"/>
        </w:rPr>
        <w:t>▼</w:t>
      </w:r>
      <w:r>
        <w:t>3.36% tracked BUA Cement's 10.00% Wednesday limit-down.</w:t>
      </w:r>
    </w:p>
    <w:p w14:paraId="3DBC2340" w14:textId="2438D6C8" w:rsidR="00974479" w:rsidRPr="00F56AEE" w:rsidRDefault="00F56AEE" w:rsidP="00F56AEE">
      <w:pPr>
        <w:pStyle w:val="ListParagraph"/>
        <w:numPr>
          <w:ilvl w:val="0"/>
          <w:numId w:val="6"/>
        </w:numPr>
        <w:spacing w:before="120" w:after="120"/>
        <w:rPr>
          <w:color w:val="auto"/>
        </w:rPr>
      </w:pPr>
      <w:r>
        <w:t xml:space="preserve">Banking's </w:t>
      </w:r>
      <w:r>
        <w:rPr>
          <w:b/>
          <w:color w:val="00B050"/>
        </w:rPr>
        <w:t>▲</w:t>
      </w:r>
      <w:r>
        <w:t xml:space="preserve">22.16% QtD against Consumer Goods </w:t>
      </w:r>
      <w:r>
        <w:rPr>
          <w:b/>
          <w:color w:val="EE0000"/>
        </w:rPr>
        <w:t>▼</w:t>
      </w:r>
      <w:r>
        <w:t xml:space="preserve">11.89% QtD is consistent with a tactical rather than structural unwind, since the QtD gain sits against </w:t>
      </w:r>
      <w:r>
        <w:rPr>
          <w:b/>
          <w:color w:val="EE0000"/>
        </w:rPr>
        <w:t>▼</w:t>
      </w:r>
      <w:r>
        <w:t xml:space="preserve">4.07% WoW and </w:t>
      </w:r>
      <w:r>
        <w:rPr>
          <w:b/>
          <w:color w:val="EE0000"/>
        </w:rPr>
        <w:t>▼</w:t>
      </w:r>
      <w:r>
        <w:t>3.63% MoM. Watch whether IPO allocations free financials to re-rate after the 21 September FTSE reclassification.</w:t>
      </w:r>
    </w:p>
    <w:p w14:paraId="65F7DB30" w14:textId="77777777" w:rsidR="00F56AEE" w:rsidRDefault="00F56AEE">
      <w:pPr>
        <w:rPr>
          <w:b/>
          <w:bCs/>
          <w:color w:val="D6EDF0"/>
          <w:sz w:val="22"/>
          <w:szCs w:val="22"/>
        </w:rPr>
      </w:pPr>
      <w:r>
        <w:rPr>
          <w:b/>
          <w:bCs/>
          <w:color w:val="D6EDF0"/>
          <w:sz w:val="22"/>
          <w:szCs w:val="22"/>
        </w:rPr>
        <w:br w:type="page"/>
      </w:r>
    </w:p>
    <w:p w14:paraId="75A13187" w14:textId="5242C120" w:rsidR="00C06B25" w:rsidRDefault="00CB3E7C" w:rsidP="004E1B03">
      <w:pPr>
        <w:shd w:val="clear" w:color="auto" w:fill="1A5C4E"/>
        <w:spacing w:before="280" w:after="120"/>
      </w:pPr>
      <w:r>
        <w:rPr>
          <w:b/>
          <w:bCs/>
          <w:color w:val="D6EDF0"/>
          <w:sz w:val="22"/>
          <w:szCs w:val="22"/>
        </w:rPr>
        <w:lastRenderedPageBreak/>
        <w:t xml:space="preserve">SECTION 5  </w:t>
      </w:r>
      <w:r>
        <w:rPr>
          <w:b/>
          <w:bCs/>
          <w:color w:val="FFFFFF"/>
          <w:sz w:val="22"/>
          <w:szCs w:val="22"/>
        </w:rPr>
        <w:t>|  NIGERIA — TOP MOVERS</w:t>
      </w:r>
    </w:p>
    <w:p w14:paraId="43F5FBBB" w14:textId="7B2B96BD" w:rsidR="00C06B25" w:rsidRPr="00CB50FD" w:rsidRDefault="00CB3E7C">
      <w:pPr>
        <w:spacing w:before="180" w:after="80"/>
        <w:rPr>
          <w:color w:val="0C3512" w:themeColor="accent3" w:themeShade="80"/>
        </w:rPr>
      </w:pPr>
      <w:r>
        <w:rPr>
          <w:b/>
          <w:bCs/>
          <w:color w:val="00B050"/>
          <w:sz w:val="22"/>
          <w:szCs w:val="22"/>
        </w:rPr>
        <w:t>▲</w:t>
      </w:r>
      <w:r>
        <w:rPr>
          <w:b/>
          <w:bCs/>
          <w:color w:val="C00000"/>
          <w:sz w:val="22"/>
          <w:szCs w:val="22"/>
        </w:rPr>
        <w:t xml:space="preserve"> </w:t>
      </w:r>
      <w:r>
        <w:rPr>
          <w:b/>
          <w:bCs/>
          <w:color w:val="0C3512" w:themeColor="accent3" w:themeShade="80"/>
          <w:sz w:val="22"/>
          <w:szCs w:val="22"/>
        </w:rPr>
        <w:t xml:space="preserve"> Top Gainers</w:t>
      </w:r>
    </w:p>
    <w:tbl>
      <w:tblPr>
        <w:tblW w:w="5000" w:type="pct"/>
        <w:tblLook w:val="04A0" w:firstRow="1" w:lastRow="0" w:firstColumn="1" w:lastColumn="0" w:noHBand="0" w:noVBand="1"/>
      </w:tblPr>
      <w:tblGrid>
        <w:gridCol w:w="420"/>
        <w:gridCol w:w="1330"/>
        <w:gridCol w:w="2980"/>
        <w:gridCol w:w="1080"/>
        <w:gridCol w:w="940"/>
        <w:gridCol w:w="1600"/>
        <w:gridCol w:w="1360"/>
      </w:tblGrid>
      <w:tr w:rsidR="009E7A98" w:rsidRPr="009E7A98" w14:paraId="0C34AD11" w14:textId="77777777" w:rsidTr="00F56AEE">
        <w:trPr>
          <w:trHeight w:val="360"/>
        </w:trPr>
        <w:tc>
          <w:tcPr>
            <w:tcW w:w="420" w:type="dxa"/>
            <w:tcBorders>
              <w:top w:val="single" w:sz="4" w:space="0" w:color="CCCCCC"/>
              <w:left w:val="single" w:sz="4" w:space="0" w:color="CCCCCC"/>
              <w:bottom w:val="single" w:sz="4" w:space="0" w:color="CCCCCC"/>
              <w:right w:val="single" w:sz="4" w:space="0" w:color="CCCCCC"/>
            </w:tcBorders>
            <w:shd w:val="clear" w:color="000000" w:fill="1A5C2E"/>
            <w:noWrap/>
            <w:vAlign w:val="center"/>
            <w:hideMark/>
          </w:tcPr>
          <w:p w14:paraId="531A5044"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t>
            </w:r>
          </w:p>
        </w:tc>
        <w:tc>
          <w:tcPr>
            <w:tcW w:w="1330" w:type="dxa"/>
            <w:tcBorders>
              <w:top w:val="single" w:sz="4" w:space="0" w:color="CCCCCC"/>
              <w:left w:val="nil"/>
              <w:bottom w:val="single" w:sz="4" w:space="0" w:color="CCCCCC"/>
              <w:right w:val="single" w:sz="4" w:space="0" w:color="CCCCCC"/>
            </w:tcBorders>
            <w:shd w:val="clear" w:color="000000" w:fill="1A5C2E"/>
            <w:noWrap/>
            <w:vAlign w:val="center"/>
            <w:hideMark/>
          </w:tcPr>
          <w:p w14:paraId="338628DB"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Ticker</w:t>
            </w:r>
          </w:p>
        </w:tc>
        <w:tc>
          <w:tcPr>
            <w:tcW w:w="2980" w:type="dxa"/>
            <w:tcBorders>
              <w:top w:val="single" w:sz="4" w:space="0" w:color="CCCCCC"/>
              <w:left w:val="nil"/>
              <w:bottom w:val="single" w:sz="4" w:space="0" w:color="CCCCCC"/>
              <w:right w:val="single" w:sz="4" w:space="0" w:color="CCCCCC"/>
            </w:tcBorders>
            <w:shd w:val="clear" w:color="000000" w:fill="1A5C2E"/>
            <w:noWrap/>
            <w:vAlign w:val="center"/>
            <w:hideMark/>
          </w:tcPr>
          <w:p w14:paraId="3CDA1F78"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Company</w:t>
            </w:r>
          </w:p>
        </w:tc>
        <w:tc>
          <w:tcPr>
            <w:tcW w:w="1080" w:type="dxa"/>
            <w:tcBorders>
              <w:top w:val="single" w:sz="4" w:space="0" w:color="CCCCCC"/>
              <w:left w:val="nil"/>
              <w:bottom w:val="single" w:sz="4" w:space="0" w:color="CCCCCC"/>
              <w:right w:val="single" w:sz="4" w:space="0" w:color="CCCCCC"/>
            </w:tcBorders>
            <w:shd w:val="clear" w:color="000000" w:fill="1A5C2E"/>
            <w:noWrap/>
            <w:vAlign w:val="center"/>
            <w:hideMark/>
          </w:tcPr>
          <w:p w14:paraId="16F60421"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Close (₦)</w:t>
            </w:r>
          </w:p>
        </w:tc>
        <w:tc>
          <w:tcPr>
            <w:tcW w:w="940" w:type="dxa"/>
            <w:tcBorders>
              <w:top w:val="single" w:sz="4" w:space="0" w:color="CCCCCC"/>
              <w:left w:val="nil"/>
              <w:bottom w:val="single" w:sz="4" w:space="0" w:color="CCCCCC"/>
              <w:right w:val="single" w:sz="4" w:space="0" w:color="CCCCCC"/>
            </w:tcBorders>
            <w:shd w:val="clear" w:color="000000" w:fill="1A5C2E"/>
            <w:noWrap/>
            <w:vAlign w:val="center"/>
            <w:hideMark/>
          </w:tcPr>
          <w:p w14:paraId="77092F0A"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WoW %</w:t>
            </w:r>
          </w:p>
        </w:tc>
        <w:tc>
          <w:tcPr>
            <w:tcW w:w="1600" w:type="dxa"/>
            <w:tcBorders>
              <w:top w:val="single" w:sz="4" w:space="0" w:color="CCCCCC"/>
              <w:left w:val="nil"/>
              <w:bottom w:val="single" w:sz="4" w:space="0" w:color="CCCCCC"/>
              <w:right w:val="single" w:sz="4" w:space="0" w:color="CCCCCC"/>
            </w:tcBorders>
            <w:shd w:val="clear" w:color="000000" w:fill="1A5C2E"/>
            <w:noWrap/>
            <w:vAlign w:val="center"/>
            <w:hideMark/>
          </w:tcPr>
          <w:p w14:paraId="365E96A8"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Weekly Vol</w:t>
            </w:r>
          </w:p>
        </w:tc>
        <w:tc>
          <w:tcPr>
            <w:tcW w:w="1360" w:type="dxa"/>
            <w:tcBorders>
              <w:top w:val="single" w:sz="4" w:space="0" w:color="CCCCCC"/>
              <w:left w:val="nil"/>
              <w:bottom w:val="single" w:sz="4" w:space="0" w:color="CCCCCC"/>
              <w:right w:val="single" w:sz="4" w:space="0" w:color="CCCCCC"/>
            </w:tcBorders>
            <w:shd w:val="clear" w:color="000000" w:fill="1A5C2E"/>
            <w:noWrap/>
            <w:vAlign w:val="center"/>
            <w:hideMark/>
          </w:tcPr>
          <w:p w14:paraId="65C686F7" w14:textId="77777777" w:rsidR="009E7A98" w:rsidRPr="009E7A98" w:rsidRDefault="009E7A98" w:rsidP="009E7A98">
            <w:pPr>
              <w:rPr>
                <w:rFonts w:eastAsia="Times New Roman"/>
                <w:b/>
                <w:bCs/>
                <w:color w:val="FFFFFF"/>
                <w:sz w:val="16"/>
                <w:szCs w:val="16"/>
              </w:rPr>
            </w:pPr>
            <w:r>
              <w:rPr>
                <w:rFonts w:eastAsia="Times New Roman"/>
                <w:b/>
                <w:bCs/>
                <w:color w:val="404040"/>
                <w:sz w:val="16"/>
                <w:szCs w:val="16"/>
              </w:rPr>
              <w:t>Value Traded (₦m)</w:t>
            </w:r>
          </w:p>
        </w:tc>
      </w:tr>
      <w:tr w:rsidR="00F56AEE" w:rsidRPr="009E7A98" w14:paraId="2ED0FAE0" w14:textId="77777777" w:rsidTr="00F56AEE">
        <w:trPr>
          <w:trHeight w:val="32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5BE017E7" w14:textId="77777777" w:rsidR="00F56AEE" w:rsidRPr="00901E06" w:rsidRDefault="00F56AEE" w:rsidP="00F56AEE">
            <w:pPr>
              <w:jc w:val="center"/>
              <w:rPr>
                <w:rFonts w:eastAsia="Times New Roman"/>
                <w:color w:val="auto"/>
                <w:sz w:val="16"/>
                <w:szCs w:val="16"/>
              </w:rPr>
            </w:pPr>
            <w:r>
              <w:rPr>
                <w:rFonts w:eastAsia="Times New Roman"/>
                <w:color w:val="auto"/>
                <w:sz w:val="16"/>
                <w:szCs w:val="16"/>
              </w:rPr>
              <w:t>1</w:t>
            </w:r>
          </w:p>
        </w:tc>
        <w:tc>
          <w:tcPr>
            <w:tcW w:w="1330" w:type="dxa"/>
            <w:tcBorders>
              <w:top w:val="nil"/>
              <w:left w:val="nil"/>
              <w:bottom w:val="single" w:sz="4" w:space="0" w:color="CCCCCC"/>
              <w:right w:val="single" w:sz="4" w:space="0" w:color="CCCCCC"/>
            </w:tcBorders>
            <w:shd w:val="clear" w:color="000000" w:fill="E6F4EA"/>
            <w:noWrap/>
            <w:vAlign w:val="center"/>
            <w:hideMark/>
          </w:tcPr>
          <w:p w14:paraId="3F01D1A2" w14:textId="3C0EBAC6" w:rsidR="00F56AEE" w:rsidRPr="00F56AEE" w:rsidRDefault="00F56AEE" w:rsidP="00F56AEE">
            <w:pPr>
              <w:jc w:val="center"/>
              <w:rPr>
                <w:rFonts w:eastAsia="Times New Roman"/>
                <w:b/>
                <w:bCs/>
                <w:color w:val="1A5C2E"/>
                <w:sz w:val="16"/>
                <w:szCs w:val="16"/>
              </w:rPr>
            </w:pPr>
            <w:r>
              <w:rPr>
                <w:b/>
                <w:bCs/>
                <w:color w:val="1A5C2E"/>
                <w:sz w:val="16"/>
                <w:szCs w:val="16"/>
              </w:rPr>
              <w:t>SEPLAT</w:t>
            </w:r>
          </w:p>
        </w:tc>
        <w:tc>
          <w:tcPr>
            <w:tcW w:w="2980" w:type="dxa"/>
            <w:tcBorders>
              <w:top w:val="nil"/>
              <w:left w:val="nil"/>
              <w:bottom w:val="single" w:sz="4" w:space="0" w:color="CCCCCC"/>
              <w:right w:val="single" w:sz="4" w:space="0" w:color="CCCCCC"/>
            </w:tcBorders>
            <w:shd w:val="clear" w:color="000000" w:fill="E6F4EA"/>
            <w:noWrap/>
            <w:vAlign w:val="center"/>
            <w:hideMark/>
          </w:tcPr>
          <w:p w14:paraId="43D41017" w14:textId="13CFCE2D" w:rsidR="00F56AEE" w:rsidRPr="00F56AEE" w:rsidRDefault="00F56AEE" w:rsidP="00F56AEE">
            <w:pPr>
              <w:rPr>
                <w:rFonts w:eastAsia="Times New Roman"/>
                <w:b/>
                <w:bCs/>
                <w:color w:val="1A5C2E"/>
                <w:sz w:val="16"/>
                <w:szCs w:val="16"/>
              </w:rPr>
            </w:pPr>
            <w:r>
              <w:rPr>
                <w:b/>
                <w:bCs/>
                <w:color w:val="1A5C2E"/>
                <w:sz w:val="16"/>
                <w:szCs w:val="16"/>
              </w:rPr>
              <w:t>SEPLAT ENERGY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397A0CD6" w14:textId="005AEEA8" w:rsidR="00F56AEE" w:rsidRPr="00F56AEE" w:rsidRDefault="00F56AEE" w:rsidP="00F56AEE">
            <w:pPr>
              <w:jc w:val="right"/>
              <w:rPr>
                <w:rFonts w:eastAsia="Times New Roman"/>
                <w:b/>
                <w:bCs/>
                <w:color w:val="1A5C2E"/>
                <w:sz w:val="16"/>
                <w:szCs w:val="16"/>
              </w:rPr>
            </w:pPr>
            <w:r>
              <w:rPr>
                <w:b/>
                <w:bCs/>
                <w:color w:val="1A5C2E"/>
                <w:sz w:val="16"/>
                <w:szCs w:val="16"/>
              </w:rPr>
              <w:t>14,907.80</w:t>
            </w:r>
          </w:p>
        </w:tc>
        <w:tc>
          <w:tcPr>
            <w:tcW w:w="940" w:type="dxa"/>
            <w:tcBorders>
              <w:top w:val="nil"/>
              <w:left w:val="nil"/>
              <w:bottom w:val="single" w:sz="4" w:space="0" w:color="CCCCCC"/>
              <w:right w:val="single" w:sz="4" w:space="0" w:color="CCCCCC"/>
            </w:tcBorders>
            <w:shd w:val="clear" w:color="000000" w:fill="E6F4EA"/>
            <w:noWrap/>
            <w:vAlign w:val="center"/>
            <w:hideMark/>
          </w:tcPr>
          <w:p w14:paraId="1A4B365A" w14:textId="0F242E99" w:rsidR="00F56AEE" w:rsidRPr="00F56AEE" w:rsidRDefault="00F56AEE" w:rsidP="00F56AEE">
            <w:pPr>
              <w:jc w:val="center"/>
              <w:rPr>
                <w:rFonts w:eastAsia="Times New Roman"/>
                <w:b/>
                <w:bCs/>
                <w:color w:val="1A5C2E"/>
                <w:sz w:val="16"/>
                <w:szCs w:val="16"/>
              </w:rPr>
            </w:pPr>
            <w:r>
              <w:rPr>
                <w:b/>
                <w:bCs/>
                <w:color w:val="1A5C2E"/>
                <w:sz w:val="16"/>
                <w:szCs w:val="16"/>
              </w:rPr>
              <w:t>+10.00%</w:t>
            </w:r>
          </w:p>
        </w:tc>
        <w:tc>
          <w:tcPr>
            <w:tcW w:w="1600" w:type="dxa"/>
            <w:tcBorders>
              <w:top w:val="nil"/>
              <w:left w:val="nil"/>
              <w:bottom w:val="single" w:sz="4" w:space="0" w:color="CCCCCC"/>
              <w:right w:val="single" w:sz="4" w:space="0" w:color="CCCCCC"/>
            </w:tcBorders>
            <w:shd w:val="clear" w:color="000000" w:fill="E6F4EA"/>
            <w:noWrap/>
            <w:vAlign w:val="center"/>
            <w:hideMark/>
          </w:tcPr>
          <w:p w14:paraId="5270CE8B" w14:textId="2C55EB59" w:rsidR="00F56AEE" w:rsidRPr="00F56AEE" w:rsidRDefault="00F56AEE" w:rsidP="00F56AEE">
            <w:pPr>
              <w:jc w:val="right"/>
              <w:rPr>
                <w:rFonts w:eastAsia="Times New Roman"/>
                <w:b/>
                <w:bCs/>
                <w:color w:val="1A5C2E"/>
                <w:sz w:val="16"/>
                <w:szCs w:val="16"/>
              </w:rPr>
            </w:pPr>
            <w:r>
              <w:rPr>
                <w:b/>
                <w:bCs/>
                <w:color w:val="1A5C2E"/>
                <w:sz w:val="16"/>
                <w:szCs w:val="16"/>
              </w:rPr>
              <w:t>396,067</w:t>
            </w:r>
          </w:p>
        </w:tc>
        <w:tc>
          <w:tcPr>
            <w:tcW w:w="1360" w:type="dxa"/>
            <w:tcBorders>
              <w:top w:val="nil"/>
              <w:left w:val="nil"/>
              <w:bottom w:val="single" w:sz="4" w:space="0" w:color="CCCCCC"/>
              <w:right w:val="single" w:sz="4" w:space="0" w:color="CCCCCC"/>
            </w:tcBorders>
            <w:shd w:val="clear" w:color="000000" w:fill="E6F4EA"/>
            <w:noWrap/>
            <w:vAlign w:val="center"/>
            <w:hideMark/>
          </w:tcPr>
          <w:p w14:paraId="4CB09F02" w14:textId="65E5881C" w:rsidR="00F56AEE" w:rsidRPr="00F56AEE" w:rsidRDefault="00F56AEE" w:rsidP="00F56AEE">
            <w:pPr>
              <w:jc w:val="right"/>
              <w:rPr>
                <w:rFonts w:eastAsia="Times New Roman"/>
                <w:b/>
                <w:bCs/>
                <w:color w:val="1A5C2E"/>
                <w:sz w:val="16"/>
                <w:szCs w:val="16"/>
              </w:rPr>
            </w:pPr>
            <w:r>
              <w:rPr>
                <w:b/>
                <w:bCs/>
                <w:color w:val="000000"/>
                <w:sz w:val="16"/>
                <w:szCs w:val="16"/>
              </w:rPr>
              <w:t>5,615.6</w:t>
            </w:r>
          </w:p>
        </w:tc>
      </w:tr>
      <w:tr w:rsidR="00F56AEE" w:rsidRPr="009E7A98" w14:paraId="45EA0710" w14:textId="77777777" w:rsidTr="00F56AEE">
        <w:trPr>
          <w:trHeight w:val="32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2235337A" w14:textId="77777777" w:rsidR="00F56AEE" w:rsidRPr="00901E06" w:rsidRDefault="00F56AEE" w:rsidP="00F56AEE">
            <w:pPr>
              <w:jc w:val="center"/>
              <w:rPr>
                <w:rFonts w:eastAsia="Times New Roman"/>
                <w:color w:val="auto"/>
                <w:sz w:val="16"/>
                <w:szCs w:val="16"/>
              </w:rPr>
            </w:pPr>
            <w:r>
              <w:rPr>
                <w:rFonts w:eastAsia="Times New Roman"/>
                <w:color w:val="auto"/>
                <w:sz w:val="16"/>
                <w:szCs w:val="16"/>
              </w:rPr>
              <w:t>2</w:t>
            </w:r>
          </w:p>
        </w:tc>
        <w:tc>
          <w:tcPr>
            <w:tcW w:w="1330" w:type="dxa"/>
            <w:tcBorders>
              <w:top w:val="nil"/>
              <w:left w:val="nil"/>
              <w:bottom w:val="single" w:sz="4" w:space="0" w:color="CCCCCC"/>
              <w:right w:val="single" w:sz="4" w:space="0" w:color="CCCCCC"/>
            </w:tcBorders>
            <w:shd w:val="clear" w:color="000000" w:fill="E6F4EA"/>
            <w:noWrap/>
            <w:vAlign w:val="center"/>
            <w:hideMark/>
          </w:tcPr>
          <w:p w14:paraId="6E048976" w14:textId="6724E312" w:rsidR="00F56AEE" w:rsidRPr="00F56AEE" w:rsidRDefault="00F56AEE" w:rsidP="00F56AEE">
            <w:pPr>
              <w:jc w:val="center"/>
              <w:rPr>
                <w:rFonts w:eastAsia="Times New Roman"/>
                <w:b/>
                <w:bCs/>
                <w:color w:val="1A5C2E"/>
                <w:sz w:val="16"/>
                <w:szCs w:val="16"/>
              </w:rPr>
            </w:pPr>
            <w:r>
              <w:rPr>
                <w:b/>
                <w:bCs/>
                <w:color w:val="1A5C2E"/>
                <w:sz w:val="16"/>
                <w:szCs w:val="16"/>
              </w:rPr>
              <w:t>ELLAHLAKES</w:t>
            </w:r>
          </w:p>
        </w:tc>
        <w:tc>
          <w:tcPr>
            <w:tcW w:w="2980" w:type="dxa"/>
            <w:tcBorders>
              <w:top w:val="nil"/>
              <w:left w:val="nil"/>
              <w:bottom w:val="single" w:sz="4" w:space="0" w:color="CCCCCC"/>
              <w:right w:val="single" w:sz="4" w:space="0" w:color="CCCCCC"/>
            </w:tcBorders>
            <w:shd w:val="clear" w:color="000000" w:fill="E6F4EA"/>
            <w:noWrap/>
            <w:vAlign w:val="center"/>
            <w:hideMark/>
          </w:tcPr>
          <w:p w14:paraId="3F1A7246" w14:textId="5497A094" w:rsidR="00F56AEE" w:rsidRPr="00F56AEE" w:rsidRDefault="00F56AEE" w:rsidP="00F56AEE">
            <w:pPr>
              <w:rPr>
                <w:rFonts w:eastAsia="Times New Roman"/>
                <w:b/>
                <w:bCs/>
                <w:color w:val="1A5C2E"/>
                <w:sz w:val="16"/>
                <w:szCs w:val="16"/>
              </w:rPr>
            </w:pPr>
            <w:r>
              <w:rPr>
                <w:b/>
                <w:bCs/>
                <w:color w:val="1A5C2E"/>
                <w:sz w:val="16"/>
                <w:szCs w:val="16"/>
              </w:rPr>
              <w:t>ELLAH LAKES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749EAB63" w14:textId="697E0FAA" w:rsidR="00F56AEE" w:rsidRPr="00F56AEE" w:rsidRDefault="00F56AEE" w:rsidP="00F56AEE">
            <w:pPr>
              <w:jc w:val="right"/>
              <w:rPr>
                <w:rFonts w:eastAsia="Times New Roman"/>
                <w:b/>
                <w:bCs/>
                <w:color w:val="1A5C2E"/>
                <w:sz w:val="16"/>
                <w:szCs w:val="16"/>
              </w:rPr>
            </w:pPr>
            <w:r>
              <w:rPr>
                <w:b/>
                <w:bCs/>
                <w:color w:val="1A5C2E"/>
                <w:sz w:val="16"/>
                <w:szCs w:val="16"/>
              </w:rPr>
              <w:t>9.50</w:t>
            </w:r>
          </w:p>
        </w:tc>
        <w:tc>
          <w:tcPr>
            <w:tcW w:w="940" w:type="dxa"/>
            <w:tcBorders>
              <w:top w:val="nil"/>
              <w:left w:val="nil"/>
              <w:bottom w:val="single" w:sz="4" w:space="0" w:color="CCCCCC"/>
              <w:right w:val="single" w:sz="4" w:space="0" w:color="CCCCCC"/>
            </w:tcBorders>
            <w:shd w:val="clear" w:color="000000" w:fill="E6F4EA"/>
            <w:noWrap/>
            <w:vAlign w:val="center"/>
            <w:hideMark/>
          </w:tcPr>
          <w:p w14:paraId="0621EB81" w14:textId="40575745" w:rsidR="00F56AEE" w:rsidRPr="00F56AEE" w:rsidRDefault="00F56AEE" w:rsidP="00F56AEE">
            <w:pPr>
              <w:jc w:val="center"/>
              <w:rPr>
                <w:rFonts w:eastAsia="Times New Roman"/>
                <w:b/>
                <w:bCs/>
                <w:color w:val="1A5C2E"/>
                <w:sz w:val="16"/>
                <w:szCs w:val="16"/>
              </w:rPr>
            </w:pPr>
            <w:r>
              <w:rPr>
                <w:b/>
                <w:bCs/>
                <w:color w:val="1A5C2E"/>
                <w:sz w:val="16"/>
                <w:szCs w:val="16"/>
              </w:rPr>
              <w:t>+5.56%</w:t>
            </w:r>
          </w:p>
        </w:tc>
        <w:tc>
          <w:tcPr>
            <w:tcW w:w="1600" w:type="dxa"/>
            <w:tcBorders>
              <w:top w:val="nil"/>
              <w:left w:val="nil"/>
              <w:bottom w:val="single" w:sz="4" w:space="0" w:color="CCCCCC"/>
              <w:right w:val="single" w:sz="4" w:space="0" w:color="CCCCCC"/>
            </w:tcBorders>
            <w:shd w:val="clear" w:color="000000" w:fill="E6F4EA"/>
            <w:noWrap/>
            <w:vAlign w:val="center"/>
            <w:hideMark/>
          </w:tcPr>
          <w:p w14:paraId="5E547520" w14:textId="4AF7E70F" w:rsidR="00F56AEE" w:rsidRPr="00F56AEE" w:rsidRDefault="00F56AEE" w:rsidP="00F56AEE">
            <w:pPr>
              <w:jc w:val="right"/>
              <w:rPr>
                <w:rFonts w:eastAsia="Times New Roman"/>
                <w:b/>
                <w:bCs/>
                <w:color w:val="1A5C2E"/>
                <w:sz w:val="16"/>
                <w:szCs w:val="16"/>
              </w:rPr>
            </w:pPr>
            <w:r>
              <w:rPr>
                <w:b/>
                <w:bCs/>
                <w:color w:val="1A5C2E"/>
                <w:sz w:val="16"/>
                <w:szCs w:val="16"/>
              </w:rPr>
              <w:t>34,035,541</w:t>
            </w:r>
          </w:p>
        </w:tc>
        <w:tc>
          <w:tcPr>
            <w:tcW w:w="1360" w:type="dxa"/>
            <w:tcBorders>
              <w:top w:val="nil"/>
              <w:left w:val="nil"/>
              <w:bottom w:val="single" w:sz="4" w:space="0" w:color="CCCCCC"/>
              <w:right w:val="single" w:sz="4" w:space="0" w:color="CCCCCC"/>
            </w:tcBorders>
            <w:shd w:val="clear" w:color="000000" w:fill="E6F4EA"/>
            <w:noWrap/>
            <w:vAlign w:val="center"/>
            <w:hideMark/>
          </w:tcPr>
          <w:p w14:paraId="691E2E7B" w14:textId="68A75A7C" w:rsidR="00F56AEE" w:rsidRPr="00F56AEE" w:rsidRDefault="00F56AEE" w:rsidP="00F56AEE">
            <w:pPr>
              <w:jc w:val="right"/>
              <w:rPr>
                <w:rFonts w:eastAsia="Times New Roman"/>
                <w:b/>
                <w:bCs/>
                <w:color w:val="1A5C2E"/>
                <w:sz w:val="16"/>
                <w:szCs w:val="16"/>
              </w:rPr>
            </w:pPr>
            <w:r>
              <w:rPr>
                <w:b/>
                <w:bCs/>
                <w:color w:val="FFFFFF"/>
                <w:sz w:val="16"/>
                <w:szCs w:val="16"/>
              </w:rPr>
              <w:t>327.0</w:t>
            </w:r>
          </w:p>
        </w:tc>
      </w:tr>
      <w:tr w:rsidR="00F56AEE" w:rsidRPr="009E7A98" w14:paraId="64E93BCC"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3E1DDD9C" w14:textId="77777777" w:rsidR="00F56AEE" w:rsidRPr="00901E06" w:rsidRDefault="00F56AEE" w:rsidP="00F56AEE">
            <w:pPr>
              <w:jc w:val="center"/>
              <w:rPr>
                <w:rFonts w:eastAsia="Times New Roman"/>
                <w:color w:val="auto"/>
                <w:sz w:val="16"/>
                <w:szCs w:val="16"/>
              </w:rPr>
            </w:pPr>
            <w:r>
              <w:rPr>
                <w:rFonts w:eastAsia="Times New Roman"/>
                <w:color w:val="auto"/>
                <w:sz w:val="16"/>
                <w:szCs w:val="16"/>
              </w:rPr>
              <w:t>3</w:t>
            </w:r>
          </w:p>
        </w:tc>
        <w:tc>
          <w:tcPr>
            <w:tcW w:w="1330" w:type="dxa"/>
            <w:tcBorders>
              <w:top w:val="nil"/>
              <w:left w:val="nil"/>
              <w:bottom w:val="single" w:sz="4" w:space="0" w:color="CCCCCC"/>
              <w:right w:val="single" w:sz="4" w:space="0" w:color="CCCCCC"/>
            </w:tcBorders>
            <w:shd w:val="clear" w:color="000000" w:fill="E6F4EA"/>
            <w:noWrap/>
            <w:vAlign w:val="center"/>
            <w:hideMark/>
          </w:tcPr>
          <w:p w14:paraId="1ACB799F" w14:textId="0052244B" w:rsidR="00F56AEE" w:rsidRPr="00F56AEE" w:rsidRDefault="00F56AEE" w:rsidP="00F56AEE">
            <w:pPr>
              <w:jc w:val="center"/>
              <w:rPr>
                <w:rFonts w:eastAsia="Times New Roman"/>
                <w:b/>
                <w:bCs/>
                <w:color w:val="1A5C2E"/>
                <w:sz w:val="16"/>
                <w:szCs w:val="16"/>
              </w:rPr>
            </w:pPr>
            <w:r>
              <w:rPr>
                <w:b/>
                <w:bCs/>
                <w:color w:val="1A5C2E"/>
                <w:sz w:val="16"/>
                <w:szCs w:val="16"/>
              </w:rPr>
              <w:t>NGXGROUP</w:t>
            </w:r>
          </w:p>
        </w:tc>
        <w:tc>
          <w:tcPr>
            <w:tcW w:w="2980" w:type="dxa"/>
            <w:tcBorders>
              <w:top w:val="nil"/>
              <w:left w:val="nil"/>
              <w:bottom w:val="single" w:sz="4" w:space="0" w:color="CCCCCC"/>
              <w:right w:val="single" w:sz="4" w:space="0" w:color="CCCCCC"/>
            </w:tcBorders>
            <w:shd w:val="clear" w:color="000000" w:fill="E6F4EA"/>
            <w:noWrap/>
            <w:vAlign w:val="center"/>
            <w:hideMark/>
          </w:tcPr>
          <w:p w14:paraId="0B059B56" w14:textId="427E7404" w:rsidR="00F56AEE" w:rsidRPr="00F56AEE" w:rsidRDefault="00F56AEE" w:rsidP="00F56AEE">
            <w:pPr>
              <w:rPr>
                <w:rFonts w:eastAsia="Times New Roman"/>
                <w:b/>
                <w:bCs/>
                <w:color w:val="1A5C2E"/>
                <w:sz w:val="16"/>
                <w:szCs w:val="16"/>
              </w:rPr>
            </w:pPr>
            <w:r>
              <w:rPr>
                <w:b/>
                <w:bCs/>
                <w:color w:val="1A5C2E"/>
                <w:sz w:val="16"/>
                <w:szCs w:val="16"/>
              </w:rPr>
              <w:t>NIGERIAN EXCHANGE GROUP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7124EC29" w14:textId="0CEE136B" w:rsidR="00F56AEE" w:rsidRPr="00F56AEE" w:rsidRDefault="00F56AEE" w:rsidP="00F56AEE">
            <w:pPr>
              <w:jc w:val="right"/>
              <w:rPr>
                <w:rFonts w:eastAsia="Times New Roman"/>
                <w:b/>
                <w:bCs/>
                <w:color w:val="1A5C2E"/>
                <w:sz w:val="16"/>
                <w:szCs w:val="16"/>
              </w:rPr>
            </w:pPr>
            <w:r>
              <w:rPr>
                <w:b/>
                <w:bCs/>
                <w:color w:val="1A5C2E"/>
                <w:sz w:val="16"/>
                <w:szCs w:val="16"/>
              </w:rPr>
              <w:t>137.00</w:t>
            </w:r>
          </w:p>
        </w:tc>
        <w:tc>
          <w:tcPr>
            <w:tcW w:w="940" w:type="dxa"/>
            <w:tcBorders>
              <w:top w:val="nil"/>
              <w:left w:val="nil"/>
              <w:bottom w:val="single" w:sz="4" w:space="0" w:color="CCCCCC"/>
              <w:right w:val="single" w:sz="4" w:space="0" w:color="CCCCCC"/>
            </w:tcBorders>
            <w:shd w:val="clear" w:color="000000" w:fill="E6F4EA"/>
            <w:noWrap/>
            <w:vAlign w:val="center"/>
            <w:hideMark/>
          </w:tcPr>
          <w:p w14:paraId="3084CA65" w14:textId="521B4B58" w:rsidR="00F56AEE" w:rsidRPr="00F56AEE" w:rsidRDefault="00F56AEE" w:rsidP="00F56AEE">
            <w:pPr>
              <w:jc w:val="center"/>
              <w:rPr>
                <w:rFonts w:eastAsia="Times New Roman"/>
                <w:b/>
                <w:bCs/>
                <w:color w:val="1A5C2E"/>
                <w:sz w:val="16"/>
                <w:szCs w:val="16"/>
              </w:rPr>
            </w:pPr>
            <w:r>
              <w:rPr>
                <w:b/>
                <w:bCs/>
                <w:color w:val="1A5C2E"/>
                <w:sz w:val="16"/>
                <w:szCs w:val="16"/>
              </w:rPr>
              <w:t>+5.38%</w:t>
            </w:r>
          </w:p>
        </w:tc>
        <w:tc>
          <w:tcPr>
            <w:tcW w:w="1600" w:type="dxa"/>
            <w:tcBorders>
              <w:top w:val="nil"/>
              <w:left w:val="nil"/>
              <w:bottom w:val="single" w:sz="4" w:space="0" w:color="CCCCCC"/>
              <w:right w:val="single" w:sz="4" w:space="0" w:color="CCCCCC"/>
            </w:tcBorders>
            <w:shd w:val="clear" w:color="000000" w:fill="E6F4EA"/>
            <w:noWrap/>
            <w:vAlign w:val="center"/>
            <w:hideMark/>
          </w:tcPr>
          <w:p w14:paraId="715554F0" w14:textId="678F9328" w:rsidR="00F56AEE" w:rsidRPr="00F56AEE" w:rsidRDefault="00F56AEE" w:rsidP="00F56AEE">
            <w:pPr>
              <w:jc w:val="right"/>
              <w:rPr>
                <w:rFonts w:eastAsia="Times New Roman"/>
                <w:b/>
                <w:bCs/>
                <w:color w:val="1A5C2E"/>
                <w:sz w:val="16"/>
                <w:szCs w:val="16"/>
              </w:rPr>
            </w:pPr>
            <w:r>
              <w:rPr>
                <w:b/>
                <w:bCs/>
                <w:color w:val="1A5C2E"/>
                <w:sz w:val="16"/>
                <w:szCs w:val="16"/>
              </w:rPr>
              <w:t>17,841,936</w:t>
            </w:r>
          </w:p>
        </w:tc>
        <w:tc>
          <w:tcPr>
            <w:tcW w:w="1360" w:type="dxa"/>
            <w:tcBorders>
              <w:top w:val="nil"/>
              <w:left w:val="nil"/>
              <w:bottom w:val="single" w:sz="4" w:space="0" w:color="CCCCCC"/>
              <w:right w:val="single" w:sz="4" w:space="0" w:color="CCCCCC"/>
            </w:tcBorders>
            <w:shd w:val="clear" w:color="000000" w:fill="E6F4EA"/>
            <w:noWrap/>
            <w:vAlign w:val="center"/>
            <w:hideMark/>
          </w:tcPr>
          <w:p w14:paraId="71A869A1" w14:textId="3D2D442E" w:rsidR="00F56AEE" w:rsidRPr="00F56AEE" w:rsidRDefault="00F56AEE" w:rsidP="00F56AEE">
            <w:pPr>
              <w:jc w:val="right"/>
              <w:rPr>
                <w:rFonts w:eastAsia="Times New Roman"/>
                <w:b/>
                <w:bCs/>
                <w:color w:val="1A5C2E"/>
                <w:sz w:val="16"/>
                <w:szCs w:val="16"/>
              </w:rPr>
            </w:pPr>
            <w:r>
              <w:rPr>
                <w:b/>
                <w:bCs/>
                <w:color w:val="404040"/>
                <w:sz w:val="16"/>
                <w:szCs w:val="16"/>
              </w:rPr>
              <w:t>2,359.7</w:t>
            </w:r>
          </w:p>
        </w:tc>
      </w:tr>
      <w:tr w:rsidR="00F56AEE" w:rsidRPr="009E7A98" w14:paraId="1C3F205A"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62A7FA1E" w14:textId="77777777" w:rsidR="00F56AEE" w:rsidRPr="00901E06" w:rsidRDefault="00F56AEE" w:rsidP="00F56AEE">
            <w:pPr>
              <w:jc w:val="center"/>
              <w:rPr>
                <w:rFonts w:eastAsia="Times New Roman"/>
                <w:color w:val="auto"/>
                <w:sz w:val="16"/>
                <w:szCs w:val="16"/>
              </w:rPr>
            </w:pPr>
            <w:r>
              <w:rPr>
                <w:rFonts w:eastAsia="Times New Roman"/>
                <w:color w:val="auto"/>
                <w:sz w:val="16"/>
                <w:szCs w:val="16"/>
              </w:rPr>
              <w:t>4</w:t>
            </w:r>
          </w:p>
        </w:tc>
        <w:tc>
          <w:tcPr>
            <w:tcW w:w="1330" w:type="dxa"/>
            <w:tcBorders>
              <w:top w:val="nil"/>
              <w:left w:val="nil"/>
              <w:bottom w:val="single" w:sz="4" w:space="0" w:color="CCCCCC"/>
              <w:right w:val="single" w:sz="4" w:space="0" w:color="CCCCCC"/>
            </w:tcBorders>
            <w:shd w:val="clear" w:color="000000" w:fill="E6F4EA"/>
            <w:noWrap/>
            <w:vAlign w:val="center"/>
            <w:hideMark/>
          </w:tcPr>
          <w:p w14:paraId="61333826" w14:textId="0CFBB706" w:rsidR="00F56AEE" w:rsidRPr="00F56AEE" w:rsidRDefault="00F56AEE" w:rsidP="00F56AEE">
            <w:pPr>
              <w:jc w:val="center"/>
              <w:rPr>
                <w:rFonts w:eastAsia="Times New Roman"/>
                <w:b/>
                <w:bCs/>
                <w:color w:val="1A5C2E"/>
                <w:sz w:val="16"/>
                <w:szCs w:val="16"/>
              </w:rPr>
            </w:pPr>
            <w:r>
              <w:rPr>
                <w:b/>
                <w:bCs/>
                <w:color w:val="1A5C2E"/>
                <w:sz w:val="16"/>
                <w:szCs w:val="16"/>
              </w:rPr>
              <w:t>IKEJAHOTEL</w:t>
            </w:r>
          </w:p>
        </w:tc>
        <w:tc>
          <w:tcPr>
            <w:tcW w:w="2980" w:type="dxa"/>
            <w:tcBorders>
              <w:top w:val="nil"/>
              <w:left w:val="nil"/>
              <w:bottom w:val="single" w:sz="4" w:space="0" w:color="CCCCCC"/>
              <w:right w:val="single" w:sz="4" w:space="0" w:color="CCCCCC"/>
            </w:tcBorders>
            <w:shd w:val="clear" w:color="000000" w:fill="E6F4EA"/>
            <w:noWrap/>
            <w:vAlign w:val="center"/>
            <w:hideMark/>
          </w:tcPr>
          <w:p w14:paraId="04FDEF30" w14:textId="02BE5766" w:rsidR="00F56AEE" w:rsidRPr="00F56AEE" w:rsidRDefault="00F56AEE" w:rsidP="00F56AEE">
            <w:pPr>
              <w:rPr>
                <w:rFonts w:eastAsia="Times New Roman"/>
                <w:b/>
                <w:bCs/>
                <w:color w:val="1A5C2E"/>
                <w:sz w:val="16"/>
                <w:szCs w:val="16"/>
              </w:rPr>
            </w:pPr>
            <w:r>
              <w:rPr>
                <w:b/>
                <w:bCs/>
                <w:color w:val="1A5C2E"/>
                <w:sz w:val="16"/>
                <w:szCs w:val="16"/>
              </w:rPr>
              <w:t>IKEJA HOTELS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1CCDAEB3" w14:textId="3363C271" w:rsidR="00F56AEE" w:rsidRPr="00F56AEE" w:rsidRDefault="00F56AEE" w:rsidP="00F56AEE">
            <w:pPr>
              <w:jc w:val="right"/>
              <w:rPr>
                <w:rFonts w:eastAsia="Times New Roman"/>
                <w:b/>
                <w:bCs/>
                <w:color w:val="1A5C2E"/>
                <w:sz w:val="16"/>
                <w:szCs w:val="16"/>
              </w:rPr>
            </w:pPr>
            <w:r>
              <w:rPr>
                <w:b/>
                <w:bCs/>
                <w:color w:val="1A5C2E"/>
                <w:sz w:val="16"/>
                <w:szCs w:val="16"/>
              </w:rPr>
              <w:t>44.50</w:t>
            </w:r>
          </w:p>
        </w:tc>
        <w:tc>
          <w:tcPr>
            <w:tcW w:w="940" w:type="dxa"/>
            <w:tcBorders>
              <w:top w:val="nil"/>
              <w:left w:val="nil"/>
              <w:bottom w:val="single" w:sz="4" w:space="0" w:color="CCCCCC"/>
              <w:right w:val="single" w:sz="4" w:space="0" w:color="CCCCCC"/>
            </w:tcBorders>
            <w:shd w:val="clear" w:color="000000" w:fill="E6F4EA"/>
            <w:noWrap/>
            <w:vAlign w:val="center"/>
            <w:hideMark/>
          </w:tcPr>
          <w:p w14:paraId="19B3CD97" w14:textId="1DC81BCE" w:rsidR="00F56AEE" w:rsidRPr="00F56AEE" w:rsidRDefault="00F56AEE" w:rsidP="00F56AEE">
            <w:pPr>
              <w:jc w:val="center"/>
              <w:rPr>
                <w:rFonts w:eastAsia="Times New Roman"/>
                <w:b/>
                <w:bCs/>
                <w:color w:val="1A5C2E"/>
                <w:sz w:val="16"/>
                <w:szCs w:val="16"/>
              </w:rPr>
            </w:pPr>
            <w:r>
              <w:rPr>
                <w:b/>
                <w:bCs/>
                <w:color w:val="1A5C2E"/>
                <w:sz w:val="16"/>
                <w:szCs w:val="16"/>
              </w:rPr>
              <w:t>+4.58%</w:t>
            </w:r>
          </w:p>
        </w:tc>
        <w:tc>
          <w:tcPr>
            <w:tcW w:w="1600" w:type="dxa"/>
            <w:tcBorders>
              <w:top w:val="nil"/>
              <w:left w:val="nil"/>
              <w:bottom w:val="single" w:sz="4" w:space="0" w:color="CCCCCC"/>
              <w:right w:val="single" w:sz="4" w:space="0" w:color="CCCCCC"/>
            </w:tcBorders>
            <w:shd w:val="clear" w:color="000000" w:fill="E6F4EA"/>
            <w:noWrap/>
            <w:vAlign w:val="center"/>
            <w:hideMark/>
          </w:tcPr>
          <w:p w14:paraId="21E2D50D" w14:textId="36E6D1BE" w:rsidR="00F56AEE" w:rsidRPr="00F56AEE" w:rsidRDefault="00F56AEE" w:rsidP="00F56AEE">
            <w:pPr>
              <w:jc w:val="right"/>
              <w:rPr>
                <w:rFonts w:eastAsia="Times New Roman"/>
                <w:b/>
                <w:bCs/>
                <w:color w:val="1A5C2E"/>
                <w:sz w:val="16"/>
                <w:szCs w:val="16"/>
              </w:rPr>
            </w:pPr>
            <w:r>
              <w:rPr>
                <w:b/>
                <w:bCs/>
                <w:color w:val="1A5C2E"/>
                <w:sz w:val="16"/>
                <w:szCs w:val="16"/>
              </w:rPr>
              <w:t>2,337,326</w:t>
            </w:r>
          </w:p>
        </w:tc>
        <w:tc>
          <w:tcPr>
            <w:tcW w:w="1360" w:type="dxa"/>
            <w:tcBorders>
              <w:top w:val="nil"/>
              <w:left w:val="nil"/>
              <w:bottom w:val="single" w:sz="4" w:space="0" w:color="CCCCCC"/>
              <w:right w:val="single" w:sz="4" w:space="0" w:color="CCCCCC"/>
            </w:tcBorders>
            <w:shd w:val="clear" w:color="000000" w:fill="E6F4EA"/>
            <w:noWrap/>
            <w:vAlign w:val="center"/>
            <w:hideMark/>
          </w:tcPr>
          <w:p w14:paraId="16141A3C" w14:textId="0A6B9AEC" w:rsidR="00F56AEE" w:rsidRPr="00F56AEE" w:rsidRDefault="00F56AEE" w:rsidP="00F56AEE">
            <w:pPr>
              <w:jc w:val="right"/>
              <w:rPr>
                <w:rFonts w:eastAsia="Times New Roman"/>
                <w:b/>
                <w:bCs/>
                <w:color w:val="1A5C2E"/>
                <w:sz w:val="16"/>
                <w:szCs w:val="16"/>
              </w:rPr>
            </w:pPr>
            <w:r>
              <w:rPr>
                <w:b/>
                <w:bCs/>
                <w:color w:val="404040"/>
                <w:sz w:val="16"/>
                <w:szCs w:val="16"/>
              </w:rPr>
              <w:t>102.3</w:t>
            </w:r>
          </w:p>
        </w:tc>
      </w:tr>
      <w:tr w:rsidR="00F56AEE" w:rsidRPr="009E7A98" w14:paraId="73362F94" w14:textId="77777777" w:rsidTr="00F56AEE">
        <w:trPr>
          <w:trHeight w:val="44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3CC8EB25" w14:textId="77777777" w:rsidR="00F56AEE" w:rsidRPr="00901E06" w:rsidRDefault="00F56AEE" w:rsidP="00F56AEE">
            <w:pPr>
              <w:jc w:val="center"/>
              <w:rPr>
                <w:rFonts w:eastAsia="Times New Roman"/>
                <w:color w:val="auto"/>
                <w:sz w:val="16"/>
                <w:szCs w:val="16"/>
              </w:rPr>
            </w:pPr>
            <w:r>
              <w:rPr>
                <w:rFonts w:eastAsia="Times New Roman"/>
                <w:color w:val="auto"/>
                <w:sz w:val="16"/>
                <w:szCs w:val="16"/>
              </w:rPr>
              <w:t>5</w:t>
            </w:r>
          </w:p>
        </w:tc>
        <w:tc>
          <w:tcPr>
            <w:tcW w:w="1330" w:type="dxa"/>
            <w:tcBorders>
              <w:top w:val="nil"/>
              <w:left w:val="nil"/>
              <w:bottom w:val="single" w:sz="4" w:space="0" w:color="CCCCCC"/>
              <w:right w:val="single" w:sz="4" w:space="0" w:color="CCCCCC"/>
            </w:tcBorders>
            <w:shd w:val="clear" w:color="000000" w:fill="E6F4EA"/>
            <w:noWrap/>
            <w:vAlign w:val="center"/>
            <w:hideMark/>
          </w:tcPr>
          <w:p w14:paraId="02F1CB1A" w14:textId="244A5444" w:rsidR="00F56AEE" w:rsidRPr="00F56AEE" w:rsidRDefault="00F56AEE" w:rsidP="00F56AEE">
            <w:pPr>
              <w:jc w:val="center"/>
              <w:rPr>
                <w:rFonts w:eastAsia="Times New Roman"/>
                <w:b/>
                <w:bCs/>
                <w:color w:val="1A5C2E"/>
                <w:sz w:val="16"/>
                <w:szCs w:val="16"/>
              </w:rPr>
            </w:pPr>
            <w:r>
              <w:rPr>
                <w:b/>
                <w:bCs/>
                <w:color w:val="1A5C2E"/>
                <w:sz w:val="16"/>
                <w:szCs w:val="16"/>
              </w:rPr>
              <w:t>GREENWETF</w:t>
            </w:r>
          </w:p>
        </w:tc>
        <w:tc>
          <w:tcPr>
            <w:tcW w:w="2980" w:type="dxa"/>
            <w:tcBorders>
              <w:top w:val="nil"/>
              <w:left w:val="nil"/>
              <w:bottom w:val="single" w:sz="4" w:space="0" w:color="CCCCCC"/>
              <w:right w:val="single" w:sz="4" w:space="0" w:color="CCCCCC"/>
            </w:tcBorders>
            <w:shd w:val="clear" w:color="000000" w:fill="E6F4EA"/>
            <w:noWrap/>
            <w:vAlign w:val="center"/>
            <w:hideMark/>
          </w:tcPr>
          <w:p w14:paraId="11096410" w14:textId="62999E83" w:rsidR="00F56AEE" w:rsidRPr="00F56AEE" w:rsidRDefault="00F56AEE" w:rsidP="00F56AEE">
            <w:pPr>
              <w:rPr>
                <w:rFonts w:eastAsia="Times New Roman"/>
                <w:b/>
                <w:bCs/>
                <w:color w:val="1A5C2E"/>
                <w:sz w:val="16"/>
                <w:szCs w:val="16"/>
              </w:rPr>
            </w:pPr>
            <w:r>
              <w:rPr>
                <w:b/>
                <w:bCs/>
                <w:color w:val="1A5C2E"/>
                <w:sz w:val="16"/>
                <w:szCs w:val="16"/>
              </w:rPr>
              <w:t>GREENWICH ASSET ETF</w:t>
            </w:r>
          </w:p>
        </w:tc>
        <w:tc>
          <w:tcPr>
            <w:tcW w:w="1080" w:type="dxa"/>
            <w:tcBorders>
              <w:top w:val="nil"/>
              <w:left w:val="nil"/>
              <w:bottom w:val="single" w:sz="4" w:space="0" w:color="CCCCCC"/>
              <w:right w:val="single" w:sz="4" w:space="0" w:color="CCCCCC"/>
            </w:tcBorders>
            <w:shd w:val="clear" w:color="000000" w:fill="E6F4EA"/>
            <w:noWrap/>
            <w:vAlign w:val="center"/>
            <w:hideMark/>
          </w:tcPr>
          <w:p w14:paraId="30507576" w14:textId="7EFBE44B" w:rsidR="00F56AEE" w:rsidRPr="00F56AEE" w:rsidRDefault="00F56AEE" w:rsidP="00F56AEE">
            <w:pPr>
              <w:jc w:val="right"/>
              <w:rPr>
                <w:rFonts w:eastAsia="Times New Roman"/>
                <w:b/>
                <w:bCs/>
                <w:color w:val="1A5C2E"/>
                <w:sz w:val="16"/>
                <w:szCs w:val="16"/>
              </w:rPr>
            </w:pPr>
            <w:r>
              <w:rPr>
                <w:b/>
                <w:bCs/>
                <w:color w:val="1A5C2E"/>
                <w:sz w:val="16"/>
                <w:szCs w:val="16"/>
              </w:rPr>
              <w:t>757.85</w:t>
            </w:r>
          </w:p>
        </w:tc>
        <w:tc>
          <w:tcPr>
            <w:tcW w:w="940" w:type="dxa"/>
            <w:tcBorders>
              <w:top w:val="nil"/>
              <w:left w:val="nil"/>
              <w:bottom w:val="single" w:sz="4" w:space="0" w:color="CCCCCC"/>
              <w:right w:val="single" w:sz="4" w:space="0" w:color="CCCCCC"/>
            </w:tcBorders>
            <w:shd w:val="clear" w:color="000000" w:fill="E6F4EA"/>
            <w:noWrap/>
            <w:vAlign w:val="center"/>
            <w:hideMark/>
          </w:tcPr>
          <w:p w14:paraId="19B6EA77" w14:textId="517EECD5" w:rsidR="00F56AEE" w:rsidRPr="00F56AEE" w:rsidRDefault="00F56AEE" w:rsidP="00F56AEE">
            <w:pPr>
              <w:jc w:val="center"/>
              <w:rPr>
                <w:rFonts w:eastAsia="Times New Roman"/>
                <w:b/>
                <w:bCs/>
                <w:color w:val="1A5C2E"/>
                <w:sz w:val="16"/>
                <w:szCs w:val="16"/>
              </w:rPr>
            </w:pPr>
            <w:r>
              <w:rPr>
                <w:b/>
                <w:bCs/>
                <w:color w:val="1A5C2E"/>
                <w:sz w:val="16"/>
                <w:szCs w:val="16"/>
              </w:rPr>
              <w:t>+4.09%</w:t>
            </w:r>
          </w:p>
        </w:tc>
        <w:tc>
          <w:tcPr>
            <w:tcW w:w="1600" w:type="dxa"/>
            <w:tcBorders>
              <w:top w:val="nil"/>
              <w:left w:val="nil"/>
              <w:bottom w:val="single" w:sz="4" w:space="0" w:color="CCCCCC"/>
              <w:right w:val="single" w:sz="4" w:space="0" w:color="CCCCCC"/>
            </w:tcBorders>
            <w:shd w:val="clear" w:color="000000" w:fill="E6F4EA"/>
            <w:noWrap/>
            <w:vAlign w:val="center"/>
            <w:hideMark/>
          </w:tcPr>
          <w:p w14:paraId="194D8C5B" w14:textId="67571209" w:rsidR="00F56AEE" w:rsidRPr="00F56AEE" w:rsidRDefault="00F56AEE" w:rsidP="00F56AEE">
            <w:pPr>
              <w:jc w:val="right"/>
              <w:rPr>
                <w:rFonts w:eastAsia="Times New Roman"/>
                <w:b/>
                <w:bCs/>
                <w:color w:val="1A5C2E"/>
                <w:sz w:val="16"/>
                <w:szCs w:val="16"/>
              </w:rPr>
            </w:pPr>
            <w:r>
              <w:rPr>
                <w:b/>
                <w:bCs/>
                <w:color w:val="1A5C2E"/>
                <w:sz w:val="16"/>
                <w:szCs w:val="16"/>
              </w:rPr>
              <w:t>11,328</w:t>
            </w:r>
          </w:p>
        </w:tc>
        <w:tc>
          <w:tcPr>
            <w:tcW w:w="1360" w:type="dxa"/>
            <w:tcBorders>
              <w:top w:val="nil"/>
              <w:left w:val="nil"/>
              <w:bottom w:val="single" w:sz="4" w:space="0" w:color="CCCCCC"/>
              <w:right w:val="single" w:sz="4" w:space="0" w:color="CCCCCC"/>
            </w:tcBorders>
            <w:shd w:val="clear" w:color="000000" w:fill="E6F4EA"/>
            <w:noWrap/>
            <w:vAlign w:val="center"/>
            <w:hideMark/>
          </w:tcPr>
          <w:p w14:paraId="4F0E5094" w14:textId="67DF6566" w:rsidR="00F56AEE" w:rsidRPr="00F56AEE" w:rsidRDefault="00F56AEE" w:rsidP="00F56AEE">
            <w:pPr>
              <w:jc w:val="right"/>
              <w:rPr>
                <w:rFonts w:eastAsia="Times New Roman"/>
                <w:b/>
                <w:bCs/>
                <w:color w:val="1A5C2E"/>
                <w:sz w:val="16"/>
                <w:szCs w:val="16"/>
              </w:rPr>
            </w:pPr>
            <w:r>
              <w:rPr>
                <w:b/>
                <w:bCs/>
                <w:color w:val="000000"/>
                <w:sz w:val="16"/>
                <w:szCs w:val="16"/>
              </w:rPr>
              <w:t>8.2</w:t>
            </w:r>
          </w:p>
        </w:tc>
      </w:tr>
      <w:tr w:rsidR="00F56AEE" w:rsidRPr="009E7A98" w14:paraId="3881AD2B" w14:textId="77777777" w:rsidTr="00F56AEE">
        <w:trPr>
          <w:trHeight w:val="32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7674B1F7" w14:textId="77777777" w:rsidR="00F56AEE" w:rsidRPr="00901E06" w:rsidRDefault="00F56AEE" w:rsidP="00F56AEE">
            <w:pPr>
              <w:jc w:val="center"/>
              <w:rPr>
                <w:rFonts w:eastAsia="Times New Roman"/>
                <w:color w:val="auto"/>
                <w:sz w:val="16"/>
                <w:szCs w:val="16"/>
              </w:rPr>
            </w:pPr>
            <w:r>
              <w:rPr>
                <w:rFonts w:eastAsia="Times New Roman"/>
                <w:color w:val="auto"/>
                <w:sz w:val="16"/>
                <w:szCs w:val="16"/>
              </w:rPr>
              <w:t>6</w:t>
            </w:r>
          </w:p>
        </w:tc>
        <w:tc>
          <w:tcPr>
            <w:tcW w:w="1330" w:type="dxa"/>
            <w:tcBorders>
              <w:top w:val="nil"/>
              <w:left w:val="nil"/>
              <w:bottom w:val="single" w:sz="4" w:space="0" w:color="CCCCCC"/>
              <w:right w:val="single" w:sz="4" w:space="0" w:color="CCCCCC"/>
            </w:tcBorders>
            <w:shd w:val="clear" w:color="000000" w:fill="E6F4EA"/>
            <w:noWrap/>
            <w:vAlign w:val="center"/>
            <w:hideMark/>
          </w:tcPr>
          <w:p w14:paraId="75DC495D" w14:textId="79B55AFD" w:rsidR="00F56AEE" w:rsidRPr="00F56AEE" w:rsidRDefault="00F56AEE" w:rsidP="00F56AEE">
            <w:pPr>
              <w:jc w:val="center"/>
              <w:rPr>
                <w:rFonts w:eastAsia="Times New Roman"/>
                <w:b/>
                <w:bCs/>
                <w:color w:val="1A5C2E"/>
                <w:sz w:val="16"/>
                <w:szCs w:val="16"/>
              </w:rPr>
            </w:pPr>
            <w:r>
              <w:rPr>
                <w:b/>
                <w:bCs/>
                <w:color w:val="1A5C2E"/>
                <w:sz w:val="16"/>
                <w:szCs w:val="16"/>
              </w:rPr>
              <w:t>LEARNAFRCA</w:t>
            </w:r>
          </w:p>
        </w:tc>
        <w:tc>
          <w:tcPr>
            <w:tcW w:w="2980" w:type="dxa"/>
            <w:tcBorders>
              <w:top w:val="nil"/>
              <w:left w:val="nil"/>
              <w:bottom w:val="single" w:sz="4" w:space="0" w:color="CCCCCC"/>
              <w:right w:val="single" w:sz="4" w:space="0" w:color="CCCCCC"/>
            </w:tcBorders>
            <w:shd w:val="clear" w:color="000000" w:fill="E6F4EA"/>
            <w:noWrap/>
            <w:vAlign w:val="center"/>
            <w:hideMark/>
          </w:tcPr>
          <w:p w14:paraId="1EF75FB6" w14:textId="22085CC8" w:rsidR="00F56AEE" w:rsidRPr="00F56AEE" w:rsidRDefault="00F56AEE" w:rsidP="00F56AEE">
            <w:pPr>
              <w:rPr>
                <w:rFonts w:eastAsia="Times New Roman"/>
                <w:b/>
                <w:bCs/>
                <w:color w:val="1A5C2E"/>
                <w:sz w:val="16"/>
                <w:szCs w:val="16"/>
              </w:rPr>
            </w:pPr>
            <w:r>
              <w:rPr>
                <w:b/>
                <w:bCs/>
                <w:color w:val="1A5C2E"/>
                <w:sz w:val="16"/>
                <w:szCs w:val="16"/>
              </w:rPr>
              <w:t>LEARN AFRICA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131F8463" w14:textId="574EC541" w:rsidR="00F56AEE" w:rsidRPr="00F56AEE" w:rsidRDefault="00F56AEE" w:rsidP="00F56AEE">
            <w:pPr>
              <w:jc w:val="right"/>
              <w:rPr>
                <w:rFonts w:eastAsia="Times New Roman"/>
                <w:b/>
                <w:bCs/>
                <w:color w:val="1A5C2E"/>
                <w:sz w:val="16"/>
                <w:szCs w:val="16"/>
              </w:rPr>
            </w:pPr>
            <w:r>
              <w:rPr>
                <w:b/>
                <w:bCs/>
                <w:color w:val="1A5C2E"/>
                <w:sz w:val="16"/>
                <w:szCs w:val="16"/>
              </w:rPr>
              <w:t>9.00</w:t>
            </w:r>
          </w:p>
        </w:tc>
        <w:tc>
          <w:tcPr>
            <w:tcW w:w="940" w:type="dxa"/>
            <w:tcBorders>
              <w:top w:val="nil"/>
              <w:left w:val="nil"/>
              <w:bottom w:val="single" w:sz="4" w:space="0" w:color="CCCCCC"/>
              <w:right w:val="single" w:sz="4" w:space="0" w:color="CCCCCC"/>
            </w:tcBorders>
            <w:shd w:val="clear" w:color="000000" w:fill="E6F4EA"/>
            <w:noWrap/>
            <w:vAlign w:val="center"/>
            <w:hideMark/>
          </w:tcPr>
          <w:p w14:paraId="3B269771" w14:textId="7FE66F31" w:rsidR="00F56AEE" w:rsidRPr="00F56AEE" w:rsidRDefault="00F56AEE" w:rsidP="00F56AEE">
            <w:pPr>
              <w:jc w:val="center"/>
              <w:rPr>
                <w:rFonts w:eastAsia="Times New Roman"/>
                <w:b/>
                <w:bCs/>
                <w:color w:val="1A5C2E"/>
                <w:sz w:val="16"/>
                <w:szCs w:val="16"/>
              </w:rPr>
            </w:pPr>
            <w:r>
              <w:rPr>
                <w:b/>
                <w:bCs/>
                <w:color w:val="1A5C2E"/>
                <w:sz w:val="16"/>
                <w:szCs w:val="16"/>
              </w:rPr>
              <w:t>+4.05%</w:t>
            </w:r>
          </w:p>
        </w:tc>
        <w:tc>
          <w:tcPr>
            <w:tcW w:w="1600" w:type="dxa"/>
            <w:tcBorders>
              <w:top w:val="nil"/>
              <w:left w:val="nil"/>
              <w:bottom w:val="single" w:sz="4" w:space="0" w:color="CCCCCC"/>
              <w:right w:val="single" w:sz="4" w:space="0" w:color="CCCCCC"/>
            </w:tcBorders>
            <w:shd w:val="clear" w:color="000000" w:fill="E6F4EA"/>
            <w:noWrap/>
            <w:vAlign w:val="center"/>
            <w:hideMark/>
          </w:tcPr>
          <w:p w14:paraId="528C9CD9" w14:textId="52F6BBF8" w:rsidR="00F56AEE" w:rsidRPr="00F56AEE" w:rsidRDefault="00F56AEE" w:rsidP="00F56AEE">
            <w:pPr>
              <w:jc w:val="right"/>
              <w:rPr>
                <w:rFonts w:eastAsia="Times New Roman"/>
                <w:b/>
                <w:bCs/>
                <w:color w:val="1A5C2E"/>
                <w:sz w:val="16"/>
                <w:szCs w:val="16"/>
              </w:rPr>
            </w:pPr>
            <w:r>
              <w:rPr>
                <w:b/>
                <w:bCs/>
                <w:color w:val="1A5C2E"/>
                <w:sz w:val="16"/>
                <w:szCs w:val="16"/>
              </w:rPr>
              <w:t>6,304,147</w:t>
            </w:r>
          </w:p>
        </w:tc>
        <w:tc>
          <w:tcPr>
            <w:tcW w:w="1360" w:type="dxa"/>
            <w:tcBorders>
              <w:top w:val="nil"/>
              <w:left w:val="nil"/>
              <w:bottom w:val="single" w:sz="4" w:space="0" w:color="CCCCCC"/>
              <w:right w:val="single" w:sz="4" w:space="0" w:color="CCCCCC"/>
            </w:tcBorders>
            <w:shd w:val="clear" w:color="000000" w:fill="E6F4EA"/>
            <w:noWrap/>
            <w:vAlign w:val="center"/>
            <w:hideMark/>
          </w:tcPr>
          <w:p w14:paraId="7769FFA7" w14:textId="3B7596E6" w:rsidR="00F56AEE" w:rsidRPr="00F56AEE" w:rsidRDefault="00F56AEE" w:rsidP="00F56AEE">
            <w:pPr>
              <w:jc w:val="right"/>
              <w:rPr>
                <w:rFonts w:eastAsia="Times New Roman"/>
                <w:b/>
                <w:bCs/>
                <w:color w:val="1A5C2E"/>
                <w:sz w:val="16"/>
                <w:szCs w:val="16"/>
              </w:rPr>
            </w:pPr>
            <w:r>
              <w:rPr>
                <w:b/>
                <w:bCs/>
                <w:color w:val="FFFFFF"/>
                <w:sz w:val="16"/>
                <w:szCs w:val="16"/>
              </w:rPr>
              <w:t>55.8</w:t>
            </w:r>
          </w:p>
        </w:tc>
      </w:tr>
    </w:tbl>
    <w:p w14:paraId="0961A6CB" w14:textId="3864ED87" w:rsidR="00C06B25" w:rsidRDefault="00CB3E7C">
      <w:pPr>
        <w:spacing w:before="180" w:after="80"/>
      </w:pPr>
      <w:r>
        <w:rPr>
          <w:b/>
          <w:bCs/>
          <w:color w:val="EE0000"/>
          <w:sz w:val="22"/>
          <w:szCs w:val="22"/>
        </w:rPr>
        <w:t>▼</w:t>
      </w:r>
      <w:r>
        <w:rPr>
          <w:b/>
          <w:bCs/>
          <w:color w:val="C00000"/>
          <w:sz w:val="22"/>
          <w:szCs w:val="22"/>
        </w:rPr>
        <w:t xml:space="preserve">  Top 10 Losers </w:t>
      </w:r>
    </w:p>
    <w:tbl>
      <w:tblPr>
        <w:tblW w:w="5000" w:type="pct"/>
        <w:tblLook w:val="04A0" w:firstRow="1" w:lastRow="0" w:firstColumn="1" w:lastColumn="0" w:noHBand="0" w:noVBand="1"/>
      </w:tblPr>
      <w:tblGrid>
        <w:gridCol w:w="418"/>
        <w:gridCol w:w="1397"/>
        <w:gridCol w:w="2954"/>
        <w:gridCol w:w="1072"/>
        <w:gridCol w:w="933"/>
        <w:gridCol w:w="1587"/>
        <w:gridCol w:w="1349"/>
      </w:tblGrid>
      <w:tr w:rsidR="009E7A98" w:rsidRPr="009E7A98" w14:paraId="0A092763" w14:textId="77777777" w:rsidTr="00680578">
        <w:trPr>
          <w:trHeight w:val="321"/>
        </w:trPr>
        <w:tc>
          <w:tcPr>
            <w:tcW w:w="420" w:type="dxa"/>
            <w:tcBorders>
              <w:top w:val="single" w:sz="4" w:space="0" w:color="CCCCCC"/>
              <w:left w:val="single" w:sz="4" w:space="0" w:color="CCCCCC"/>
              <w:bottom w:val="single" w:sz="4" w:space="0" w:color="CCCCCC"/>
              <w:right w:val="single" w:sz="4" w:space="0" w:color="CCCCCC"/>
            </w:tcBorders>
            <w:shd w:val="clear" w:color="000000" w:fill="1A5C2E"/>
            <w:noWrap/>
            <w:vAlign w:val="center"/>
            <w:hideMark/>
          </w:tcPr>
          <w:p w14:paraId="6F0442C7"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t>
            </w:r>
          </w:p>
        </w:tc>
        <w:tc>
          <w:tcPr>
            <w:tcW w:w="1330" w:type="dxa"/>
            <w:tcBorders>
              <w:top w:val="single" w:sz="4" w:space="0" w:color="CCCCCC"/>
              <w:left w:val="nil"/>
              <w:bottom w:val="single" w:sz="4" w:space="0" w:color="CCCCCC"/>
              <w:right w:val="single" w:sz="4" w:space="0" w:color="CCCCCC"/>
            </w:tcBorders>
            <w:shd w:val="clear" w:color="000000" w:fill="1A5C2E"/>
            <w:noWrap/>
            <w:vAlign w:val="center"/>
            <w:hideMark/>
          </w:tcPr>
          <w:p w14:paraId="1182B246"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Ticker</w:t>
            </w:r>
          </w:p>
        </w:tc>
        <w:tc>
          <w:tcPr>
            <w:tcW w:w="2980" w:type="dxa"/>
            <w:tcBorders>
              <w:top w:val="single" w:sz="4" w:space="0" w:color="CCCCCC"/>
              <w:left w:val="nil"/>
              <w:bottom w:val="single" w:sz="4" w:space="0" w:color="CCCCCC"/>
              <w:right w:val="single" w:sz="4" w:space="0" w:color="CCCCCC"/>
            </w:tcBorders>
            <w:shd w:val="clear" w:color="000000" w:fill="1A5C2E"/>
            <w:noWrap/>
            <w:vAlign w:val="center"/>
            <w:hideMark/>
          </w:tcPr>
          <w:p w14:paraId="5DFDE325"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Company</w:t>
            </w:r>
          </w:p>
        </w:tc>
        <w:tc>
          <w:tcPr>
            <w:tcW w:w="1080" w:type="dxa"/>
            <w:tcBorders>
              <w:top w:val="single" w:sz="4" w:space="0" w:color="CCCCCC"/>
              <w:left w:val="nil"/>
              <w:bottom w:val="single" w:sz="4" w:space="0" w:color="CCCCCC"/>
              <w:right w:val="single" w:sz="4" w:space="0" w:color="CCCCCC"/>
            </w:tcBorders>
            <w:shd w:val="clear" w:color="000000" w:fill="1A5C2E"/>
            <w:noWrap/>
            <w:vAlign w:val="center"/>
            <w:hideMark/>
          </w:tcPr>
          <w:p w14:paraId="6FFFF9BA"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Close (₦)</w:t>
            </w:r>
          </w:p>
        </w:tc>
        <w:tc>
          <w:tcPr>
            <w:tcW w:w="940" w:type="dxa"/>
            <w:tcBorders>
              <w:top w:val="single" w:sz="4" w:space="0" w:color="CCCCCC"/>
              <w:left w:val="nil"/>
              <w:bottom w:val="single" w:sz="4" w:space="0" w:color="CCCCCC"/>
              <w:right w:val="single" w:sz="4" w:space="0" w:color="CCCCCC"/>
            </w:tcBorders>
            <w:shd w:val="clear" w:color="000000" w:fill="1A5C2E"/>
            <w:noWrap/>
            <w:vAlign w:val="center"/>
            <w:hideMark/>
          </w:tcPr>
          <w:p w14:paraId="4A1C3501"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WoW %</w:t>
            </w:r>
          </w:p>
        </w:tc>
        <w:tc>
          <w:tcPr>
            <w:tcW w:w="1600" w:type="dxa"/>
            <w:tcBorders>
              <w:top w:val="single" w:sz="4" w:space="0" w:color="CCCCCC"/>
              <w:left w:val="nil"/>
              <w:bottom w:val="single" w:sz="4" w:space="0" w:color="CCCCCC"/>
              <w:right w:val="single" w:sz="4" w:space="0" w:color="CCCCCC"/>
            </w:tcBorders>
            <w:shd w:val="clear" w:color="000000" w:fill="1A5C2E"/>
            <w:noWrap/>
            <w:vAlign w:val="center"/>
            <w:hideMark/>
          </w:tcPr>
          <w:p w14:paraId="372A3883"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Weekly Vol</w:t>
            </w:r>
          </w:p>
        </w:tc>
        <w:tc>
          <w:tcPr>
            <w:tcW w:w="1360" w:type="dxa"/>
            <w:tcBorders>
              <w:top w:val="single" w:sz="4" w:space="0" w:color="CCCCCC"/>
              <w:left w:val="nil"/>
              <w:bottom w:val="single" w:sz="4" w:space="0" w:color="CCCCCC"/>
              <w:right w:val="single" w:sz="4" w:space="0" w:color="CCCCCC"/>
            </w:tcBorders>
            <w:shd w:val="clear" w:color="000000" w:fill="1A5C2E"/>
            <w:noWrap/>
            <w:vAlign w:val="center"/>
            <w:hideMark/>
          </w:tcPr>
          <w:p w14:paraId="69C6C890" w14:textId="77777777" w:rsidR="009E7A98" w:rsidRPr="009E7A98" w:rsidRDefault="009E7A98" w:rsidP="009E7A98">
            <w:pPr>
              <w:rPr>
                <w:rFonts w:eastAsia="Times New Roman"/>
                <w:b/>
                <w:bCs/>
                <w:color w:val="FFFFFF"/>
                <w:sz w:val="16"/>
                <w:szCs w:val="16"/>
              </w:rPr>
            </w:pPr>
            <w:r>
              <w:rPr>
                <w:rFonts w:eastAsia="Times New Roman"/>
                <w:b/>
                <w:bCs/>
                <w:color w:val="404040"/>
                <w:sz w:val="16"/>
                <w:szCs w:val="16"/>
              </w:rPr>
              <w:t>Value Traded (₦m)</w:t>
            </w:r>
          </w:p>
        </w:tc>
      </w:tr>
      <w:tr w:rsidR="00F56AEE" w:rsidRPr="009E7A98" w14:paraId="38781074" w14:textId="77777777" w:rsidTr="00680578">
        <w:trPr>
          <w:trHeight w:val="32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1C38CA19" w14:textId="77777777" w:rsidR="00F56AEE" w:rsidRPr="009E7A98" w:rsidRDefault="00F56AEE" w:rsidP="00F56AEE">
            <w:pPr>
              <w:jc w:val="center"/>
              <w:rPr>
                <w:rFonts w:eastAsia="Times New Roman"/>
                <w:sz w:val="16"/>
                <w:szCs w:val="16"/>
              </w:rPr>
            </w:pPr>
            <w:r>
              <w:rPr>
                <w:rFonts w:eastAsia="Times New Roman"/>
                <w:sz w:val="16"/>
                <w:szCs w:val="16"/>
              </w:rPr>
              <w:t>1</w:t>
            </w:r>
          </w:p>
        </w:tc>
        <w:tc>
          <w:tcPr>
            <w:tcW w:w="1330" w:type="dxa"/>
            <w:tcBorders>
              <w:top w:val="nil"/>
              <w:left w:val="nil"/>
              <w:bottom w:val="single" w:sz="4" w:space="0" w:color="CCCCCC"/>
              <w:right w:val="single" w:sz="4" w:space="0" w:color="CCCCCC"/>
            </w:tcBorders>
            <w:shd w:val="clear" w:color="000000" w:fill="E6F4EA"/>
            <w:noWrap/>
            <w:vAlign w:val="center"/>
            <w:hideMark/>
          </w:tcPr>
          <w:p w14:paraId="49ADDF59" w14:textId="7E7EE09A" w:rsidR="00F56AEE" w:rsidRPr="00F56AEE" w:rsidRDefault="00F56AEE" w:rsidP="00F56AEE">
            <w:pPr>
              <w:jc w:val="center"/>
              <w:rPr>
                <w:rFonts w:eastAsia="Times New Roman"/>
                <w:b/>
                <w:bCs/>
                <w:color w:val="1A5C2E"/>
                <w:sz w:val="16"/>
                <w:szCs w:val="16"/>
              </w:rPr>
            </w:pPr>
            <w:r>
              <w:rPr>
                <w:b/>
                <w:bCs/>
                <w:color w:val="1A5C2E"/>
                <w:sz w:val="16"/>
                <w:szCs w:val="16"/>
              </w:rPr>
              <w:t>STANBICETF30</w:t>
            </w:r>
          </w:p>
        </w:tc>
        <w:tc>
          <w:tcPr>
            <w:tcW w:w="2980" w:type="dxa"/>
            <w:tcBorders>
              <w:top w:val="nil"/>
              <w:left w:val="nil"/>
              <w:bottom w:val="single" w:sz="4" w:space="0" w:color="CCCCCC"/>
              <w:right w:val="single" w:sz="4" w:space="0" w:color="CCCCCC"/>
            </w:tcBorders>
            <w:shd w:val="clear" w:color="000000" w:fill="E6F4EA"/>
            <w:noWrap/>
            <w:vAlign w:val="center"/>
            <w:hideMark/>
          </w:tcPr>
          <w:p w14:paraId="2E5E3100" w14:textId="6FFE1DB8" w:rsidR="00F56AEE" w:rsidRPr="00F56AEE" w:rsidRDefault="00F56AEE" w:rsidP="00F56AEE">
            <w:pPr>
              <w:rPr>
                <w:rFonts w:eastAsia="Times New Roman"/>
                <w:b/>
                <w:bCs/>
                <w:color w:val="1A5C2E"/>
                <w:sz w:val="16"/>
                <w:szCs w:val="16"/>
              </w:rPr>
            </w:pPr>
            <w:r>
              <w:rPr>
                <w:b/>
                <w:bCs/>
                <w:color w:val="1A5C2E"/>
                <w:sz w:val="16"/>
                <w:szCs w:val="16"/>
              </w:rPr>
              <w:t>STANBIC IBTC ETF 30</w:t>
            </w:r>
          </w:p>
        </w:tc>
        <w:tc>
          <w:tcPr>
            <w:tcW w:w="1080" w:type="dxa"/>
            <w:tcBorders>
              <w:top w:val="nil"/>
              <w:left w:val="nil"/>
              <w:bottom w:val="single" w:sz="4" w:space="0" w:color="CCCCCC"/>
              <w:right w:val="single" w:sz="4" w:space="0" w:color="CCCCCC"/>
            </w:tcBorders>
            <w:shd w:val="clear" w:color="000000" w:fill="E6F4EA"/>
            <w:noWrap/>
            <w:vAlign w:val="center"/>
            <w:hideMark/>
          </w:tcPr>
          <w:p w14:paraId="6E8A9467" w14:textId="2B9469CB" w:rsidR="00F56AEE" w:rsidRPr="00F56AEE" w:rsidRDefault="00F56AEE" w:rsidP="00F56AEE">
            <w:pPr>
              <w:jc w:val="right"/>
              <w:rPr>
                <w:rFonts w:eastAsia="Times New Roman"/>
                <w:b/>
                <w:bCs/>
                <w:color w:val="1A5C2E"/>
                <w:sz w:val="16"/>
                <w:szCs w:val="16"/>
              </w:rPr>
            </w:pPr>
            <w:r>
              <w:rPr>
                <w:b/>
                <w:bCs/>
                <w:color w:val="1A5C2E"/>
                <w:sz w:val="16"/>
                <w:szCs w:val="16"/>
              </w:rPr>
              <w:t>1,026.81</w:t>
            </w:r>
          </w:p>
        </w:tc>
        <w:tc>
          <w:tcPr>
            <w:tcW w:w="940" w:type="dxa"/>
            <w:tcBorders>
              <w:top w:val="nil"/>
              <w:left w:val="nil"/>
              <w:bottom w:val="single" w:sz="4" w:space="0" w:color="CCCCCC"/>
              <w:right w:val="single" w:sz="4" w:space="0" w:color="CCCCCC"/>
            </w:tcBorders>
            <w:shd w:val="clear" w:color="000000" w:fill="E6F4EA"/>
            <w:noWrap/>
            <w:vAlign w:val="center"/>
            <w:hideMark/>
          </w:tcPr>
          <w:p w14:paraId="556C3797" w14:textId="0650033B" w:rsidR="00F56AEE" w:rsidRPr="00F56AEE" w:rsidRDefault="00F56AEE" w:rsidP="00F56AEE">
            <w:pPr>
              <w:jc w:val="center"/>
              <w:rPr>
                <w:rFonts w:eastAsia="Times New Roman"/>
                <w:b/>
                <w:bCs/>
                <w:color w:val="1A5C2E"/>
                <w:sz w:val="16"/>
                <w:szCs w:val="16"/>
              </w:rPr>
            </w:pPr>
            <w:r>
              <w:rPr>
                <w:b/>
                <w:bCs/>
                <w:color w:val="B22222"/>
                <w:sz w:val="16"/>
                <w:szCs w:val="16"/>
              </w:rPr>
              <w:t>-34.60%</w:t>
            </w:r>
          </w:p>
        </w:tc>
        <w:tc>
          <w:tcPr>
            <w:tcW w:w="1600" w:type="dxa"/>
            <w:tcBorders>
              <w:top w:val="nil"/>
              <w:left w:val="nil"/>
              <w:bottom w:val="single" w:sz="4" w:space="0" w:color="CCCCCC"/>
              <w:right w:val="single" w:sz="4" w:space="0" w:color="CCCCCC"/>
            </w:tcBorders>
            <w:shd w:val="clear" w:color="000000" w:fill="E6F4EA"/>
            <w:noWrap/>
            <w:vAlign w:val="center"/>
            <w:hideMark/>
          </w:tcPr>
          <w:p w14:paraId="339D8595" w14:textId="69573001" w:rsidR="00F56AEE" w:rsidRPr="00F56AEE" w:rsidRDefault="00F56AEE" w:rsidP="00F56AEE">
            <w:pPr>
              <w:jc w:val="right"/>
              <w:rPr>
                <w:rFonts w:eastAsia="Times New Roman"/>
                <w:b/>
                <w:bCs/>
                <w:color w:val="1A5C2E"/>
                <w:sz w:val="16"/>
                <w:szCs w:val="16"/>
              </w:rPr>
            </w:pPr>
            <w:r>
              <w:rPr>
                <w:b/>
                <w:bCs/>
                <w:color w:val="1A5C2E"/>
                <w:sz w:val="16"/>
                <w:szCs w:val="16"/>
              </w:rPr>
              <w:t>102,261</w:t>
            </w:r>
          </w:p>
        </w:tc>
        <w:tc>
          <w:tcPr>
            <w:tcW w:w="1360" w:type="dxa"/>
            <w:tcBorders>
              <w:top w:val="nil"/>
              <w:left w:val="nil"/>
              <w:bottom w:val="single" w:sz="4" w:space="0" w:color="CCCCCC"/>
              <w:right w:val="single" w:sz="4" w:space="0" w:color="CCCCCC"/>
            </w:tcBorders>
            <w:shd w:val="clear" w:color="000000" w:fill="E6F4EA"/>
            <w:noWrap/>
            <w:vAlign w:val="center"/>
            <w:hideMark/>
          </w:tcPr>
          <w:p w14:paraId="3D1A63EB" w14:textId="4227FBC0" w:rsidR="00F56AEE" w:rsidRPr="00F56AEE" w:rsidRDefault="00F56AEE" w:rsidP="00F56AEE">
            <w:pPr>
              <w:jc w:val="right"/>
              <w:rPr>
                <w:rFonts w:eastAsia="Times New Roman"/>
                <w:b/>
                <w:bCs/>
                <w:color w:val="1A5C2E"/>
                <w:sz w:val="16"/>
                <w:szCs w:val="16"/>
              </w:rPr>
            </w:pPr>
            <w:r>
              <w:rPr>
                <w:b/>
                <w:bCs/>
                <w:color w:val="FFFFFF"/>
                <w:sz w:val="16"/>
                <w:szCs w:val="16"/>
              </w:rPr>
              <w:t>122.9</w:t>
            </w:r>
          </w:p>
        </w:tc>
      </w:tr>
      <w:tr w:rsidR="00F56AEE" w:rsidRPr="009E7A98" w14:paraId="64251F75" w14:textId="77777777" w:rsidTr="00680578">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711C030F" w14:textId="77777777" w:rsidR="00F56AEE" w:rsidRPr="009E7A98" w:rsidRDefault="00F56AEE" w:rsidP="00F56AEE">
            <w:pPr>
              <w:jc w:val="center"/>
              <w:rPr>
                <w:rFonts w:eastAsia="Times New Roman"/>
                <w:sz w:val="16"/>
                <w:szCs w:val="16"/>
              </w:rPr>
            </w:pPr>
            <w:r>
              <w:rPr>
                <w:rFonts w:eastAsia="Times New Roman"/>
                <w:sz w:val="16"/>
                <w:szCs w:val="16"/>
              </w:rPr>
              <w:t>2</w:t>
            </w:r>
          </w:p>
        </w:tc>
        <w:tc>
          <w:tcPr>
            <w:tcW w:w="1330" w:type="dxa"/>
            <w:tcBorders>
              <w:top w:val="nil"/>
              <w:left w:val="nil"/>
              <w:bottom w:val="single" w:sz="4" w:space="0" w:color="CCCCCC"/>
              <w:right w:val="single" w:sz="4" w:space="0" w:color="CCCCCC"/>
            </w:tcBorders>
            <w:shd w:val="clear" w:color="000000" w:fill="E6F4EA"/>
            <w:noWrap/>
            <w:vAlign w:val="center"/>
            <w:hideMark/>
          </w:tcPr>
          <w:p w14:paraId="5AAE5D3E" w14:textId="61B1C6F9" w:rsidR="00F56AEE" w:rsidRPr="00F56AEE" w:rsidRDefault="00F56AEE" w:rsidP="00F56AEE">
            <w:pPr>
              <w:jc w:val="center"/>
              <w:rPr>
                <w:rFonts w:eastAsia="Times New Roman"/>
                <w:b/>
                <w:bCs/>
                <w:color w:val="1A5C2E"/>
                <w:sz w:val="16"/>
                <w:szCs w:val="16"/>
              </w:rPr>
            </w:pPr>
            <w:r>
              <w:rPr>
                <w:b/>
                <w:bCs/>
                <w:color w:val="1A5C2E"/>
                <w:sz w:val="16"/>
                <w:szCs w:val="16"/>
              </w:rPr>
              <w:t>FTGINSURE</w:t>
            </w:r>
          </w:p>
        </w:tc>
        <w:tc>
          <w:tcPr>
            <w:tcW w:w="2980" w:type="dxa"/>
            <w:tcBorders>
              <w:top w:val="nil"/>
              <w:left w:val="nil"/>
              <w:bottom w:val="single" w:sz="4" w:space="0" w:color="CCCCCC"/>
              <w:right w:val="single" w:sz="4" w:space="0" w:color="CCCCCC"/>
            </w:tcBorders>
            <w:shd w:val="clear" w:color="000000" w:fill="E6F4EA"/>
            <w:noWrap/>
            <w:vAlign w:val="center"/>
            <w:hideMark/>
          </w:tcPr>
          <w:p w14:paraId="6E3C0B08" w14:textId="2054FEFC" w:rsidR="00F56AEE" w:rsidRPr="00F56AEE" w:rsidRDefault="00F56AEE" w:rsidP="00F56AEE">
            <w:pPr>
              <w:rPr>
                <w:rFonts w:eastAsia="Times New Roman"/>
                <w:b/>
                <w:bCs/>
                <w:color w:val="1A5C2E"/>
                <w:sz w:val="16"/>
                <w:szCs w:val="16"/>
              </w:rPr>
            </w:pPr>
            <w:r>
              <w:rPr>
                <w:b/>
                <w:bCs/>
                <w:color w:val="1A5C2E"/>
                <w:sz w:val="16"/>
                <w:szCs w:val="16"/>
              </w:rPr>
              <w:t>FORTIS GLOBAL INSURANCE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1080273F" w14:textId="215C3DAD" w:rsidR="00F56AEE" w:rsidRPr="00F56AEE" w:rsidRDefault="00F56AEE" w:rsidP="00F56AEE">
            <w:pPr>
              <w:jc w:val="right"/>
              <w:rPr>
                <w:rFonts w:eastAsia="Times New Roman"/>
                <w:b/>
                <w:bCs/>
                <w:color w:val="1A5C2E"/>
                <w:sz w:val="16"/>
                <w:szCs w:val="16"/>
              </w:rPr>
            </w:pPr>
            <w:r>
              <w:rPr>
                <w:b/>
                <w:bCs/>
                <w:color w:val="1A5C2E"/>
                <w:sz w:val="16"/>
                <w:szCs w:val="16"/>
              </w:rPr>
              <w:t>1.40</w:t>
            </w:r>
          </w:p>
        </w:tc>
        <w:tc>
          <w:tcPr>
            <w:tcW w:w="940" w:type="dxa"/>
            <w:tcBorders>
              <w:top w:val="nil"/>
              <w:left w:val="nil"/>
              <w:bottom w:val="single" w:sz="4" w:space="0" w:color="CCCCCC"/>
              <w:right w:val="single" w:sz="4" w:space="0" w:color="CCCCCC"/>
            </w:tcBorders>
            <w:shd w:val="clear" w:color="000000" w:fill="E6F4EA"/>
            <w:noWrap/>
            <w:vAlign w:val="center"/>
            <w:hideMark/>
          </w:tcPr>
          <w:p w14:paraId="1F6E60C0" w14:textId="05C8939D" w:rsidR="00F56AEE" w:rsidRPr="00F56AEE" w:rsidRDefault="00F56AEE" w:rsidP="00F56AEE">
            <w:pPr>
              <w:jc w:val="center"/>
              <w:rPr>
                <w:rFonts w:eastAsia="Times New Roman"/>
                <w:b/>
                <w:bCs/>
                <w:color w:val="1A5C2E"/>
                <w:sz w:val="16"/>
                <w:szCs w:val="16"/>
              </w:rPr>
            </w:pPr>
            <w:r>
              <w:rPr>
                <w:b/>
                <w:bCs/>
                <w:color w:val="B22222"/>
                <w:sz w:val="16"/>
                <w:szCs w:val="16"/>
              </w:rPr>
              <w:t>-30.00%</w:t>
            </w:r>
          </w:p>
        </w:tc>
        <w:tc>
          <w:tcPr>
            <w:tcW w:w="1600" w:type="dxa"/>
            <w:tcBorders>
              <w:top w:val="nil"/>
              <w:left w:val="nil"/>
              <w:bottom w:val="single" w:sz="4" w:space="0" w:color="CCCCCC"/>
              <w:right w:val="single" w:sz="4" w:space="0" w:color="CCCCCC"/>
            </w:tcBorders>
            <w:shd w:val="clear" w:color="000000" w:fill="E6F4EA"/>
            <w:noWrap/>
            <w:vAlign w:val="center"/>
            <w:hideMark/>
          </w:tcPr>
          <w:p w14:paraId="68825674" w14:textId="267D1285" w:rsidR="00F56AEE" w:rsidRPr="00F56AEE" w:rsidRDefault="00F56AEE" w:rsidP="00F56AEE">
            <w:pPr>
              <w:jc w:val="right"/>
              <w:rPr>
                <w:rFonts w:eastAsia="Times New Roman"/>
                <w:b/>
                <w:bCs/>
                <w:color w:val="1A5C2E"/>
                <w:sz w:val="16"/>
                <w:szCs w:val="16"/>
              </w:rPr>
            </w:pPr>
            <w:r>
              <w:rPr>
                <w:b/>
                <w:bCs/>
                <w:color w:val="1A5C2E"/>
                <w:sz w:val="16"/>
                <w:szCs w:val="16"/>
              </w:rPr>
              <w:t>1,038,304,272</w:t>
            </w:r>
          </w:p>
        </w:tc>
        <w:tc>
          <w:tcPr>
            <w:tcW w:w="1360" w:type="dxa"/>
            <w:tcBorders>
              <w:top w:val="nil"/>
              <w:left w:val="nil"/>
              <w:bottom w:val="single" w:sz="4" w:space="0" w:color="CCCCCC"/>
              <w:right w:val="single" w:sz="4" w:space="0" w:color="CCCCCC"/>
            </w:tcBorders>
            <w:shd w:val="clear" w:color="000000" w:fill="E6F4EA"/>
            <w:noWrap/>
            <w:vAlign w:val="center"/>
            <w:hideMark/>
          </w:tcPr>
          <w:p w14:paraId="6B3B7C86" w14:textId="4C06C9CB" w:rsidR="00F56AEE" w:rsidRPr="00F56AEE" w:rsidRDefault="00F56AEE" w:rsidP="00F56AEE">
            <w:pPr>
              <w:jc w:val="right"/>
              <w:rPr>
                <w:rFonts w:eastAsia="Times New Roman"/>
                <w:b/>
                <w:bCs/>
                <w:color w:val="1A5C2E"/>
                <w:sz w:val="16"/>
                <w:szCs w:val="16"/>
              </w:rPr>
            </w:pPr>
            <w:r>
              <w:rPr>
                <w:b/>
                <w:bCs/>
                <w:color w:val="000000"/>
                <w:sz w:val="16"/>
                <w:szCs w:val="16"/>
              </w:rPr>
              <w:t>1,455.3</w:t>
            </w:r>
          </w:p>
        </w:tc>
      </w:tr>
      <w:tr w:rsidR="00F56AEE" w:rsidRPr="009E7A98" w14:paraId="4B9C9A36" w14:textId="77777777" w:rsidTr="00680578">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7F34B23A" w14:textId="77777777" w:rsidR="00F56AEE" w:rsidRPr="009E7A98" w:rsidRDefault="00F56AEE" w:rsidP="00F56AEE">
            <w:pPr>
              <w:jc w:val="center"/>
              <w:rPr>
                <w:rFonts w:eastAsia="Times New Roman"/>
                <w:sz w:val="16"/>
                <w:szCs w:val="16"/>
              </w:rPr>
            </w:pPr>
            <w:r>
              <w:rPr>
                <w:rFonts w:eastAsia="Times New Roman"/>
                <w:sz w:val="16"/>
                <w:szCs w:val="16"/>
              </w:rPr>
              <w:t>3</w:t>
            </w:r>
          </w:p>
        </w:tc>
        <w:tc>
          <w:tcPr>
            <w:tcW w:w="1330" w:type="dxa"/>
            <w:tcBorders>
              <w:top w:val="nil"/>
              <w:left w:val="nil"/>
              <w:bottom w:val="single" w:sz="4" w:space="0" w:color="CCCCCC"/>
              <w:right w:val="single" w:sz="4" w:space="0" w:color="CCCCCC"/>
            </w:tcBorders>
            <w:shd w:val="clear" w:color="000000" w:fill="E6F4EA"/>
            <w:noWrap/>
            <w:vAlign w:val="center"/>
            <w:hideMark/>
          </w:tcPr>
          <w:p w14:paraId="23A65C66" w14:textId="13CECBC4" w:rsidR="00F56AEE" w:rsidRPr="00F56AEE" w:rsidRDefault="00F56AEE" w:rsidP="00F56AEE">
            <w:pPr>
              <w:jc w:val="center"/>
              <w:rPr>
                <w:rFonts w:eastAsia="Times New Roman"/>
                <w:b/>
                <w:bCs/>
                <w:color w:val="1A5C2E"/>
                <w:sz w:val="16"/>
                <w:szCs w:val="16"/>
              </w:rPr>
            </w:pPr>
            <w:r>
              <w:rPr>
                <w:b/>
                <w:bCs/>
                <w:color w:val="1A5C2E"/>
                <w:sz w:val="16"/>
                <w:szCs w:val="16"/>
              </w:rPr>
              <w:t>OMATEK</w:t>
            </w:r>
          </w:p>
        </w:tc>
        <w:tc>
          <w:tcPr>
            <w:tcW w:w="2980" w:type="dxa"/>
            <w:tcBorders>
              <w:top w:val="nil"/>
              <w:left w:val="nil"/>
              <w:bottom w:val="single" w:sz="4" w:space="0" w:color="CCCCCC"/>
              <w:right w:val="single" w:sz="4" w:space="0" w:color="CCCCCC"/>
            </w:tcBorders>
            <w:shd w:val="clear" w:color="000000" w:fill="E6F4EA"/>
            <w:noWrap/>
            <w:vAlign w:val="center"/>
            <w:hideMark/>
          </w:tcPr>
          <w:p w14:paraId="40337C50" w14:textId="68B93677" w:rsidR="00F56AEE" w:rsidRPr="00F56AEE" w:rsidRDefault="00F56AEE" w:rsidP="00F56AEE">
            <w:pPr>
              <w:rPr>
                <w:rFonts w:eastAsia="Times New Roman"/>
                <w:b/>
                <w:bCs/>
                <w:color w:val="1A5C2E"/>
                <w:sz w:val="16"/>
                <w:szCs w:val="16"/>
              </w:rPr>
            </w:pPr>
            <w:r>
              <w:rPr>
                <w:b/>
                <w:bCs/>
                <w:color w:val="1A5C2E"/>
                <w:sz w:val="16"/>
                <w:szCs w:val="16"/>
              </w:rPr>
              <w:t>OMATEK VENTURES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1234D8F0" w14:textId="44BA6EBA" w:rsidR="00F56AEE" w:rsidRPr="00F56AEE" w:rsidRDefault="00F56AEE" w:rsidP="00F56AEE">
            <w:pPr>
              <w:jc w:val="right"/>
              <w:rPr>
                <w:rFonts w:eastAsia="Times New Roman"/>
                <w:b/>
                <w:bCs/>
                <w:color w:val="1A5C2E"/>
                <w:sz w:val="16"/>
                <w:szCs w:val="16"/>
              </w:rPr>
            </w:pPr>
            <w:r>
              <w:rPr>
                <w:b/>
                <w:bCs/>
                <w:color w:val="1A5C2E"/>
                <w:sz w:val="16"/>
                <w:szCs w:val="16"/>
              </w:rPr>
              <w:t>1.25</w:t>
            </w:r>
          </w:p>
        </w:tc>
        <w:tc>
          <w:tcPr>
            <w:tcW w:w="940" w:type="dxa"/>
            <w:tcBorders>
              <w:top w:val="nil"/>
              <w:left w:val="nil"/>
              <w:bottom w:val="single" w:sz="4" w:space="0" w:color="CCCCCC"/>
              <w:right w:val="single" w:sz="4" w:space="0" w:color="CCCCCC"/>
            </w:tcBorders>
            <w:shd w:val="clear" w:color="000000" w:fill="E6F4EA"/>
            <w:noWrap/>
            <w:vAlign w:val="center"/>
            <w:hideMark/>
          </w:tcPr>
          <w:p w14:paraId="10733ACB" w14:textId="2FB4E3AA" w:rsidR="00F56AEE" w:rsidRPr="00F56AEE" w:rsidRDefault="00F56AEE" w:rsidP="00F56AEE">
            <w:pPr>
              <w:jc w:val="center"/>
              <w:rPr>
                <w:rFonts w:eastAsia="Times New Roman"/>
                <w:b/>
                <w:bCs/>
                <w:color w:val="1A5C2E"/>
                <w:sz w:val="16"/>
                <w:szCs w:val="16"/>
              </w:rPr>
            </w:pPr>
            <w:r>
              <w:rPr>
                <w:b/>
                <w:bCs/>
                <w:color w:val="B22222"/>
                <w:sz w:val="16"/>
                <w:szCs w:val="16"/>
              </w:rPr>
              <w:t>-26.47%</w:t>
            </w:r>
          </w:p>
        </w:tc>
        <w:tc>
          <w:tcPr>
            <w:tcW w:w="1600" w:type="dxa"/>
            <w:tcBorders>
              <w:top w:val="nil"/>
              <w:left w:val="nil"/>
              <w:bottom w:val="single" w:sz="4" w:space="0" w:color="CCCCCC"/>
              <w:right w:val="single" w:sz="4" w:space="0" w:color="CCCCCC"/>
            </w:tcBorders>
            <w:shd w:val="clear" w:color="000000" w:fill="E6F4EA"/>
            <w:noWrap/>
            <w:vAlign w:val="center"/>
            <w:hideMark/>
          </w:tcPr>
          <w:p w14:paraId="2FA33BCA" w14:textId="0244CC32" w:rsidR="00F56AEE" w:rsidRPr="00F56AEE" w:rsidRDefault="00F56AEE" w:rsidP="00F56AEE">
            <w:pPr>
              <w:jc w:val="right"/>
              <w:rPr>
                <w:rFonts w:eastAsia="Times New Roman"/>
                <w:b/>
                <w:bCs/>
                <w:color w:val="1A5C2E"/>
                <w:sz w:val="16"/>
                <w:szCs w:val="16"/>
              </w:rPr>
            </w:pPr>
            <w:r>
              <w:rPr>
                <w:b/>
                <w:bCs/>
                <w:color w:val="1A5C2E"/>
                <w:sz w:val="16"/>
                <w:szCs w:val="16"/>
              </w:rPr>
              <w:t>6,811,730</w:t>
            </w:r>
          </w:p>
        </w:tc>
        <w:tc>
          <w:tcPr>
            <w:tcW w:w="1360" w:type="dxa"/>
            <w:tcBorders>
              <w:top w:val="nil"/>
              <w:left w:val="nil"/>
              <w:bottom w:val="single" w:sz="4" w:space="0" w:color="CCCCCC"/>
              <w:right w:val="single" w:sz="4" w:space="0" w:color="CCCCCC"/>
            </w:tcBorders>
            <w:shd w:val="clear" w:color="000000" w:fill="E6F4EA"/>
            <w:noWrap/>
            <w:vAlign w:val="center"/>
            <w:hideMark/>
          </w:tcPr>
          <w:p w14:paraId="24397725" w14:textId="3561B546" w:rsidR="00F56AEE" w:rsidRPr="00F56AEE" w:rsidRDefault="00F56AEE" w:rsidP="00F56AEE">
            <w:pPr>
              <w:jc w:val="right"/>
              <w:rPr>
                <w:rFonts w:eastAsia="Times New Roman"/>
                <w:b/>
                <w:bCs/>
                <w:color w:val="1A5C2E"/>
                <w:sz w:val="16"/>
                <w:szCs w:val="16"/>
              </w:rPr>
            </w:pPr>
            <w:r>
              <w:rPr>
                <w:b/>
                <w:bCs/>
                <w:color w:val="222222"/>
                <w:sz w:val="16"/>
                <w:szCs w:val="16"/>
              </w:rPr>
              <w:t>9.5</w:t>
            </w:r>
          </w:p>
        </w:tc>
      </w:tr>
      <w:tr w:rsidR="00F56AEE" w:rsidRPr="009E7A98" w14:paraId="650C7373" w14:textId="77777777" w:rsidTr="00680578">
        <w:trPr>
          <w:trHeight w:val="44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51D4E64D" w14:textId="77777777" w:rsidR="00F56AEE" w:rsidRPr="009E7A98" w:rsidRDefault="00F56AEE" w:rsidP="00F56AEE">
            <w:pPr>
              <w:jc w:val="center"/>
              <w:rPr>
                <w:rFonts w:eastAsia="Times New Roman"/>
                <w:sz w:val="16"/>
                <w:szCs w:val="16"/>
              </w:rPr>
            </w:pPr>
            <w:r>
              <w:rPr>
                <w:rFonts w:eastAsia="Times New Roman"/>
                <w:sz w:val="16"/>
                <w:szCs w:val="16"/>
              </w:rPr>
              <w:t>4</w:t>
            </w:r>
          </w:p>
        </w:tc>
        <w:tc>
          <w:tcPr>
            <w:tcW w:w="1330" w:type="dxa"/>
            <w:tcBorders>
              <w:top w:val="nil"/>
              <w:left w:val="nil"/>
              <w:bottom w:val="single" w:sz="4" w:space="0" w:color="CCCCCC"/>
              <w:right w:val="single" w:sz="4" w:space="0" w:color="CCCCCC"/>
            </w:tcBorders>
            <w:shd w:val="clear" w:color="000000" w:fill="E6F4EA"/>
            <w:noWrap/>
            <w:vAlign w:val="center"/>
            <w:hideMark/>
          </w:tcPr>
          <w:p w14:paraId="6F940C42" w14:textId="7F279401" w:rsidR="00F56AEE" w:rsidRPr="00F56AEE" w:rsidRDefault="00F56AEE" w:rsidP="00F56AEE">
            <w:pPr>
              <w:jc w:val="center"/>
              <w:rPr>
                <w:rFonts w:eastAsia="Times New Roman"/>
                <w:b/>
                <w:bCs/>
                <w:color w:val="1A5C2E"/>
                <w:sz w:val="16"/>
                <w:szCs w:val="16"/>
              </w:rPr>
            </w:pPr>
            <w:r>
              <w:rPr>
                <w:b/>
                <w:bCs/>
                <w:color w:val="1A5C2E"/>
                <w:sz w:val="16"/>
                <w:szCs w:val="16"/>
              </w:rPr>
              <w:t>VETGOODS</w:t>
            </w:r>
          </w:p>
        </w:tc>
        <w:tc>
          <w:tcPr>
            <w:tcW w:w="2980" w:type="dxa"/>
            <w:tcBorders>
              <w:top w:val="nil"/>
              <w:left w:val="nil"/>
              <w:bottom w:val="single" w:sz="4" w:space="0" w:color="CCCCCC"/>
              <w:right w:val="single" w:sz="4" w:space="0" w:color="CCCCCC"/>
            </w:tcBorders>
            <w:shd w:val="clear" w:color="000000" w:fill="E6F4EA"/>
            <w:noWrap/>
            <w:vAlign w:val="center"/>
            <w:hideMark/>
          </w:tcPr>
          <w:p w14:paraId="1DA73C96" w14:textId="5CDBFA46" w:rsidR="00F56AEE" w:rsidRPr="00F56AEE" w:rsidRDefault="00F56AEE" w:rsidP="00F56AEE">
            <w:pPr>
              <w:rPr>
                <w:rFonts w:eastAsia="Times New Roman"/>
                <w:b/>
                <w:bCs/>
                <w:color w:val="1A5C2E"/>
                <w:sz w:val="16"/>
                <w:szCs w:val="16"/>
              </w:rPr>
            </w:pPr>
            <w:r>
              <w:rPr>
                <w:b/>
                <w:bCs/>
                <w:color w:val="1A5C2E"/>
                <w:sz w:val="16"/>
                <w:szCs w:val="16"/>
              </w:rPr>
              <w:t>VETIVA CONSUMER GOODS ETF</w:t>
            </w:r>
          </w:p>
        </w:tc>
        <w:tc>
          <w:tcPr>
            <w:tcW w:w="1080" w:type="dxa"/>
            <w:tcBorders>
              <w:top w:val="nil"/>
              <w:left w:val="nil"/>
              <w:bottom w:val="single" w:sz="4" w:space="0" w:color="CCCCCC"/>
              <w:right w:val="single" w:sz="4" w:space="0" w:color="CCCCCC"/>
            </w:tcBorders>
            <w:shd w:val="clear" w:color="000000" w:fill="E6F4EA"/>
            <w:noWrap/>
            <w:vAlign w:val="center"/>
            <w:hideMark/>
          </w:tcPr>
          <w:p w14:paraId="33CBFCAB" w14:textId="4165DAFC" w:rsidR="00F56AEE" w:rsidRPr="00F56AEE" w:rsidRDefault="00F56AEE" w:rsidP="00F56AEE">
            <w:pPr>
              <w:jc w:val="right"/>
              <w:rPr>
                <w:rFonts w:eastAsia="Times New Roman"/>
                <w:b/>
                <w:bCs/>
                <w:color w:val="1A5C2E"/>
                <w:sz w:val="16"/>
                <w:szCs w:val="16"/>
              </w:rPr>
            </w:pPr>
            <w:r>
              <w:rPr>
                <w:b/>
                <w:bCs/>
                <w:color w:val="1A5C2E"/>
                <w:sz w:val="16"/>
                <w:szCs w:val="16"/>
              </w:rPr>
              <w:t>41.77</w:t>
            </w:r>
          </w:p>
        </w:tc>
        <w:tc>
          <w:tcPr>
            <w:tcW w:w="940" w:type="dxa"/>
            <w:tcBorders>
              <w:top w:val="nil"/>
              <w:left w:val="nil"/>
              <w:bottom w:val="single" w:sz="4" w:space="0" w:color="CCCCCC"/>
              <w:right w:val="single" w:sz="4" w:space="0" w:color="CCCCCC"/>
            </w:tcBorders>
            <w:shd w:val="clear" w:color="000000" w:fill="E6F4EA"/>
            <w:noWrap/>
            <w:vAlign w:val="center"/>
            <w:hideMark/>
          </w:tcPr>
          <w:p w14:paraId="33A8EC1C" w14:textId="33183F39" w:rsidR="00F56AEE" w:rsidRPr="00F56AEE" w:rsidRDefault="00F56AEE" w:rsidP="00F56AEE">
            <w:pPr>
              <w:jc w:val="center"/>
              <w:rPr>
                <w:rFonts w:eastAsia="Times New Roman"/>
                <w:b/>
                <w:bCs/>
                <w:color w:val="1A5C2E"/>
                <w:sz w:val="16"/>
                <w:szCs w:val="16"/>
              </w:rPr>
            </w:pPr>
            <w:r>
              <w:rPr>
                <w:b/>
                <w:bCs/>
                <w:color w:val="B22222"/>
                <w:sz w:val="16"/>
                <w:szCs w:val="16"/>
              </w:rPr>
              <w:t>-21.56%</w:t>
            </w:r>
          </w:p>
        </w:tc>
        <w:tc>
          <w:tcPr>
            <w:tcW w:w="1600" w:type="dxa"/>
            <w:tcBorders>
              <w:top w:val="nil"/>
              <w:left w:val="nil"/>
              <w:bottom w:val="single" w:sz="4" w:space="0" w:color="CCCCCC"/>
              <w:right w:val="single" w:sz="4" w:space="0" w:color="CCCCCC"/>
            </w:tcBorders>
            <w:shd w:val="clear" w:color="000000" w:fill="E6F4EA"/>
            <w:noWrap/>
            <w:vAlign w:val="center"/>
            <w:hideMark/>
          </w:tcPr>
          <w:p w14:paraId="7276CCA7" w14:textId="1FCDCB44" w:rsidR="00F56AEE" w:rsidRPr="00F56AEE" w:rsidRDefault="00F56AEE" w:rsidP="00F56AEE">
            <w:pPr>
              <w:jc w:val="right"/>
              <w:rPr>
                <w:rFonts w:eastAsia="Times New Roman"/>
                <w:b/>
                <w:bCs/>
                <w:color w:val="1A5C2E"/>
                <w:sz w:val="16"/>
                <w:szCs w:val="16"/>
              </w:rPr>
            </w:pPr>
            <w:r>
              <w:rPr>
                <w:b/>
                <w:bCs/>
                <w:color w:val="1A5C2E"/>
                <w:sz w:val="16"/>
                <w:szCs w:val="16"/>
              </w:rPr>
              <w:t>213,387</w:t>
            </w:r>
          </w:p>
        </w:tc>
        <w:tc>
          <w:tcPr>
            <w:tcW w:w="1360" w:type="dxa"/>
            <w:tcBorders>
              <w:top w:val="nil"/>
              <w:left w:val="nil"/>
              <w:bottom w:val="single" w:sz="4" w:space="0" w:color="CCCCCC"/>
              <w:right w:val="single" w:sz="4" w:space="0" w:color="CCCCCC"/>
            </w:tcBorders>
            <w:shd w:val="clear" w:color="000000" w:fill="E6F4EA"/>
            <w:noWrap/>
            <w:vAlign w:val="center"/>
            <w:hideMark/>
          </w:tcPr>
          <w:p w14:paraId="529624BE" w14:textId="3470B03B" w:rsidR="00F56AEE" w:rsidRPr="00F56AEE" w:rsidRDefault="00F56AEE" w:rsidP="00F56AEE">
            <w:pPr>
              <w:jc w:val="right"/>
              <w:rPr>
                <w:rFonts w:eastAsia="Times New Roman"/>
                <w:b/>
                <w:bCs/>
                <w:color w:val="1A5C2E"/>
                <w:sz w:val="16"/>
                <w:szCs w:val="16"/>
              </w:rPr>
            </w:pPr>
            <w:r>
              <w:rPr>
                <w:b/>
                <w:bCs/>
                <w:color w:val="000000"/>
                <w:sz w:val="16"/>
                <w:szCs w:val="16"/>
              </w:rPr>
              <w:t>9.6</w:t>
            </w:r>
          </w:p>
        </w:tc>
      </w:tr>
      <w:tr w:rsidR="00F56AEE" w:rsidRPr="009E7A98" w14:paraId="50FA8F61" w14:textId="77777777" w:rsidTr="00680578">
        <w:trPr>
          <w:trHeight w:val="360"/>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29B5E83B" w14:textId="77777777" w:rsidR="00F56AEE" w:rsidRPr="009E7A98" w:rsidRDefault="00F56AEE" w:rsidP="00F56AEE">
            <w:pPr>
              <w:jc w:val="center"/>
              <w:rPr>
                <w:rFonts w:eastAsia="Times New Roman"/>
                <w:sz w:val="16"/>
                <w:szCs w:val="16"/>
              </w:rPr>
            </w:pPr>
            <w:r>
              <w:rPr>
                <w:rFonts w:eastAsia="Times New Roman"/>
                <w:sz w:val="16"/>
                <w:szCs w:val="16"/>
              </w:rPr>
              <w:t>5</w:t>
            </w:r>
          </w:p>
        </w:tc>
        <w:tc>
          <w:tcPr>
            <w:tcW w:w="1330" w:type="dxa"/>
            <w:tcBorders>
              <w:top w:val="nil"/>
              <w:left w:val="nil"/>
              <w:bottom w:val="single" w:sz="4" w:space="0" w:color="CCCCCC"/>
              <w:right w:val="single" w:sz="4" w:space="0" w:color="CCCCCC"/>
            </w:tcBorders>
            <w:shd w:val="clear" w:color="000000" w:fill="E6F4EA"/>
            <w:noWrap/>
            <w:vAlign w:val="center"/>
            <w:hideMark/>
          </w:tcPr>
          <w:p w14:paraId="429AF706" w14:textId="54EE7709" w:rsidR="00F56AEE" w:rsidRPr="00F56AEE" w:rsidRDefault="00F56AEE" w:rsidP="00F56AEE">
            <w:pPr>
              <w:jc w:val="center"/>
              <w:rPr>
                <w:rFonts w:eastAsia="Times New Roman"/>
                <w:b/>
                <w:bCs/>
                <w:color w:val="1A5C2E"/>
                <w:sz w:val="16"/>
                <w:szCs w:val="16"/>
              </w:rPr>
            </w:pPr>
            <w:r>
              <w:rPr>
                <w:b/>
                <w:bCs/>
                <w:color w:val="1A5C2E"/>
                <w:sz w:val="16"/>
                <w:szCs w:val="16"/>
              </w:rPr>
              <w:t>CMFC</w:t>
            </w:r>
          </w:p>
        </w:tc>
        <w:tc>
          <w:tcPr>
            <w:tcW w:w="2980" w:type="dxa"/>
            <w:tcBorders>
              <w:top w:val="nil"/>
              <w:left w:val="nil"/>
              <w:bottom w:val="single" w:sz="4" w:space="0" w:color="CCCCCC"/>
              <w:right w:val="single" w:sz="4" w:space="0" w:color="CCCCCC"/>
            </w:tcBorders>
            <w:shd w:val="clear" w:color="000000" w:fill="E6F4EA"/>
            <w:noWrap/>
            <w:vAlign w:val="center"/>
            <w:hideMark/>
          </w:tcPr>
          <w:p w14:paraId="4E0387FB" w14:textId="14A20EA7" w:rsidR="00F56AEE" w:rsidRPr="00F56AEE" w:rsidRDefault="00F56AEE" w:rsidP="00F56AEE">
            <w:pPr>
              <w:rPr>
                <w:rFonts w:eastAsia="Times New Roman"/>
                <w:b/>
                <w:bCs/>
                <w:color w:val="1A5C2E"/>
                <w:sz w:val="16"/>
                <w:szCs w:val="16"/>
              </w:rPr>
            </w:pPr>
            <w:r>
              <w:rPr>
                <w:b/>
                <w:bCs/>
                <w:color w:val="1A5C2E"/>
                <w:sz w:val="16"/>
                <w:szCs w:val="16"/>
              </w:rPr>
              <w:t>CRITICAL MINERALS FINANCING CORP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78848A1D" w14:textId="5B96E5DF" w:rsidR="00F56AEE" w:rsidRPr="00F56AEE" w:rsidRDefault="00F56AEE" w:rsidP="00F56AEE">
            <w:pPr>
              <w:jc w:val="right"/>
              <w:rPr>
                <w:rFonts w:eastAsia="Times New Roman"/>
                <w:b/>
                <w:bCs/>
                <w:color w:val="1A5C2E"/>
                <w:sz w:val="16"/>
                <w:szCs w:val="16"/>
              </w:rPr>
            </w:pPr>
            <w:r>
              <w:rPr>
                <w:b/>
                <w:bCs/>
                <w:color w:val="1A5C2E"/>
                <w:sz w:val="16"/>
                <w:szCs w:val="16"/>
              </w:rPr>
              <w:t>2.09</w:t>
            </w:r>
          </w:p>
        </w:tc>
        <w:tc>
          <w:tcPr>
            <w:tcW w:w="940" w:type="dxa"/>
            <w:tcBorders>
              <w:top w:val="nil"/>
              <w:left w:val="nil"/>
              <w:bottom w:val="single" w:sz="4" w:space="0" w:color="CCCCCC"/>
              <w:right w:val="single" w:sz="4" w:space="0" w:color="CCCCCC"/>
            </w:tcBorders>
            <w:shd w:val="clear" w:color="000000" w:fill="E6F4EA"/>
            <w:noWrap/>
            <w:vAlign w:val="center"/>
            <w:hideMark/>
          </w:tcPr>
          <w:p w14:paraId="0FB363E3" w14:textId="0476BFAF" w:rsidR="00F56AEE" w:rsidRPr="00F56AEE" w:rsidRDefault="00F56AEE" w:rsidP="00F56AEE">
            <w:pPr>
              <w:jc w:val="center"/>
              <w:rPr>
                <w:rFonts w:eastAsia="Times New Roman"/>
                <w:b/>
                <w:bCs/>
                <w:color w:val="1A5C2E"/>
                <w:sz w:val="16"/>
                <w:szCs w:val="16"/>
              </w:rPr>
            </w:pPr>
            <w:r>
              <w:rPr>
                <w:b/>
                <w:bCs/>
                <w:color w:val="B22222"/>
                <w:sz w:val="16"/>
                <w:szCs w:val="16"/>
              </w:rPr>
              <w:t>-20.83%</w:t>
            </w:r>
          </w:p>
        </w:tc>
        <w:tc>
          <w:tcPr>
            <w:tcW w:w="1600" w:type="dxa"/>
            <w:tcBorders>
              <w:top w:val="nil"/>
              <w:left w:val="nil"/>
              <w:bottom w:val="single" w:sz="4" w:space="0" w:color="CCCCCC"/>
              <w:right w:val="single" w:sz="4" w:space="0" w:color="CCCCCC"/>
            </w:tcBorders>
            <w:shd w:val="clear" w:color="000000" w:fill="E6F4EA"/>
            <w:noWrap/>
            <w:vAlign w:val="center"/>
            <w:hideMark/>
          </w:tcPr>
          <w:p w14:paraId="700BBDEC" w14:textId="69B47604" w:rsidR="00F56AEE" w:rsidRPr="00F56AEE" w:rsidRDefault="00F56AEE" w:rsidP="00F56AEE">
            <w:pPr>
              <w:jc w:val="right"/>
              <w:rPr>
                <w:rFonts w:eastAsia="Times New Roman"/>
                <w:b/>
                <w:bCs/>
                <w:color w:val="1A5C2E"/>
                <w:sz w:val="16"/>
                <w:szCs w:val="16"/>
              </w:rPr>
            </w:pPr>
            <w:r>
              <w:rPr>
                <w:b/>
                <w:bCs/>
                <w:color w:val="1A5C2E"/>
                <w:sz w:val="16"/>
                <w:szCs w:val="16"/>
              </w:rPr>
              <w:t>25,435,309</w:t>
            </w:r>
          </w:p>
        </w:tc>
        <w:tc>
          <w:tcPr>
            <w:tcW w:w="1360" w:type="dxa"/>
            <w:tcBorders>
              <w:top w:val="nil"/>
              <w:left w:val="nil"/>
              <w:bottom w:val="single" w:sz="4" w:space="0" w:color="CCCCCC"/>
              <w:right w:val="single" w:sz="4" w:space="0" w:color="CCCCCC"/>
            </w:tcBorders>
            <w:shd w:val="clear" w:color="000000" w:fill="E6F4EA"/>
            <w:noWrap/>
            <w:vAlign w:val="center"/>
            <w:hideMark/>
          </w:tcPr>
          <w:p w14:paraId="0D820B5C" w14:textId="37227F23" w:rsidR="00F56AEE" w:rsidRPr="00F56AEE" w:rsidRDefault="00F56AEE" w:rsidP="00F56AEE">
            <w:pPr>
              <w:jc w:val="right"/>
              <w:rPr>
                <w:rFonts w:eastAsia="Times New Roman"/>
                <w:b/>
                <w:bCs/>
                <w:color w:val="1A5C2E"/>
                <w:sz w:val="16"/>
                <w:szCs w:val="16"/>
              </w:rPr>
            </w:pPr>
            <w:r>
              <w:rPr>
                <w:b/>
                <w:bCs/>
                <w:color w:val="FFFFFF"/>
                <w:sz w:val="16"/>
                <w:szCs w:val="16"/>
              </w:rPr>
              <w:t>56.3</w:t>
            </w:r>
          </w:p>
        </w:tc>
      </w:tr>
      <w:tr w:rsidR="00F56AEE" w:rsidRPr="009E7A98" w14:paraId="5F6F0361" w14:textId="77777777" w:rsidTr="00680578">
        <w:trPr>
          <w:trHeight w:val="32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375B569A" w14:textId="77777777" w:rsidR="00F56AEE" w:rsidRPr="009E7A98" w:rsidRDefault="00F56AEE" w:rsidP="00F56AEE">
            <w:pPr>
              <w:jc w:val="center"/>
              <w:rPr>
                <w:rFonts w:eastAsia="Times New Roman"/>
                <w:sz w:val="16"/>
                <w:szCs w:val="16"/>
              </w:rPr>
            </w:pPr>
            <w:r>
              <w:rPr>
                <w:rFonts w:eastAsia="Times New Roman"/>
                <w:sz w:val="16"/>
                <w:szCs w:val="16"/>
              </w:rPr>
              <w:t>6</w:t>
            </w:r>
          </w:p>
        </w:tc>
        <w:tc>
          <w:tcPr>
            <w:tcW w:w="1330" w:type="dxa"/>
            <w:tcBorders>
              <w:top w:val="nil"/>
              <w:left w:val="nil"/>
              <w:bottom w:val="single" w:sz="4" w:space="0" w:color="CCCCCC"/>
              <w:right w:val="single" w:sz="4" w:space="0" w:color="CCCCCC"/>
            </w:tcBorders>
            <w:shd w:val="clear" w:color="000000" w:fill="E6F4EA"/>
            <w:noWrap/>
            <w:vAlign w:val="center"/>
            <w:hideMark/>
          </w:tcPr>
          <w:p w14:paraId="46162E08" w14:textId="203DA95E" w:rsidR="00F56AEE" w:rsidRPr="00F56AEE" w:rsidRDefault="00F56AEE" w:rsidP="00F56AEE">
            <w:pPr>
              <w:jc w:val="center"/>
              <w:rPr>
                <w:rFonts w:eastAsia="Times New Roman"/>
                <w:b/>
                <w:bCs/>
                <w:color w:val="1A5C2E"/>
                <w:sz w:val="16"/>
                <w:szCs w:val="16"/>
              </w:rPr>
            </w:pPr>
            <w:r>
              <w:rPr>
                <w:b/>
                <w:bCs/>
                <w:color w:val="1A5C2E"/>
                <w:sz w:val="16"/>
                <w:szCs w:val="16"/>
              </w:rPr>
              <w:t>NEIMETH</w:t>
            </w:r>
          </w:p>
        </w:tc>
        <w:tc>
          <w:tcPr>
            <w:tcW w:w="2980" w:type="dxa"/>
            <w:tcBorders>
              <w:top w:val="nil"/>
              <w:left w:val="nil"/>
              <w:bottom w:val="single" w:sz="4" w:space="0" w:color="CCCCCC"/>
              <w:right w:val="single" w:sz="4" w:space="0" w:color="CCCCCC"/>
            </w:tcBorders>
            <w:shd w:val="clear" w:color="000000" w:fill="E6F4EA"/>
            <w:noWrap/>
            <w:vAlign w:val="center"/>
            <w:hideMark/>
          </w:tcPr>
          <w:p w14:paraId="5BF0CBCF" w14:textId="5DB32177" w:rsidR="00F56AEE" w:rsidRPr="00F56AEE" w:rsidRDefault="00F56AEE" w:rsidP="00F56AEE">
            <w:pPr>
              <w:rPr>
                <w:rFonts w:eastAsia="Times New Roman"/>
                <w:b/>
                <w:bCs/>
                <w:color w:val="1A5C2E"/>
                <w:sz w:val="16"/>
                <w:szCs w:val="16"/>
              </w:rPr>
            </w:pPr>
            <w:r>
              <w:rPr>
                <w:b/>
                <w:bCs/>
                <w:color w:val="1A5C2E"/>
                <w:sz w:val="16"/>
                <w:szCs w:val="16"/>
              </w:rPr>
              <w:t>NEIMETH INTERNATIONAL PHARMACEUTICAL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3FC7BB69" w14:textId="73F4776A" w:rsidR="00F56AEE" w:rsidRPr="00F56AEE" w:rsidRDefault="00F56AEE" w:rsidP="00F56AEE">
            <w:pPr>
              <w:jc w:val="right"/>
              <w:rPr>
                <w:rFonts w:eastAsia="Times New Roman"/>
                <w:b/>
                <w:bCs/>
                <w:color w:val="1A5C2E"/>
                <w:sz w:val="16"/>
                <w:szCs w:val="16"/>
              </w:rPr>
            </w:pPr>
            <w:r>
              <w:rPr>
                <w:b/>
                <w:bCs/>
                <w:color w:val="1A5C2E"/>
                <w:sz w:val="16"/>
                <w:szCs w:val="16"/>
              </w:rPr>
              <w:t>6.50</w:t>
            </w:r>
          </w:p>
        </w:tc>
        <w:tc>
          <w:tcPr>
            <w:tcW w:w="940" w:type="dxa"/>
            <w:tcBorders>
              <w:top w:val="nil"/>
              <w:left w:val="nil"/>
              <w:bottom w:val="single" w:sz="4" w:space="0" w:color="CCCCCC"/>
              <w:right w:val="single" w:sz="4" w:space="0" w:color="CCCCCC"/>
            </w:tcBorders>
            <w:shd w:val="clear" w:color="000000" w:fill="E6F4EA"/>
            <w:noWrap/>
            <w:vAlign w:val="center"/>
            <w:hideMark/>
          </w:tcPr>
          <w:p w14:paraId="6C6D849B" w14:textId="0C2CF5D1" w:rsidR="00F56AEE" w:rsidRPr="00F56AEE" w:rsidRDefault="00F56AEE" w:rsidP="00F56AEE">
            <w:pPr>
              <w:jc w:val="center"/>
              <w:rPr>
                <w:rFonts w:eastAsia="Times New Roman"/>
                <w:b/>
                <w:bCs/>
                <w:color w:val="1A5C2E"/>
                <w:sz w:val="16"/>
                <w:szCs w:val="16"/>
              </w:rPr>
            </w:pPr>
            <w:r>
              <w:rPr>
                <w:b/>
                <w:bCs/>
                <w:color w:val="B22222"/>
                <w:sz w:val="16"/>
                <w:szCs w:val="16"/>
              </w:rPr>
              <w:t>-18.75%</w:t>
            </w:r>
          </w:p>
        </w:tc>
        <w:tc>
          <w:tcPr>
            <w:tcW w:w="1600" w:type="dxa"/>
            <w:tcBorders>
              <w:top w:val="nil"/>
              <w:left w:val="nil"/>
              <w:bottom w:val="single" w:sz="4" w:space="0" w:color="CCCCCC"/>
              <w:right w:val="single" w:sz="4" w:space="0" w:color="CCCCCC"/>
            </w:tcBorders>
            <w:shd w:val="clear" w:color="000000" w:fill="E6F4EA"/>
            <w:noWrap/>
            <w:vAlign w:val="center"/>
            <w:hideMark/>
          </w:tcPr>
          <w:p w14:paraId="408529DE" w14:textId="114FA933" w:rsidR="00F56AEE" w:rsidRPr="00F56AEE" w:rsidRDefault="00F56AEE" w:rsidP="00F56AEE">
            <w:pPr>
              <w:jc w:val="right"/>
              <w:rPr>
                <w:rFonts w:eastAsia="Times New Roman"/>
                <w:b/>
                <w:bCs/>
                <w:color w:val="1A5C2E"/>
                <w:sz w:val="16"/>
                <w:szCs w:val="16"/>
              </w:rPr>
            </w:pPr>
            <w:r>
              <w:rPr>
                <w:b/>
                <w:bCs/>
                <w:color w:val="1A5C2E"/>
                <w:sz w:val="16"/>
                <w:szCs w:val="16"/>
              </w:rPr>
              <w:t>11,901,542</w:t>
            </w:r>
          </w:p>
        </w:tc>
        <w:tc>
          <w:tcPr>
            <w:tcW w:w="1360" w:type="dxa"/>
            <w:tcBorders>
              <w:top w:val="nil"/>
              <w:left w:val="nil"/>
              <w:bottom w:val="single" w:sz="4" w:space="0" w:color="CCCCCC"/>
              <w:right w:val="single" w:sz="4" w:space="0" w:color="CCCCCC"/>
            </w:tcBorders>
            <w:shd w:val="clear" w:color="000000" w:fill="E6F4EA"/>
            <w:noWrap/>
            <w:vAlign w:val="center"/>
            <w:hideMark/>
          </w:tcPr>
          <w:p w14:paraId="4FA3F15B" w14:textId="77C59F05" w:rsidR="00F56AEE" w:rsidRPr="00F56AEE" w:rsidRDefault="00F56AEE" w:rsidP="00F56AEE">
            <w:pPr>
              <w:jc w:val="right"/>
              <w:rPr>
                <w:rFonts w:eastAsia="Times New Roman"/>
                <w:b/>
                <w:bCs/>
                <w:color w:val="1A5C2E"/>
                <w:sz w:val="16"/>
                <w:szCs w:val="16"/>
              </w:rPr>
            </w:pPr>
            <w:r>
              <w:rPr>
                <w:b/>
                <w:bCs/>
                <w:color w:val="1A5C2E"/>
                <w:sz w:val="16"/>
                <w:szCs w:val="16"/>
              </w:rPr>
              <w:t>80.8</w:t>
            </w:r>
          </w:p>
        </w:tc>
      </w:tr>
      <w:tr w:rsidR="00F56AEE" w:rsidRPr="009E7A98" w14:paraId="269DF5AA" w14:textId="77777777" w:rsidTr="00680578">
        <w:trPr>
          <w:trHeight w:val="321"/>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40E1797A" w14:textId="77777777" w:rsidR="00F56AEE" w:rsidRPr="009E7A98" w:rsidRDefault="00F56AEE" w:rsidP="00F56AEE">
            <w:pPr>
              <w:jc w:val="center"/>
              <w:rPr>
                <w:rFonts w:eastAsia="Times New Roman"/>
                <w:sz w:val="16"/>
                <w:szCs w:val="16"/>
              </w:rPr>
            </w:pPr>
            <w:r>
              <w:rPr>
                <w:rFonts w:eastAsia="Times New Roman"/>
                <w:sz w:val="16"/>
                <w:szCs w:val="16"/>
              </w:rPr>
              <w:t>7</w:t>
            </w:r>
          </w:p>
        </w:tc>
        <w:tc>
          <w:tcPr>
            <w:tcW w:w="1330" w:type="dxa"/>
            <w:tcBorders>
              <w:top w:val="nil"/>
              <w:left w:val="nil"/>
              <w:bottom w:val="single" w:sz="4" w:space="0" w:color="CCCCCC"/>
              <w:right w:val="single" w:sz="4" w:space="0" w:color="CCCCCC"/>
            </w:tcBorders>
            <w:shd w:val="clear" w:color="000000" w:fill="E6F4EA"/>
            <w:noWrap/>
            <w:vAlign w:val="center"/>
            <w:hideMark/>
          </w:tcPr>
          <w:p w14:paraId="24FE23F9" w14:textId="099519F3" w:rsidR="00F56AEE" w:rsidRPr="00F56AEE" w:rsidRDefault="00F56AEE" w:rsidP="00F56AEE">
            <w:pPr>
              <w:jc w:val="center"/>
              <w:rPr>
                <w:rFonts w:eastAsia="Times New Roman"/>
                <w:b/>
                <w:bCs/>
                <w:color w:val="1A5C2E"/>
                <w:sz w:val="16"/>
                <w:szCs w:val="16"/>
              </w:rPr>
            </w:pPr>
            <w:r>
              <w:rPr>
                <w:b/>
                <w:bCs/>
                <w:color w:val="1A5C2E"/>
                <w:sz w:val="16"/>
                <w:szCs w:val="16"/>
              </w:rPr>
              <w:t>RTBRISCOE</w:t>
            </w:r>
          </w:p>
        </w:tc>
        <w:tc>
          <w:tcPr>
            <w:tcW w:w="2980" w:type="dxa"/>
            <w:tcBorders>
              <w:top w:val="nil"/>
              <w:left w:val="nil"/>
              <w:bottom w:val="single" w:sz="4" w:space="0" w:color="CCCCCC"/>
              <w:right w:val="single" w:sz="4" w:space="0" w:color="CCCCCC"/>
            </w:tcBorders>
            <w:shd w:val="clear" w:color="000000" w:fill="E6F4EA"/>
            <w:noWrap/>
            <w:vAlign w:val="center"/>
            <w:hideMark/>
          </w:tcPr>
          <w:p w14:paraId="44B6DB74" w14:textId="09A94733" w:rsidR="00F56AEE" w:rsidRPr="00F56AEE" w:rsidRDefault="00F56AEE" w:rsidP="00F56AEE">
            <w:pPr>
              <w:rPr>
                <w:rFonts w:eastAsia="Times New Roman"/>
                <w:b/>
                <w:bCs/>
                <w:color w:val="1A5C2E"/>
                <w:sz w:val="16"/>
                <w:szCs w:val="16"/>
              </w:rPr>
            </w:pPr>
            <w:r>
              <w:rPr>
                <w:b/>
                <w:bCs/>
                <w:color w:val="1A5C2E"/>
                <w:sz w:val="16"/>
                <w:szCs w:val="16"/>
              </w:rPr>
              <w:t>R T BRISCOE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360DBC5F" w14:textId="7E5BF477" w:rsidR="00F56AEE" w:rsidRPr="00F56AEE" w:rsidRDefault="00F56AEE" w:rsidP="00F56AEE">
            <w:pPr>
              <w:jc w:val="right"/>
              <w:rPr>
                <w:rFonts w:eastAsia="Times New Roman"/>
                <w:b/>
                <w:bCs/>
                <w:color w:val="1A5C2E"/>
                <w:sz w:val="16"/>
                <w:szCs w:val="16"/>
              </w:rPr>
            </w:pPr>
            <w:r>
              <w:rPr>
                <w:b/>
                <w:bCs/>
                <w:color w:val="1A5C2E"/>
                <w:sz w:val="16"/>
                <w:szCs w:val="16"/>
              </w:rPr>
              <w:t>8.10</w:t>
            </w:r>
          </w:p>
        </w:tc>
        <w:tc>
          <w:tcPr>
            <w:tcW w:w="940" w:type="dxa"/>
            <w:tcBorders>
              <w:top w:val="nil"/>
              <w:left w:val="nil"/>
              <w:bottom w:val="single" w:sz="4" w:space="0" w:color="CCCCCC"/>
              <w:right w:val="single" w:sz="4" w:space="0" w:color="CCCCCC"/>
            </w:tcBorders>
            <w:shd w:val="clear" w:color="000000" w:fill="E6F4EA"/>
            <w:noWrap/>
            <w:vAlign w:val="center"/>
            <w:hideMark/>
          </w:tcPr>
          <w:p w14:paraId="48004A13" w14:textId="2B658A2E" w:rsidR="00F56AEE" w:rsidRPr="00F56AEE" w:rsidRDefault="00F56AEE" w:rsidP="00F56AEE">
            <w:pPr>
              <w:jc w:val="center"/>
              <w:rPr>
                <w:rFonts w:eastAsia="Times New Roman"/>
                <w:b/>
                <w:bCs/>
                <w:color w:val="1A5C2E"/>
                <w:sz w:val="16"/>
                <w:szCs w:val="16"/>
              </w:rPr>
            </w:pPr>
            <w:r>
              <w:rPr>
                <w:b/>
                <w:bCs/>
                <w:color w:val="B22222"/>
                <w:sz w:val="16"/>
                <w:szCs w:val="16"/>
              </w:rPr>
              <w:t>-18.18%</w:t>
            </w:r>
          </w:p>
        </w:tc>
        <w:tc>
          <w:tcPr>
            <w:tcW w:w="1600" w:type="dxa"/>
            <w:tcBorders>
              <w:top w:val="nil"/>
              <w:left w:val="nil"/>
              <w:bottom w:val="single" w:sz="4" w:space="0" w:color="CCCCCC"/>
              <w:right w:val="single" w:sz="4" w:space="0" w:color="CCCCCC"/>
            </w:tcBorders>
            <w:shd w:val="clear" w:color="000000" w:fill="E6F4EA"/>
            <w:noWrap/>
            <w:vAlign w:val="center"/>
            <w:hideMark/>
          </w:tcPr>
          <w:p w14:paraId="4E269245" w14:textId="5D3788C0" w:rsidR="00F56AEE" w:rsidRPr="00F56AEE" w:rsidRDefault="00F56AEE" w:rsidP="00F56AEE">
            <w:pPr>
              <w:jc w:val="right"/>
              <w:rPr>
                <w:rFonts w:eastAsia="Times New Roman"/>
                <w:b/>
                <w:bCs/>
                <w:color w:val="1A5C2E"/>
                <w:sz w:val="16"/>
                <w:szCs w:val="16"/>
              </w:rPr>
            </w:pPr>
            <w:r>
              <w:rPr>
                <w:b/>
                <w:bCs/>
                <w:color w:val="1A5C2E"/>
                <w:sz w:val="16"/>
                <w:szCs w:val="16"/>
              </w:rPr>
              <w:t>2,889,789</w:t>
            </w:r>
          </w:p>
        </w:tc>
        <w:tc>
          <w:tcPr>
            <w:tcW w:w="1360" w:type="dxa"/>
            <w:tcBorders>
              <w:top w:val="nil"/>
              <w:left w:val="nil"/>
              <w:bottom w:val="single" w:sz="4" w:space="0" w:color="CCCCCC"/>
              <w:right w:val="single" w:sz="4" w:space="0" w:color="CCCCCC"/>
            </w:tcBorders>
            <w:shd w:val="clear" w:color="000000" w:fill="E6F4EA"/>
            <w:noWrap/>
            <w:vAlign w:val="center"/>
            <w:hideMark/>
          </w:tcPr>
          <w:p w14:paraId="38C632F7" w14:textId="4FB2B3F5" w:rsidR="00F56AEE" w:rsidRPr="00F56AEE" w:rsidRDefault="00F56AEE" w:rsidP="00F56AEE">
            <w:pPr>
              <w:jc w:val="right"/>
              <w:rPr>
                <w:rFonts w:eastAsia="Times New Roman"/>
                <w:b/>
                <w:bCs/>
                <w:color w:val="1A5C2E"/>
                <w:sz w:val="16"/>
                <w:szCs w:val="16"/>
              </w:rPr>
            </w:pPr>
            <w:r>
              <w:rPr>
                <w:b/>
                <w:bCs/>
                <w:color w:val="404040"/>
                <w:sz w:val="16"/>
                <w:szCs w:val="16"/>
              </w:rPr>
              <w:t>26.5</w:t>
            </w:r>
          </w:p>
        </w:tc>
      </w:tr>
      <w:tr w:rsidR="00F56AEE" w:rsidRPr="009E7A98" w14:paraId="0D1E9775" w14:textId="77777777" w:rsidTr="00680578">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14E63C9F" w14:textId="77777777" w:rsidR="00F56AEE" w:rsidRPr="009E7A98" w:rsidRDefault="00F56AEE" w:rsidP="00F56AEE">
            <w:pPr>
              <w:jc w:val="center"/>
              <w:rPr>
                <w:rFonts w:eastAsia="Times New Roman"/>
                <w:sz w:val="16"/>
                <w:szCs w:val="16"/>
              </w:rPr>
            </w:pPr>
            <w:r>
              <w:rPr>
                <w:rFonts w:eastAsia="Times New Roman"/>
                <w:sz w:val="16"/>
                <w:szCs w:val="16"/>
              </w:rPr>
              <w:t>8</w:t>
            </w:r>
          </w:p>
        </w:tc>
        <w:tc>
          <w:tcPr>
            <w:tcW w:w="1330" w:type="dxa"/>
            <w:tcBorders>
              <w:top w:val="nil"/>
              <w:left w:val="nil"/>
              <w:bottom w:val="single" w:sz="4" w:space="0" w:color="CCCCCC"/>
              <w:right w:val="single" w:sz="4" w:space="0" w:color="CCCCCC"/>
            </w:tcBorders>
            <w:shd w:val="clear" w:color="000000" w:fill="E6F4EA"/>
            <w:noWrap/>
            <w:vAlign w:val="center"/>
            <w:hideMark/>
          </w:tcPr>
          <w:p w14:paraId="5FB06CA3" w14:textId="663D888D" w:rsidR="00F56AEE" w:rsidRPr="00F56AEE" w:rsidRDefault="00F56AEE" w:rsidP="00F56AEE">
            <w:pPr>
              <w:jc w:val="center"/>
              <w:rPr>
                <w:rFonts w:eastAsia="Times New Roman"/>
                <w:b/>
                <w:bCs/>
                <w:color w:val="1A5C2E"/>
                <w:sz w:val="16"/>
                <w:szCs w:val="16"/>
              </w:rPr>
            </w:pPr>
            <w:r>
              <w:rPr>
                <w:b/>
                <w:bCs/>
                <w:color w:val="1A5C2E"/>
                <w:sz w:val="16"/>
                <w:szCs w:val="16"/>
              </w:rPr>
              <w:t>AVACAP</w:t>
            </w:r>
          </w:p>
        </w:tc>
        <w:tc>
          <w:tcPr>
            <w:tcW w:w="2980" w:type="dxa"/>
            <w:tcBorders>
              <w:top w:val="nil"/>
              <w:left w:val="nil"/>
              <w:bottom w:val="single" w:sz="4" w:space="0" w:color="CCCCCC"/>
              <w:right w:val="single" w:sz="4" w:space="0" w:color="CCCCCC"/>
            </w:tcBorders>
            <w:shd w:val="clear" w:color="000000" w:fill="E6F4EA"/>
            <w:noWrap/>
            <w:vAlign w:val="center"/>
            <w:hideMark/>
          </w:tcPr>
          <w:p w14:paraId="0E4490FE" w14:textId="323536E0" w:rsidR="00F56AEE" w:rsidRPr="00F56AEE" w:rsidRDefault="00F56AEE" w:rsidP="00F56AEE">
            <w:pPr>
              <w:rPr>
                <w:rFonts w:eastAsia="Times New Roman"/>
                <w:b/>
                <w:bCs/>
                <w:color w:val="1A5C2E"/>
                <w:sz w:val="16"/>
                <w:szCs w:val="16"/>
              </w:rPr>
            </w:pPr>
            <w:r>
              <w:rPr>
                <w:b/>
                <w:bCs/>
                <w:color w:val="1A5C2E"/>
                <w:sz w:val="16"/>
                <w:szCs w:val="16"/>
              </w:rPr>
              <w:t>AVA CAPITAL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777B29B3" w14:textId="5C4E621A" w:rsidR="00F56AEE" w:rsidRPr="00F56AEE" w:rsidRDefault="00F56AEE" w:rsidP="00F56AEE">
            <w:pPr>
              <w:jc w:val="right"/>
              <w:rPr>
                <w:rFonts w:eastAsia="Times New Roman"/>
                <w:b/>
                <w:bCs/>
                <w:color w:val="1A5C2E"/>
                <w:sz w:val="16"/>
                <w:szCs w:val="16"/>
              </w:rPr>
            </w:pPr>
            <w:r>
              <w:rPr>
                <w:b/>
                <w:bCs/>
                <w:color w:val="1A5C2E"/>
                <w:sz w:val="16"/>
                <w:szCs w:val="16"/>
              </w:rPr>
              <w:t>5.10</w:t>
            </w:r>
          </w:p>
        </w:tc>
        <w:tc>
          <w:tcPr>
            <w:tcW w:w="940" w:type="dxa"/>
            <w:tcBorders>
              <w:top w:val="nil"/>
              <w:left w:val="nil"/>
              <w:bottom w:val="single" w:sz="4" w:space="0" w:color="CCCCCC"/>
              <w:right w:val="single" w:sz="4" w:space="0" w:color="CCCCCC"/>
            </w:tcBorders>
            <w:shd w:val="clear" w:color="000000" w:fill="E6F4EA"/>
            <w:noWrap/>
            <w:vAlign w:val="center"/>
            <w:hideMark/>
          </w:tcPr>
          <w:p w14:paraId="4AFBB887" w14:textId="6357CC96" w:rsidR="00F56AEE" w:rsidRPr="00F56AEE" w:rsidRDefault="00F56AEE" w:rsidP="00F56AEE">
            <w:pPr>
              <w:jc w:val="center"/>
              <w:rPr>
                <w:rFonts w:eastAsia="Times New Roman"/>
                <w:b/>
                <w:bCs/>
                <w:color w:val="1A5C2E"/>
                <w:sz w:val="16"/>
                <w:szCs w:val="16"/>
              </w:rPr>
            </w:pPr>
            <w:r>
              <w:rPr>
                <w:b/>
                <w:bCs/>
                <w:color w:val="B22222"/>
                <w:sz w:val="16"/>
                <w:szCs w:val="16"/>
              </w:rPr>
              <w:t>-17.74%</w:t>
            </w:r>
          </w:p>
        </w:tc>
        <w:tc>
          <w:tcPr>
            <w:tcW w:w="1600" w:type="dxa"/>
            <w:tcBorders>
              <w:top w:val="nil"/>
              <w:left w:val="nil"/>
              <w:bottom w:val="single" w:sz="4" w:space="0" w:color="CCCCCC"/>
              <w:right w:val="single" w:sz="4" w:space="0" w:color="CCCCCC"/>
            </w:tcBorders>
            <w:shd w:val="clear" w:color="000000" w:fill="E6F4EA"/>
            <w:noWrap/>
            <w:vAlign w:val="center"/>
            <w:hideMark/>
          </w:tcPr>
          <w:p w14:paraId="35E300AA" w14:textId="3BFAB2A7" w:rsidR="00F56AEE" w:rsidRPr="00F56AEE" w:rsidRDefault="00F56AEE" w:rsidP="00F56AEE">
            <w:pPr>
              <w:jc w:val="right"/>
              <w:rPr>
                <w:rFonts w:eastAsia="Times New Roman"/>
                <w:b/>
                <w:bCs/>
                <w:color w:val="1A5C2E"/>
                <w:sz w:val="16"/>
                <w:szCs w:val="16"/>
              </w:rPr>
            </w:pPr>
            <w:r>
              <w:rPr>
                <w:b/>
                <w:bCs/>
                <w:color w:val="1A5C2E"/>
                <w:sz w:val="16"/>
                <w:szCs w:val="16"/>
              </w:rPr>
              <w:t>15,651,105</w:t>
            </w:r>
          </w:p>
        </w:tc>
        <w:tc>
          <w:tcPr>
            <w:tcW w:w="1360" w:type="dxa"/>
            <w:tcBorders>
              <w:top w:val="nil"/>
              <w:left w:val="nil"/>
              <w:bottom w:val="single" w:sz="4" w:space="0" w:color="CCCCCC"/>
              <w:right w:val="single" w:sz="4" w:space="0" w:color="CCCCCC"/>
            </w:tcBorders>
            <w:shd w:val="clear" w:color="000000" w:fill="E6F4EA"/>
            <w:noWrap/>
            <w:vAlign w:val="center"/>
            <w:hideMark/>
          </w:tcPr>
          <w:p w14:paraId="609D49A1" w14:textId="12FDA7EB" w:rsidR="00F56AEE" w:rsidRPr="00F56AEE" w:rsidRDefault="00F56AEE" w:rsidP="00F56AEE">
            <w:pPr>
              <w:jc w:val="right"/>
              <w:rPr>
                <w:rFonts w:eastAsia="Times New Roman"/>
                <w:b/>
                <w:bCs/>
                <w:color w:val="1A5C2E"/>
                <w:sz w:val="16"/>
                <w:szCs w:val="16"/>
              </w:rPr>
            </w:pPr>
            <w:r>
              <w:rPr>
                <w:b/>
                <w:bCs/>
                <w:color w:val="FFFFFF"/>
                <w:sz w:val="16"/>
                <w:szCs w:val="16"/>
              </w:rPr>
              <w:t>82.6</w:t>
            </w:r>
          </w:p>
        </w:tc>
      </w:tr>
      <w:tr w:rsidR="00F56AEE" w:rsidRPr="009E7A98" w14:paraId="0F42C22C" w14:textId="77777777" w:rsidTr="00680578">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69A5218B" w14:textId="77777777" w:rsidR="00F56AEE" w:rsidRPr="009E7A98" w:rsidRDefault="00F56AEE" w:rsidP="00F56AEE">
            <w:pPr>
              <w:jc w:val="center"/>
              <w:rPr>
                <w:rFonts w:eastAsia="Times New Roman"/>
                <w:sz w:val="16"/>
                <w:szCs w:val="16"/>
              </w:rPr>
            </w:pPr>
            <w:r>
              <w:rPr>
                <w:rFonts w:eastAsia="Times New Roman"/>
                <w:sz w:val="16"/>
                <w:szCs w:val="16"/>
              </w:rPr>
              <w:t>9</w:t>
            </w:r>
          </w:p>
        </w:tc>
        <w:tc>
          <w:tcPr>
            <w:tcW w:w="1330" w:type="dxa"/>
            <w:tcBorders>
              <w:top w:val="nil"/>
              <w:left w:val="nil"/>
              <w:bottom w:val="single" w:sz="4" w:space="0" w:color="CCCCCC"/>
              <w:right w:val="single" w:sz="4" w:space="0" w:color="CCCCCC"/>
            </w:tcBorders>
            <w:shd w:val="clear" w:color="000000" w:fill="E6F4EA"/>
            <w:noWrap/>
            <w:vAlign w:val="center"/>
            <w:hideMark/>
          </w:tcPr>
          <w:p w14:paraId="7F04BA9E" w14:textId="5FD86B16" w:rsidR="00F56AEE" w:rsidRPr="00F56AEE" w:rsidRDefault="00F56AEE" w:rsidP="00F56AEE">
            <w:pPr>
              <w:jc w:val="center"/>
              <w:rPr>
                <w:rFonts w:eastAsia="Times New Roman"/>
                <w:b/>
                <w:bCs/>
                <w:color w:val="1A5C2E"/>
                <w:sz w:val="16"/>
                <w:szCs w:val="16"/>
              </w:rPr>
            </w:pPr>
            <w:r>
              <w:rPr>
                <w:b/>
                <w:bCs/>
                <w:color w:val="1A5C2E"/>
                <w:sz w:val="16"/>
                <w:szCs w:val="16"/>
              </w:rPr>
              <w:t>MERVALUE</w:t>
            </w:r>
          </w:p>
        </w:tc>
        <w:tc>
          <w:tcPr>
            <w:tcW w:w="2980" w:type="dxa"/>
            <w:tcBorders>
              <w:top w:val="nil"/>
              <w:left w:val="nil"/>
              <w:bottom w:val="single" w:sz="4" w:space="0" w:color="CCCCCC"/>
              <w:right w:val="single" w:sz="4" w:space="0" w:color="CCCCCC"/>
            </w:tcBorders>
            <w:shd w:val="clear" w:color="000000" w:fill="E6F4EA"/>
            <w:noWrap/>
            <w:vAlign w:val="center"/>
            <w:hideMark/>
          </w:tcPr>
          <w:p w14:paraId="73783987" w14:textId="3655C44E" w:rsidR="00F56AEE" w:rsidRPr="00F56AEE" w:rsidRDefault="00F56AEE" w:rsidP="00F56AEE">
            <w:pPr>
              <w:rPr>
                <w:rFonts w:eastAsia="Times New Roman"/>
                <w:b/>
                <w:bCs/>
                <w:color w:val="1A5C2E"/>
                <w:sz w:val="16"/>
                <w:szCs w:val="16"/>
              </w:rPr>
            </w:pPr>
            <w:r>
              <w:rPr>
                <w:b/>
                <w:bCs/>
                <w:color w:val="1A5C2E"/>
                <w:sz w:val="16"/>
                <w:szCs w:val="16"/>
              </w:rPr>
              <w:t>MERISTEM VALUE EXCHANGE TRADED FUND</w:t>
            </w:r>
          </w:p>
        </w:tc>
        <w:tc>
          <w:tcPr>
            <w:tcW w:w="1080" w:type="dxa"/>
            <w:tcBorders>
              <w:top w:val="nil"/>
              <w:left w:val="nil"/>
              <w:bottom w:val="single" w:sz="4" w:space="0" w:color="CCCCCC"/>
              <w:right w:val="single" w:sz="4" w:space="0" w:color="CCCCCC"/>
            </w:tcBorders>
            <w:shd w:val="clear" w:color="000000" w:fill="E6F4EA"/>
            <w:noWrap/>
            <w:vAlign w:val="center"/>
            <w:hideMark/>
          </w:tcPr>
          <w:p w14:paraId="6643F33E" w14:textId="4D7C21EB" w:rsidR="00F56AEE" w:rsidRPr="00F56AEE" w:rsidRDefault="00F56AEE" w:rsidP="00F56AEE">
            <w:pPr>
              <w:jc w:val="right"/>
              <w:rPr>
                <w:rFonts w:eastAsia="Times New Roman"/>
                <w:b/>
                <w:bCs/>
                <w:color w:val="1A5C2E"/>
                <w:sz w:val="16"/>
                <w:szCs w:val="16"/>
              </w:rPr>
            </w:pPr>
            <w:r>
              <w:rPr>
                <w:b/>
                <w:bCs/>
                <w:color w:val="1A5C2E"/>
                <w:sz w:val="16"/>
                <w:szCs w:val="16"/>
              </w:rPr>
              <w:t>124.00</w:t>
            </w:r>
          </w:p>
        </w:tc>
        <w:tc>
          <w:tcPr>
            <w:tcW w:w="940" w:type="dxa"/>
            <w:tcBorders>
              <w:top w:val="nil"/>
              <w:left w:val="nil"/>
              <w:bottom w:val="single" w:sz="4" w:space="0" w:color="CCCCCC"/>
              <w:right w:val="single" w:sz="4" w:space="0" w:color="CCCCCC"/>
            </w:tcBorders>
            <w:shd w:val="clear" w:color="000000" w:fill="E6F4EA"/>
            <w:noWrap/>
            <w:vAlign w:val="center"/>
            <w:hideMark/>
          </w:tcPr>
          <w:p w14:paraId="57D76D76" w14:textId="372647D3" w:rsidR="00F56AEE" w:rsidRPr="00F56AEE" w:rsidRDefault="00F56AEE" w:rsidP="00F56AEE">
            <w:pPr>
              <w:jc w:val="center"/>
              <w:rPr>
                <w:rFonts w:eastAsia="Times New Roman"/>
                <w:b/>
                <w:bCs/>
                <w:color w:val="1A5C2E"/>
                <w:sz w:val="16"/>
                <w:szCs w:val="16"/>
              </w:rPr>
            </w:pPr>
            <w:r>
              <w:rPr>
                <w:b/>
                <w:bCs/>
                <w:color w:val="B22222"/>
                <w:sz w:val="16"/>
                <w:szCs w:val="16"/>
              </w:rPr>
              <w:t>-17.33%</w:t>
            </w:r>
          </w:p>
        </w:tc>
        <w:tc>
          <w:tcPr>
            <w:tcW w:w="1600" w:type="dxa"/>
            <w:tcBorders>
              <w:top w:val="nil"/>
              <w:left w:val="nil"/>
              <w:bottom w:val="single" w:sz="4" w:space="0" w:color="CCCCCC"/>
              <w:right w:val="single" w:sz="4" w:space="0" w:color="CCCCCC"/>
            </w:tcBorders>
            <w:shd w:val="clear" w:color="000000" w:fill="E6F4EA"/>
            <w:noWrap/>
            <w:vAlign w:val="center"/>
            <w:hideMark/>
          </w:tcPr>
          <w:p w14:paraId="7E8F1CD5" w14:textId="1D030546" w:rsidR="00F56AEE" w:rsidRPr="00F56AEE" w:rsidRDefault="00F56AEE" w:rsidP="00F56AEE">
            <w:pPr>
              <w:jc w:val="right"/>
              <w:rPr>
                <w:rFonts w:eastAsia="Times New Roman"/>
                <w:b/>
                <w:bCs/>
                <w:color w:val="1A5C2E"/>
                <w:sz w:val="16"/>
                <w:szCs w:val="16"/>
              </w:rPr>
            </w:pPr>
            <w:r>
              <w:rPr>
                <w:b/>
                <w:bCs/>
                <w:color w:val="1A5C2E"/>
                <w:sz w:val="16"/>
                <w:szCs w:val="16"/>
              </w:rPr>
              <w:t>14,846</w:t>
            </w:r>
          </w:p>
        </w:tc>
        <w:tc>
          <w:tcPr>
            <w:tcW w:w="1360" w:type="dxa"/>
            <w:tcBorders>
              <w:top w:val="nil"/>
              <w:left w:val="nil"/>
              <w:bottom w:val="single" w:sz="4" w:space="0" w:color="CCCCCC"/>
              <w:right w:val="single" w:sz="4" w:space="0" w:color="CCCCCC"/>
            </w:tcBorders>
            <w:shd w:val="clear" w:color="000000" w:fill="E6F4EA"/>
            <w:noWrap/>
            <w:vAlign w:val="center"/>
            <w:hideMark/>
          </w:tcPr>
          <w:p w14:paraId="535216D5" w14:textId="24C5852C" w:rsidR="00F56AEE" w:rsidRPr="00F56AEE" w:rsidRDefault="00F56AEE" w:rsidP="00F56AEE">
            <w:pPr>
              <w:jc w:val="right"/>
              <w:rPr>
                <w:rFonts w:eastAsia="Times New Roman"/>
                <w:b/>
                <w:bCs/>
                <w:color w:val="1A5C2E"/>
                <w:sz w:val="16"/>
                <w:szCs w:val="16"/>
              </w:rPr>
            </w:pPr>
            <w:r>
              <w:rPr>
                <w:b/>
                <w:bCs/>
                <w:color w:val="000000"/>
                <w:sz w:val="16"/>
                <w:szCs w:val="16"/>
              </w:rPr>
              <w:t>2.0</w:t>
            </w:r>
          </w:p>
        </w:tc>
      </w:tr>
      <w:tr w:rsidR="00F56AEE" w:rsidRPr="009E7A98" w14:paraId="2D251958" w14:textId="77777777" w:rsidTr="00680578">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0F1FCED4" w14:textId="77777777" w:rsidR="00F56AEE" w:rsidRPr="009E7A98" w:rsidRDefault="00F56AEE" w:rsidP="00F56AEE">
            <w:pPr>
              <w:jc w:val="center"/>
              <w:rPr>
                <w:rFonts w:eastAsia="Times New Roman"/>
                <w:sz w:val="16"/>
                <w:szCs w:val="16"/>
              </w:rPr>
            </w:pPr>
            <w:r>
              <w:rPr>
                <w:rFonts w:eastAsia="Times New Roman"/>
                <w:sz w:val="16"/>
                <w:szCs w:val="16"/>
              </w:rPr>
              <w:t>10</w:t>
            </w:r>
          </w:p>
        </w:tc>
        <w:tc>
          <w:tcPr>
            <w:tcW w:w="1330" w:type="dxa"/>
            <w:tcBorders>
              <w:top w:val="nil"/>
              <w:left w:val="nil"/>
              <w:bottom w:val="single" w:sz="4" w:space="0" w:color="CCCCCC"/>
              <w:right w:val="single" w:sz="4" w:space="0" w:color="CCCCCC"/>
            </w:tcBorders>
            <w:shd w:val="clear" w:color="000000" w:fill="E6F4EA"/>
            <w:noWrap/>
            <w:vAlign w:val="center"/>
            <w:hideMark/>
          </w:tcPr>
          <w:p w14:paraId="524E615F" w14:textId="410F6CE9" w:rsidR="00F56AEE" w:rsidRPr="00F56AEE" w:rsidRDefault="00F56AEE" w:rsidP="00F56AEE">
            <w:pPr>
              <w:jc w:val="center"/>
              <w:rPr>
                <w:rFonts w:eastAsia="Times New Roman"/>
                <w:b/>
                <w:bCs/>
                <w:color w:val="1A5C2E"/>
                <w:sz w:val="16"/>
                <w:szCs w:val="16"/>
              </w:rPr>
            </w:pPr>
            <w:r>
              <w:rPr>
                <w:b/>
                <w:bCs/>
                <w:color w:val="1A5C2E"/>
                <w:sz w:val="16"/>
                <w:szCs w:val="16"/>
              </w:rPr>
              <w:t>CHAMPION</w:t>
            </w:r>
          </w:p>
        </w:tc>
        <w:tc>
          <w:tcPr>
            <w:tcW w:w="2980" w:type="dxa"/>
            <w:tcBorders>
              <w:top w:val="nil"/>
              <w:left w:val="nil"/>
              <w:bottom w:val="single" w:sz="4" w:space="0" w:color="CCCCCC"/>
              <w:right w:val="single" w:sz="4" w:space="0" w:color="CCCCCC"/>
            </w:tcBorders>
            <w:shd w:val="clear" w:color="000000" w:fill="E6F4EA"/>
            <w:noWrap/>
            <w:vAlign w:val="center"/>
            <w:hideMark/>
          </w:tcPr>
          <w:p w14:paraId="23FA68DB" w14:textId="1F329DAB" w:rsidR="00F56AEE" w:rsidRPr="00F56AEE" w:rsidRDefault="00F56AEE" w:rsidP="00F56AEE">
            <w:pPr>
              <w:rPr>
                <w:rFonts w:eastAsia="Times New Roman"/>
                <w:b/>
                <w:bCs/>
                <w:color w:val="1A5C2E"/>
                <w:sz w:val="16"/>
                <w:szCs w:val="16"/>
              </w:rPr>
            </w:pPr>
            <w:r>
              <w:rPr>
                <w:b/>
                <w:bCs/>
                <w:color w:val="1A5C2E"/>
                <w:sz w:val="16"/>
                <w:szCs w:val="16"/>
              </w:rPr>
              <w:t>CHAMPION BREWERIES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58957040" w14:textId="2ABA0C38" w:rsidR="00F56AEE" w:rsidRPr="00F56AEE" w:rsidRDefault="00F56AEE" w:rsidP="00F56AEE">
            <w:pPr>
              <w:jc w:val="right"/>
              <w:rPr>
                <w:rFonts w:eastAsia="Times New Roman"/>
                <w:b/>
                <w:bCs/>
                <w:color w:val="1A5C2E"/>
                <w:sz w:val="16"/>
                <w:szCs w:val="16"/>
              </w:rPr>
            </w:pPr>
            <w:r>
              <w:rPr>
                <w:b/>
                <w:bCs/>
                <w:color w:val="1A5C2E"/>
                <w:sz w:val="16"/>
                <w:szCs w:val="16"/>
              </w:rPr>
              <w:t>10.00</w:t>
            </w:r>
          </w:p>
        </w:tc>
        <w:tc>
          <w:tcPr>
            <w:tcW w:w="940" w:type="dxa"/>
            <w:tcBorders>
              <w:top w:val="nil"/>
              <w:left w:val="nil"/>
              <w:bottom w:val="single" w:sz="4" w:space="0" w:color="CCCCCC"/>
              <w:right w:val="single" w:sz="4" w:space="0" w:color="CCCCCC"/>
            </w:tcBorders>
            <w:shd w:val="clear" w:color="000000" w:fill="E6F4EA"/>
            <w:noWrap/>
            <w:vAlign w:val="center"/>
            <w:hideMark/>
          </w:tcPr>
          <w:p w14:paraId="78002728" w14:textId="6F6582FE" w:rsidR="00F56AEE" w:rsidRPr="00F56AEE" w:rsidRDefault="00F56AEE" w:rsidP="00F56AEE">
            <w:pPr>
              <w:jc w:val="center"/>
              <w:rPr>
                <w:rFonts w:eastAsia="Times New Roman"/>
                <w:b/>
                <w:bCs/>
                <w:color w:val="1A5C2E"/>
                <w:sz w:val="16"/>
                <w:szCs w:val="16"/>
              </w:rPr>
            </w:pPr>
            <w:r>
              <w:rPr>
                <w:b/>
                <w:bCs/>
                <w:color w:val="B22222"/>
                <w:sz w:val="16"/>
                <w:szCs w:val="16"/>
              </w:rPr>
              <w:t>-16.32%</w:t>
            </w:r>
          </w:p>
        </w:tc>
        <w:tc>
          <w:tcPr>
            <w:tcW w:w="1600" w:type="dxa"/>
            <w:tcBorders>
              <w:top w:val="nil"/>
              <w:left w:val="nil"/>
              <w:bottom w:val="single" w:sz="4" w:space="0" w:color="CCCCCC"/>
              <w:right w:val="single" w:sz="4" w:space="0" w:color="CCCCCC"/>
            </w:tcBorders>
            <w:shd w:val="clear" w:color="000000" w:fill="E6F4EA"/>
            <w:noWrap/>
            <w:vAlign w:val="center"/>
            <w:hideMark/>
          </w:tcPr>
          <w:p w14:paraId="38EB168D" w14:textId="733264AC" w:rsidR="00F56AEE" w:rsidRPr="00F56AEE" w:rsidRDefault="00F56AEE" w:rsidP="00F56AEE">
            <w:pPr>
              <w:jc w:val="right"/>
              <w:rPr>
                <w:rFonts w:eastAsia="Times New Roman"/>
                <w:b/>
                <w:bCs/>
                <w:color w:val="1A5C2E"/>
                <w:sz w:val="16"/>
                <w:szCs w:val="16"/>
              </w:rPr>
            </w:pPr>
            <w:r>
              <w:rPr>
                <w:b/>
                <w:bCs/>
                <w:color w:val="1A5C2E"/>
                <w:sz w:val="16"/>
                <w:szCs w:val="16"/>
              </w:rPr>
              <w:t>21,841,578</w:t>
            </w:r>
          </w:p>
        </w:tc>
        <w:tc>
          <w:tcPr>
            <w:tcW w:w="1360" w:type="dxa"/>
            <w:tcBorders>
              <w:top w:val="nil"/>
              <w:left w:val="nil"/>
              <w:bottom w:val="single" w:sz="4" w:space="0" w:color="CCCCCC"/>
              <w:right w:val="single" w:sz="4" w:space="0" w:color="CCCCCC"/>
            </w:tcBorders>
            <w:shd w:val="clear" w:color="000000" w:fill="E6F4EA"/>
            <w:noWrap/>
            <w:vAlign w:val="center"/>
            <w:hideMark/>
          </w:tcPr>
          <w:p w14:paraId="2DCD0427" w14:textId="7B730A34" w:rsidR="00F56AEE" w:rsidRPr="00F56AEE" w:rsidRDefault="00F56AEE" w:rsidP="00F56AEE">
            <w:pPr>
              <w:jc w:val="right"/>
              <w:rPr>
                <w:rFonts w:eastAsia="Times New Roman"/>
                <w:b/>
                <w:bCs/>
                <w:color w:val="1A5C2E"/>
                <w:sz w:val="16"/>
                <w:szCs w:val="16"/>
              </w:rPr>
            </w:pPr>
            <w:r>
              <w:rPr>
                <w:b/>
                <w:bCs/>
                <w:color w:val="222222"/>
                <w:sz w:val="16"/>
                <w:szCs w:val="16"/>
              </w:rPr>
              <w:t>232.3</w:t>
            </w:r>
          </w:p>
        </w:tc>
      </w:tr>
    </w:tbl>
    <w:p w14:paraId="3B96BEB7" w14:textId="39B6B831" w:rsidR="00C06B25" w:rsidRPr="00CB50FD" w:rsidRDefault="00CB3E7C">
      <w:pPr>
        <w:spacing w:before="180" w:after="80"/>
        <w:rPr>
          <w:color w:val="0C3512" w:themeColor="accent3" w:themeShade="80"/>
        </w:rPr>
      </w:pPr>
      <w:r>
        <w:rPr>
          <w:b/>
          <w:bCs/>
          <w:color w:val="0C3512"/>
          <w:sz w:val="22"/>
          <w:szCs w:val="22"/>
        </w:rPr>
        <w:t>Most Active by Volume</w:t>
      </w:r>
    </w:p>
    <w:tbl>
      <w:tblPr>
        <w:tblW w:w="5000" w:type="pct"/>
        <w:tblLook w:val="04A0" w:firstRow="1" w:lastRow="0" w:firstColumn="1" w:lastColumn="0" w:noHBand="0" w:noVBand="1"/>
      </w:tblPr>
      <w:tblGrid>
        <w:gridCol w:w="419"/>
        <w:gridCol w:w="1344"/>
        <w:gridCol w:w="2975"/>
        <w:gridCol w:w="1078"/>
        <w:gridCol w:w="939"/>
        <w:gridCol w:w="1597"/>
        <w:gridCol w:w="1358"/>
      </w:tblGrid>
      <w:tr w:rsidR="009E7A98" w:rsidRPr="009E7A98" w14:paraId="1404AC45" w14:textId="77777777" w:rsidTr="00F56AEE">
        <w:trPr>
          <w:trHeight w:val="285"/>
        </w:trPr>
        <w:tc>
          <w:tcPr>
            <w:tcW w:w="420" w:type="dxa"/>
            <w:tcBorders>
              <w:top w:val="single" w:sz="4" w:space="0" w:color="CCCCCC"/>
              <w:left w:val="single" w:sz="4" w:space="0" w:color="CCCCCC"/>
              <w:bottom w:val="single" w:sz="4" w:space="0" w:color="CCCCCC"/>
              <w:right w:val="single" w:sz="4" w:space="0" w:color="CCCCCC"/>
            </w:tcBorders>
            <w:shd w:val="clear" w:color="000000" w:fill="1A5C2E"/>
            <w:noWrap/>
            <w:vAlign w:val="center"/>
            <w:hideMark/>
          </w:tcPr>
          <w:p w14:paraId="28A0C8CC"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t>
            </w:r>
          </w:p>
        </w:tc>
        <w:tc>
          <w:tcPr>
            <w:tcW w:w="1330" w:type="dxa"/>
            <w:tcBorders>
              <w:top w:val="single" w:sz="4" w:space="0" w:color="CCCCCC"/>
              <w:left w:val="nil"/>
              <w:bottom w:val="single" w:sz="4" w:space="0" w:color="CCCCCC"/>
              <w:right w:val="single" w:sz="4" w:space="0" w:color="CCCCCC"/>
            </w:tcBorders>
            <w:shd w:val="clear" w:color="000000" w:fill="1A5C2E"/>
            <w:noWrap/>
            <w:vAlign w:val="center"/>
            <w:hideMark/>
          </w:tcPr>
          <w:p w14:paraId="3B43F587"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Ticker</w:t>
            </w:r>
          </w:p>
        </w:tc>
        <w:tc>
          <w:tcPr>
            <w:tcW w:w="2980" w:type="dxa"/>
            <w:tcBorders>
              <w:top w:val="single" w:sz="4" w:space="0" w:color="CCCCCC"/>
              <w:left w:val="nil"/>
              <w:bottom w:val="single" w:sz="4" w:space="0" w:color="CCCCCC"/>
              <w:right w:val="single" w:sz="4" w:space="0" w:color="CCCCCC"/>
            </w:tcBorders>
            <w:shd w:val="clear" w:color="000000" w:fill="1A5C2E"/>
            <w:noWrap/>
            <w:vAlign w:val="center"/>
            <w:hideMark/>
          </w:tcPr>
          <w:p w14:paraId="392F1775"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Company</w:t>
            </w:r>
          </w:p>
        </w:tc>
        <w:tc>
          <w:tcPr>
            <w:tcW w:w="1080" w:type="dxa"/>
            <w:tcBorders>
              <w:top w:val="single" w:sz="4" w:space="0" w:color="CCCCCC"/>
              <w:left w:val="nil"/>
              <w:bottom w:val="single" w:sz="4" w:space="0" w:color="CCCCCC"/>
              <w:right w:val="single" w:sz="4" w:space="0" w:color="CCCCCC"/>
            </w:tcBorders>
            <w:shd w:val="clear" w:color="000000" w:fill="1A5C2E"/>
            <w:noWrap/>
            <w:vAlign w:val="center"/>
            <w:hideMark/>
          </w:tcPr>
          <w:p w14:paraId="5EA3AE0E"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Close (₦)</w:t>
            </w:r>
          </w:p>
        </w:tc>
        <w:tc>
          <w:tcPr>
            <w:tcW w:w="940" w:type="dxa"/>
            <w:tcBorders>
              <w:top w:val="single" w:sz="4" w:space="0" w:color="CCCCCC"/>
              <w:left w:val="nil"/>
              <w:bottom w:val="single" w:sz="4" w:space="0" w:color="CCCCCC"/>
              <w:right w:val="single" w:sz="4" w:space="0" w:color="CCCCCC"/>
            </w:tcBorders>
            <w:shd w:val="clear" w:color="000000" w:fill="1A5C2E"/>
            <w:noWrap/>
            <w:vAlign w:val="center"/>
            <w:hideMark/>
          </w:tcPr>
          <w:p w14:paraId="48594506"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WoW %</w:t>
            </w:r>
          </w:p>
        </w:tc>
        <w:tc>
          <w:tcPr>
            <w:tcW w:w="1600" w:type="dxa"/>
            <w:tcBorders>
              <w:top w:val="single" w:sz="4" w:space="0" w:color="CCCCCC"/>
              <w:left w:val="nil"/>
              <w:bottom w:val="single" w:sz="4" w:space="0" w:color="CCCCCC"/>
              <w:right w:val="single" w:sz="4" w:space="0" w:color="CCCCCC"/>
            </w:tcBorders>
            <w:shd w:val="clear" w:color="000000" w:fill="1A5C2E"/>
            <w:noWrap/>
            <w:vAlign w:val="center"/>
            <w:hideMark/>
          </w:tcPr>
          <w:p w14:paraId="23B9CD46" w14:textId="77777777" w:rsidR="009E7A98" w:rsidRPr="009E7A98" w:rsidRDefault="009E7A98" w:rsidP="009E7A98">
            <w:pPr>
              <w:rPr>
                <w:rFonts w:eastAsia="Times New Roman"/>
                <w:b/>
                <w:bCs/>
                <w:color w:val="FFFFFF"/>
                <w:sz w:val="16"/>
                <w:szCs w:val="16"/>
              </w:rPr>
            </w:pPr>
            <w:r>
              <w:rPr>
                <w:rFonts w:eastAsia="Times New Roman"/>
                <w:b/>
                <w:bCs/>
                <w:color w:val="FFFFFF"/>
                <w:sz w:val="16"/>
                <w:szCs w:val="16"/>
              </w:rPr>
              <w:t>Weekly Vol</w:t>
            </w:r>
          </w:p>
        </w:tc>
        <w:tc>
          <w:tcPr>
            <w:tcW w:w="1360" w:type="dxa"/>
            <w:tcBorders>
              <w:top w:val="single" w:sz="4" w:space="0" w:color="CCCCCC"/>
              <w:left w:val="nil"/>
              <w:bottom w:val="single" w:sz="4" w:space="0" w:color="CCCCCC"/>
              <w:right w:val="single" w:sz="4" w:space="0" w:color="CCCCCC"/>
            </w:tcBorders>
            <w:shd w:val="clear" w:color="000000" w:fill="1A5C2E"/>
            <w:noWrap/>
            <w:vAlign w:val="center"/>
            <w:hideMark/>
          </w:tcPr>
          <w:p w14:paraId="2A04C4F5" w14:textId="77777777" w:rsidR="009E7A98" w:rsidRPr="009E7A98" w:rsidRDefault="009E7A98" w:rsidP="009E7A98">
            <w:pPr>
              <w:rPr>
                <w:rFonts w:eastAsia="Times New Roman"/>
                <w:b/>
                <w:bCs/>
                <w:color w:val="FFFFFF"/>
                <w:sz w:val="16"/>
                <w:szCs w:val="16"/>
              </w:rPr>
            </w:pPr>
            <w:r>
              <w:rPr>
                <w:rFonts w:eastAsia="Times New Roman"/>
                <w:b/>
                <w:bCs/>
                <w:color w:val="222222"/>
                <w:sz w:val="16"/>
                <w:szCs w:val="16"/>
              </w:rPr>
              <w:t>Value Traded (₦m)</w:t>
            </w:r>
          </w:p>
        </w:tc>
      </w:tr>
      <w:tr w:rsidR="00F56AEE" w:rsidRPr="009E7A98" w14:paraId="6B326294"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12518E90" w14:textId="77777777" w:rsidR="00F56AEE" w:rsidRPr="009E7A98" w:rsidRDefault="00F56AEE" w:rsidP="00F56AEE">
            <w:pPr>
              <w:jc w:val="center"/>
              <w:rPr>
                <w:rFonts w:eastAsia="Times New Roman"/>
                <w:sz w:val="16"/>
                <w:szCs w:val="16"/>
              </w:rPr>
            </w:pPr>
            <w:r>
              <w:rPr>
                <w:rFonts w:eastAsia="Times New Roman"/>
                <w:sz w:val="16"/>
                <w:szCs w:val="16"/>
              </w:rPr>
              <w:t>1</w:t>
            </w:r>
          </w:p>
        </w:tc>
        <w:tc>
          <w:tcPr>
            <w:tcW w:w="1330" w:type="dxa"/>
            <w:tcBorders>
              <w:top w:val="nil"/>
              <w:left w:val="nil"/>
              <w:bottom w:val="single" w:sz="4" w:space="0" w:color="CCCCCC"/>
              <w:right w:val="single" w:sz="4" w:space="0" w:color="CCCCCC"/>
            </w:tcBorders>
            <w:shd w:val="clear" w:color="000000" w:fill="E6F4EA"/>
            <w:noWrap/>
            <w:vAlign w:val="center"/>
            <w:hideMark/>
          </w:tcPr>
          <w:p w14:paraId="5DD6E654" w14:textId="2699AD19" w:rsidR="00F56AEE" w:rsidRPr="00F56AEE" w:rsidRDefault="00F56AEE" w:rsidP="00F56AEE">
            <w:pPr>
              <w:jc w:val="center"/>
              <w:rPr>
                <w:rFonts w:eastAsia="Times New Roman"/>
                <w:b/>
                <w:bCs/>
                <w:color w:val="1A5C2E"/>
                <w:sz w:val="16"/>
                <w:szCs w:val="16"/>
              </w:rPr>
            </w:pPr>
            <w:r>
              <w:rPr>
                <w:b/>
                <w:bCs/>
                <w:color w:val="1A5C2E"/>
                <w:sz w:val="16"/>
                <w:szCs w:val="16"/>
              </w:rPr>
              <w:t>FTGINSURE</w:t>
            </w:r>
          </w:p>
        </w:tc>
        <w:tc>
          <w:tcPr>
            <w:tcW w:w="2980" w:type="dxa"/>
            <w:tcBorders>
              <w:top w:val="nil"/>
              <w:left w:val="nil"/>
              <w:bottom w:val="single" w:sz="4" w:space="0" w:color="CCCCCC"/>
              <w:right w:val="single" w:sz="4" w:space="0" w:color="CCCCCC"/>
            </w:tcBorders>
            <w:shd w:val="clear" w:color="000000" w:fill="E6F4EA"/>
            <w:noWrap/>
            <w:vAlign w:val="center"/>
            <w:hideMark/>
          </w:tcPr>
          <w:p w14:paraId="184F1150" w14:textId="3A9F99A2" w:rsidR="00F56AEE" w:rsidRPr="00F56AEE" w:rsidRDefault="00F56AEE" w:rsidP="00F56AEE">
            <w:pPr>
              <w:rPr>
                <w:rFonts w:eastAsia="Times New Roman"/>
                <w:b/>
                <w:bCs/>
                <w:color w:val="1A5C2E"/>
                <w:sz w:val="16"/>
                <w:szCs w:val="16"/>
              </w:rPr>
            </w:pPr>
            <w:r>
              <w:rPr>
                <w:b/>
                <w:bCs/>
                <w:color w:val="1A5C2E"/>
                <w:sz w:val="16"/>
                <w:szCs w:val="16"/>
              </w:rPr>
              <w:t>FORTIS GLOBAL INSURANCE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2C57FA03" w14:textId="7E2F0761" w:rsidR="00F56AEE" w:rsidRPr="00F56AEE" w:rsidRDefault="00F56AEE" w:rsidP="00F56AEE">
            <w:pPr>
              <w:jc w:val="right"/>
              <w:rPr>
                <w:rFonts w:eastAsia="Times New Roman"/>
                <w:b/>
                <w:bCs/>
                <w:color w:val="124F1A" w:themeColor="accent3" w:themeShade="BF"/>
                <w:sz w:val="16"/>
                <w:szCs w:val="16"/>
              </w:rPr>
            </w:pPr>
            <w:r>
              <w:rPr>
                <w:b/>
                <w:bCs/>
                <w:color w:val="1A5C2E"/>
                <w:sz w:val="16"/>
                <w:szCs w:val="16"/>
              </w:rPr>
              <w:t>1.40</w:t>
            </w:r>
          </w:p>
        </w:tc>
        <w:tc>
          <w:tcPr>
            <w:tcW w:w="940" w:type="dxa"/>
            <w:tcBorders>
              <w:top w:val="nil"/>
              <w:left w:val="nil"/>
              <w:bottom w:val="single" w:sz="4" w:space="0" w:color="CCCCCC"/>
              <w:right w:val="single" w:sz="4" w:space="0" w:color="CCCCCC"/>
            </w:tcBorders>
            <w:shd w:val="clear" w:color="000000" w:fill="E6F4EA"/>
            <w:noWrap/>
            <w:vAlign w:val="center"/>
            <w:hideMark/>
          </w:tcPr>
          <w:p w14:paraId="461F17A9" w14:textId="10B9ABB6" w:rsidR="00F56AEE" w:rsidRPr="00F56AEE" w:rsidRDefault="00F56AEE" w:rsidP="00F56AEE">
            <w:pPr>
              <w:jc w:val="center"/>
              <w:rPr>
                <w:rFonts w:eastAsia="Times New Roman"/>
                <w:b/>
                <w:bCs/>
                <w:color w:val="1A5C2E"/>
                <w:sz w:val="16"/>
                <w:szCs w:val="16"/>
              </w:rPr>
            </w:pPr>
            <w:r>
              <w:rPr>
                <w:b/>
                <w:bCs/>
                <w:color w:val="B22222"/>
                <w:sz w:val="16"/>
                <w:szCs w:val="16"/>
              </w:rPr>
              <w:t>-30.00%</w:t>
            </w:r>
          </w:p>
        </w:tc>
        <w:tc>
          <w:tcPr>
            <w:tcW w:w="1600" w:type="dxa"/>
            <w:tcBorders>
              <w:top w:val="nil"/>
              <w:left w:val="nil"/>
              <w:bottom w:val="single" w:sz="4" w:space="0" w:color="CCCCCC"/>
              <w:right w:val="single" w:sz="4" w:space="0" w:color="CCCCCC"/>
            </w:tcBorders>
            <w:shd w:val="clear" w:color="000000" w:fill="E6F4EA"/>
            <w:noWrap/>
            <w:vAlign w:val="center"/>
            <w:hideMark/>
          </w:tcPr>
          <w:p w14:paraId="31DB8EAE" w14:textId="338DFAE8" w:rsidR="00F56AEE" w:rsidRPr="00F56AEE" w:rsidRDefault="00F56AEE" w:rsidP="00F56AEE">
            <w:pPr>
              <w:jc w:val="right"/>
              <w:rPr>
                <w:rFonts w:eastAsia="Times New Roman"/>
                <w:b/>
                <w:bCs/>
                <w:color w:val="1A5C2E"/>
                <w:sz w:val="16"/>
                <w:szCs w:val="16"/>
              </w:rPr>
            </w:pPr>
            <w:r>
              <w:rPr>
                <w:b/>
                <w:bCs/>
                <w:color w:val="1A5C2E"/>
                <w:sz w:val="16"/>
                <w:szCs w:val="16"/>
              </w:rPr>
              <w:t>1,038,304,272</w:t>
            </w:r>
          </w:p>
        </w:tc>
        <w:tc>
          <w:tcPr>
            <w:tcW w:w="1360" w:type="dxa"/>
            <w:tcBorders>
              <w:top w:val="nil"/>
              <w:left w:val="nil"/>
              <w:bottom w:val="single" w:sz="4" w:space="0" w:color="CCCCCC"/>
              <w:right w:val="single" w:sz="4" w:space="0" w:color="CCCCCC"/>
            </w:tcBorders>
            <w:shd w:val="clear" w:color="000000" w:fill="E6F4EA"/>
            <w:noWrap/>
            <w:vAlign w:val="center"/>
            <w:hideMark/>
          </w:tcPr>
          <w:p w14:paraId="4EFD6C59" w14:textId="5D4AB90A" w:rsidR="00F56AEE" w:rsidRPr="00F56AEE" w:rsidRDefault="00F56AEE" w:rsidP="00F56AEE">
            <w:pPr>
              <w:jc w:val="right"/>
              <w:rPr>
                <w:rFonts w:eastAsia="Times New Roman"/>
                <w:b/>
                <w:bCs/>
                <w:color w:val="1A5C2E"/>
                <w:sz w:val="16"/>
                <w:szCs w:val="16"/>
              </w:rPr>
            </w:pPr>
            <w:r>
              <w:rPr>
                <w:b/>
                <w:bCs/>
                <w:color w:val="000000"/>
                <w:sz w:val="16"/>
                <w:szCs w:val="16"/>
              </w:rPr>
              <w:t>1,455.3</w:t>
            </w:r>
          </w:p>
        </w:tc>
      </w:tr>
      <w:tr w:rsidR="00F56AEE" w:rsidRPr="009E7A98" w14:paraId="1B088649"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06FCB637" w14:textId="77777777" w:rsidR="00F56AEE" w:rsidRPr="009E7A98" w:rsidRDefault="00F56AEE" w:rsidP="00F56AEE">
            <w:pPr>
              <w:jc w:val="center"/>
              <w:rPr>
                <w:rFonts w:eastAsia="Times New Roman"/>
                <w:sz w:val="16"/>
                <w:szCs w:val="16"/>
              </w:rPr>
            </w:pPr>
            <w:r>
              <w:rPr>
                <w:rFonts w:eastAsia="Times New Roman"/>
                <w:sz w:val="16"/>
                <w:szCs w:val="16"/>
              </w:rPr>
              <w:t>2</w:t>
            </w:r>
          </w:p>
        </w:tc>
        <w:tc>
          <w:tcPr>
            <w:tcW w:w="1330" w:type="dxa"/>
            <w:tcBorders>
              <w:top w:val="nil"/>
              <w:left w:val="nil"/>
              <w:bottom w:val="single" w:sz="4" w:space="0" w:color="CCCCCC"/>
              <w:right w:val="single" w:sz="4" w:space="0" w:color="CCCCCC"/>
            </w:tcBorders>
            <w:shd w:val="clear" w:color="000000" w:fill="E6F4EA"/>
            <w:noWrap/>
            <w:vAlign w:val="center"/>
            <w:hideMark/>
          </w:tcPr>
          <w:p w14:paraId="27E70591" w14:textId="01F3C7D3" w:rsidR="00F56AEE" w:rsidRPr="00F56AEE" w:rsidRDefault="00F56AEE" w:rsidP="00F56AEE">
            <w:pPr>
              <w:jc w:val="center"/>
              <w:rPr>
                <w:rFonts w:eastAsia="Times New Roman"/>
                <w:b/>
                <w:bCs/>
                <w:color w:val="1A5C2E"/>
                <w:sz w:val="16"/>
                <w:szCs w:val="16"/>
              </w:rPr>
            </w:pPr>
            <w:r>
              <w:rPr>
                <w:b/>
                <w:bCs/>
                <w:color w:val="1A5C2E"/>
                <w:sz w:val="16"/>
                <w:szCs w:val="16"/>
              </w:rPr>
              <w:t>MBENEFIT</w:t>
            </w:r>
          </w:p>
        </w:tc>
        <w:tc>
          <w:tcPr>
            <w:tcW w:w="2980" w:type="dxa"/>
            <w:tcBorders>
              <w:top w:val="nil"/>
              <w:left w:val="nil"/>
              <w:bottom w:val="single" w:sz="4" w:space="0" w:color="CCCCCC"/>
              <w:right w:val="single" w:sz="4" w:space="0" w:color="CCCCCC"/>
            </w:tcBorders>
            <w:shd w:val="clear" w:color="000000" w:fill="E6F4EA"/>
            <w:noWrap/>
            <w:vAlign w:val="center"/>
            <w:hideMark/>
          </w:tcPr>
          <w:p w14:paraId="64CD5E3F" w14:textId="06B2EECF" w:rsidR="00F56AEE" w:rsidRPr="00F56AEE" w:rsidRDefault="00F56AEE" w:rsidP="00F56AEE">
            <w:pPr>
              <w:rPr>
                <w:rFonts w:eastAsia="Times New Roman"/>
                <w:b/>
                <w:bCs/>
                <w:color w:val="1A5C2E"/>
                <w:sz w:val="16"/>
                <w:szCs w:val="16"/>
              </w:rPr>
            </w:pPr>
            <w:r>
              <w:rPr>
                <w:b/>
                <w:bCs/>
                <w:color w:val="1A5C2E"/>
                <w:sz w:val="16"/>
                <w:szCs w:val="16"/>
              </w:rPr>
              <w:t>MUTUAL BENEFITS ASSURANCE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35A5772C" w14:textId="653DA165" w:rsidR="00F56AEE" w:rsidRPr="00F56AEE" w:rsidRDefault="00F56AEE" w:rsidP="00F56AEE">
            <w:pPr>
              <w:jc w:val="right"/>
              <w:rPr>
                <w:rFonts w:eastAsia="Times New Roman"/>
                <w:b/>
                <w:bCs/>
                <w:color w:val="124F1A" w:themeColor="accent3" w:themeShade="BF"/>
                <w:sz w:val="16"/>
                <w:szCs w:val="16"/>
              </w:rPr>
            </w:pPr>
            <w:r>
              <w:rPr>
                <w:b/>
                <w:bCs/>
                <w:color w:val="1A5C2E"/>
                <w:sz w:val="16"/>
                <w:szCs w:val="16"/>
              </w:rPr>
              <w:t>2.89</w:t>
            </w:r>
          </w:p>
        </w:tc>
        <w:tc>
          <w:tcPr>
            <w:tcW w:w="940" w:type="dxa"/>
            <w:tcBorders>
              <w:top w:val="nil"/>
              <w:left w:val="nil"/>
              <w:bottom w:val="single" w:sz="4" w:space="0" w:color="CCCCCC"/>
              <w:right w:val="single" w:sz="4" w:space="0" w:color="CCCCCC"/>
            </w:tcBorders>
            <w:shd w:val="clear" w:color="000000" w:fill="E6F4EA"/>
            <w:noWrap/>
            <w:vAlign w:val="center"/>
            <w:hideMark/>
          </w:tcPr>
          <w:p w14:paraId="27D9961F" w14:textId="3CF4BE80" w:rsidR="00F56AEE" w:rsidRPr="00F56AEE" w:rsidRDefault="00F56AEE" w:rsidP="00F56AEE">
            <w:pPr>
              <w:jc w:val="center"/>
              <w:rPr>
                <w:rFonts w:eastAsia="Times New Roman"/>
                <w:b/>
                <w:bCs/>
                <w:color w:val="124F1A" w:themeColor="accent3" w:themeShade="BF"/>
                <w:sz w:val="16"/>
                <w:szCs w:val="16"/>
              </w:rPr>
            </w:pPr>
            <w:r>
              <w:rPr>
                <w:b/>
                <w:bCs/>
                <w:color w:val="B22222"/>
                <w:sz w:val="16"/>
                <w:szCs w:val="16"/>
              </w:rPr>
              <w:t>-6.77%</w:t>
            </w:r>
          </w:p>
        </w:tc>
        <w:tc>
          <w:tcPr>
            <w:tcW w:w="1600" w:type="dxa"/>
            <w:tcBorders>
              <w:top w:val="nil"/>
              <w:left w:val="nil"/>
              <w:bottom w:val="single" w:sz="4" w:space="0" w:color="CCCCCC"/>
              <w:right w:val="single" w:sz="4" w:space="0" w:color="CCCCCC"/>
            </w:tcBorders>
            <w:shd w:val="clear" w:color="000000" w:fill="E6F4EA"/>
            <w:noWrap/>
            <w:vAlign w:val="center"/>
            <w:hideMark/>
          </w:tcPr>
          <w:p w14:paraId="6160F382" w14:textId="06A3A28A" w:rsidR="00F56AEE" w:rsidRPr="00F56AEE" w:rsidRDefault="00F56AEE" w:rsidP="00F56AEE">
            <w:pPr>
              <w:jc w:val="right"/>
              <w:rPr>
                <w:rFonts w:eastAsia="Times New Roman"/>
                <w:b/>
                <w:bCs/>
                <w:color w:val="1A5C2E"/>
                <w:sz w:val="16"/>
                <w:szCs w:val="16"/>
              </w:rPr>
            </w:pPr>
            <w:r>
              <w:rPr>
                <w:b/>
                <w:bCs/>
                <w:color w:val="1A5C2E"/>
                <w:sz w:val="16"/>
                <w:szCs w:val="16"/>
              </w:rPr>
              <w:t>226,626,243</w:t>
            </w:r>
          </w:p>
        </w:tc>
        <w:tc>
          <w:tcPr>
            <w:tcW w:w="1360" w:type="dxa"/>
            <w:tcBorders>
              <w:top w:val="nil"/>
              <w:left w:val="nil"/>
              <w:bottom w:val="single" w:sz="4" w:space="0" w:color="CCCCCC"/>
              <w:right w:val="single" w:sz="4" w:space="0" w:color="CCCCCC"/>
            </w:tcBorders>
            <w:shd w:val="clear" w:color="000000" w:fill="E6F4EA"/>
            <w:noWrap/>
            <w:vAlign w:val="center"/>
            <w:hideMark/>
          </w:tcPr>
          <w:p w14:paraId="5F6AB0AB" w14:textId="4C43326A" w:rsidR="00F56AEE" w:rsidRPr="00F56AEE" w:rsidRDefault="00F56AEE" w:rsidP="00F56AEE">
            <w:pPr>
              <w:jc w:val="right"/>
              <w:rPr>
                <w:rFonts w:eastAsia="Times New Roman"/>
                <w:b/>
                <w:bCs/>
                <w:color w:val="1A5C2E"/>
                <w:sz w:val="16"/>
                <w:szCs w:val="16"/>
              </w:rPr>
            </w:pPr>
            <w:r>
              <w:rPr>
                <w:b/>
                <w:bCs/>
                <w:color w:val="FFFFFF"/>
                <w:sz w:val="16"/>
                <w:szCs w:val="16"/>
              </w:rPr>
              <w:t>664.6</w:t>
            </w:r>
          </w:p>
        </w:tc>
      </w:tr>
      <w:tr w:rsidR="00F56AEE" w:rsidRPr="009E7A98" w14:paraId="2EB2D653"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31146328" w14:textId="77777777" w:rsidR="00F56AEE" w:rsidRPr="009E7A98" w:rsidRDefault="00F56AEE" w:rsidP="00F56AEE">
            <w:pPr>
              <w:jc w:val="center"/>
              <w:rPr>
                <w:rFonts w:eastAsia="Times New Roman"/>
                <w:sz w:val="16"/>
                <w:szCs w:val="16"/>
              </w:rPr>
            </w:pPr>
            <w:r>
              <w:rPr>
                <w:rFonts w:eastAsia="Times New Roman"/>
                <w:sz w:val="16"/>
                <w:szCs w:val="16"/>
              </w:rPr>
              <w:t>3</w:t>
            </w:r>
          </w:p>
        </w:tc>
        <w:tc>
          <w:tcPr>
            <w:tcW w:w="1330" w:type="dxa"/>
            <w:tcBorders>
              <w:top w:val="nil"/>
              <w:left w:val="nil"/>
              <w:bottom w:val="single" w:sz="4" w:space="0" w:color="CCCCCC"/>
              <w:right w:val="single" w:sz="4" w:space="0" w:color="CCCCCC"/>
            </w:tcBorders>
            <w:shd w:val="clear" w:color="000000" w:fill="E6F4EA"/>
            <w:noWrap/>
            <w:vAlign w:val="center"/>
            <w:hideMark/>
          </w:tcPr>
          <w:p w14:paraId="762CB7B1" w14:textId="0415EAE3" w:rsidR="00F56AEE" w:rsidRPr="00F56AEE" w:rsidRDefault="00F56AEE" w:rsidP="00F56AEE">
            <w:pPr>
              <w:jc w:val="center"/>
              <w:rPr>
                <w:rFonts w:eastAsia="Times New Roman"/>
                <w:b/>
                <w:bCs/>
                <w:color w:val="1A5C2E"/>
                <w:sz w:val="16"/>
                <w:szCs w:val="16"/>
              </w:rPr>
            </w:pPr>
            <w:r>
              <w:rPr>
                <w:b/>
                <w:bCs/>
                <w:color w:val="1A5C2E"/>
                <w:sz w:val="16"/>
                <w:szCs w:val="16"/>
              </w:rPr>
              <w:t>STERLINGNG</w:t>
            </w:r>
          </w:p>
        </w:tc>
        <w:tc>
          <w:tcPr>
            <w:tcW w:w="2980" w:type="dxa"/>
            <w:tcBorders>
              <w:top w:val="nil"/>
              <w:left w:val="nil"/>
              <w:bottom w:val="single" w:sz="4" w:space="0" w:color="CCCCCC"/>
              <w:right w:val="single" w:sz="4" w:space="0" w:color="CCCCCC"/>
            </w:tcBorders>
            <w:shd w:val="clear" w:color="000000" w:fill="E6F4EA"/>
            <w:noWrap/>
            <w:vAlign w:val="center"/>
            <w:hideMark/>
          </w:tcPr>
          <w:p w14:paraId="2C8FEA0D" w14:textId="61DA34C6" w:rsidR="00F56AEE" w:rsidRPr="00F56AEE" w:rsidRDefault="00F56AEE" w:rsidP="00F56AEE">
            <w:pPr>
              <w:rPr>
                <w:rFonts w:eastAsia="Times New Roman"/>
                <w:b/>
                <w:bCs/>
                <w:color w:val="1A5C2E"/>
                <w:sz w:val="16"/>
                <w:szCs w:val="16"/>
              </w:rPr>
            </w:pPr>
            <w:r>
              <w:rPr>
                <w:b/>
                <w:bCs/>
                <w:color w:val="1A5C2E"/>
                <w:sz w:val="16"/>
                <w:szCs w:val="16"/>
              </w:rPr>
              <w:t>STERLING FINANCIAL HOLDINGS COMPANY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2812CC2A" w14:textId="06500B5B" w:rsidR="00F56AEE" w:rsidRPr="00F56AEE" w:rsidRDefault="00F56AEE" w:rsidP="00F56AEE">
            <w:pPr>
              <w:jc w:val="right"/>
              <w:rPr>
                <w:rFonts w:eastAsia="Times New Roman"/>
                <w:b/>
                <w:bCs/>
                <w:color w:val="124F1A" w:themeColor="accent3" w:themeShade="BF"/>
                <w:sz w:val="16"/>
                <w:szCs w:val="16"/>
              </w:rPr>
            </w:pPr>
            <w:r>
              <w:rPr>
                <w:b/>
                <w:bCs/>
                <w:color w:val="1A5C2E"/>
                <w:sz w:val="16"/>
                <w:szCs w:val="16"/>
              </w:rPr>
              <w:t>7.65</w:t>
            </w:r>
          </w:p>
        </w:tc>
        <w:tc>
          <w:tcPr>
            <w:tcW w:w="940" w:type="dxa"/>
            <w:tcBorders>
              <w:top w:val="nil"/>
              <w:left w:val="nil"/>
              <w:bottom w:val="single" w:sz="4" w:space="0" w:color="CCCCCC"/>
              <w:right w:val="single" w:sz="4" w:space="0" w:color="CCCCCC"/>
            </w:tcBorders>
            <w:shd w:val="clear" w:color="000000" w:fill="E6F4EA"/>
            <w:noWrap/>
            <w:vAlign w:val="center"/>
            <w:hideMark/>
          </w:tcPr>
          <w:p w14:paraId="742F401F" w14:textId="20A1A119" w:rsidR="00F56AEE" w:rsidRPr="00F56AEE" w:rsidRDefault="00F56AEE" w:rsidP="00F56AEE">
            <w:pPr>
              <w:jc w:val="center"/>
              <w:rPr>
                <w:rFonts w:eastAsia="Times New Roman"/>
                <w:b/>
                <w:bCs/>
                <w:color w:val="124F1A" w:themeColor="accent3" w:themeShade="BF"/>
                <w:sz w:val="16"/>
                <w:szCs w:val="16"/>
              </w:rPr>
            </w:pPr>
            <w:r>
              <w:rPr>
                <w:b/>
                <w:bCs/>
                <w:color w:val="B22222"/>
                <w:sz w:val="16"/>
                <w:szCs w:val="16"/>
              </w:rPr>
              <w:t>-0.65%</w:t>
            </w:r>
          </w:p>
        </w:tc>
        <w:tc>
          <w:tcPr>
            <w:tcW w:w="1600" w:type="dxa"/>
            <w:tcBorders>
              <w:top w:val="nil"/>
              <w:left w:val="nil"/>
              <w:bottom w:val="single" w:sz="4" w:space="0" w:color="CCCCCC"/>
              <w:right w:val="single" w:sz="4" w:space="0" w:color="CCCCCC"/>
            </w:tcBorders>
            <w:shd w:val="clear" w:color="000000" w:fill="E6F4EA"/>
            <w:noWrap/>
            <w:vAlign w:val="center"/>
            <w:hideMark/>
          </w:tcPr>
          <w:p w14:paraId="53BBCF6F" w14:textId="726A5704" w:rsidR="00F56AEE" w:rsidRPr="00F56AEE" w:rsidRDefault="00F56AEE" w:rsidP="00F56AEE">
            <w:pPr>
              <w:jc w:val="right"/>
              <w:rPr>
                <w:rFonts w:eastAsia="Times New Roman"/>
                <w:b/>
                <w:bCs/>
                <w:color w:val="1A5C2E"/>
                <w:sz w:val="16"/>
                <w:szCs w:val="16"/>
              </w:rPr>
            </w:pPr>
            <w:r>
              <w:rPr>
                <w:b/>
                <w:bCs/>
                <w:color w:val="1A5C2E"/>
                <w:sz w:val="16"/>
                <w:szCs w:val="16"/>
              </w:rPr>
              <w:t>139,775,703</w:t>
            </w:r>
          </w:p>
        </w:tc>
        <w:tc>
          <w:tcPr>
            <w:tcW w:w="1360" w:type="dxa"/>
            <w:tcBorders>
              <w:top w:val="nil"/>
              <w:left w:val="nil"/>
              <w:bottom w:val="single" w:sz="4" w:space="0" w:color="CCCCCC"/>
              <w:right w:val="single" w:sz="4" w:space="0" w:color="CCCCCC"/>
            </w:tcBorders>
            <w:shd w:val="clear" w:color="000000" w:fill="E6F4EA"/>
            <w:noWrap/>
            <w:vAlign w:val="center"/>
            <w:hideMark/>
          </w:tcPr>
          <w:p w14:paraId="6711BDFF" w14:textId="3274FA93" w:rsidR="00F56AEE" w:rsidRPr="00F56AEE" w:rsidRDefault="00F56AEE" w:rsidP="00F56AEE">
            <w:pPr>
              <w:jc w:val="right"/>
              <w:rPr>
                <w:rFonts w:eastAsia="Times New Roman"/>
                <w:b/>
                <w:bCs/>
                <w:color w:val="1A5C2E"/>
                <w:sz w:val="16"/>
                <w:szCs w:val="16"/>
              </w:rPr>
            </w:pPr>
            <w:r>
              <w:rPr>
                <w:b/>
                <w:bCs/>
                <w:color w:val="000000"/>
                <w:sz w:val="16"/>
                <w:szCs w:val="16"/>
              </w:rPr>
              <w:t>1,068.0</w:t>
            </w:r>
          </w:p>
        </w:tc>
      </w:tr>
      <w:tr w:rsidR="00F56AEE" w:rsidRPr="009E7A98" w14:paraId="6C565C34"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1DD4FD34" w14:textId="77777777" w:rsidR="00F56AEE" w:rsidRPr="009E7A98" w:rsidRDefault="00F56AEE" w:rsidP="00F56AEE">
            <w:pPr>
              <w:jc w:val="center"/>
              <w:rPr>
                <w:rFonts w:eastAsia="Times New Roman"/>
                <w:sz w:val="16"/>
                <w:szCs w:val="16"/>
              </w:rPr>
            </w:pPr>
            <w:r>
              <w:rPr>
                <w:rFonts w:eastAsia="Times New Roman"/>
                <w:sz w:val="16"/>
                <w:szCs w:val="16"/>
              </w:rPr>
              <w:t>4</w:t>
            </w:r>
          </w:p>
        </w:tc>
        <w:tc>
          <w:tcPr>
            <w:tcW w:w="1330" w:type="dxa"/>
            <w:tcBorders>
              <w:top w:val="nil"/>
              <w:left w:val="nil"/>
              <w:bottom w:val="single" w:sz="4" w:space="0" w:color="CCCCCC"/>
              <w:right w:val="single" w:sz="4" w:space="0" w:color="CCCCCC"/>
            </w:tcBorders>
            <w:shd w:val="clear" w:color="000000" w:fill="E6F4EA"/>
            <w:noWrap/>
            <w:vAlign w:val="center"/>
            <w:hideMark/>
          </w:tcPr>
          <w:p w14:paraId="0F027F92" w14:textId="24362756" w:rsidR="00F56AEE" w:rsidRPr="00F56AEE" w:rsidRDefault="00F56AEE" w:rsidP="00F56AEE">
            <w:pPr>
              <w:jc w:val="center"/>
              <w:rPr>
                <w:rFonts w:eastAsia="Times New Roman"/>
                <w:b/>
                <w:bCs/>
                <w:color w:val="1A5C2E"/>
                <w:sz w:val="16"/>
                <w:szCs w:val="16"/>
              </w:rPr>
            </w:pPr>
            <w:r>
              <w:rPr>
                <w:b/>
                <w:bCs/>
                <w:color w:val="1A5C2E"/>
                <w:sz w:val="16"/>
                <w:szCs w:val="16"/>
              </w:rPr>
              <w:t>NEM</w:t>
            </w:r>
          </w:p>
        </w:tc>
        <w:tc>
          <w:tcPr>
            <w:tcW w:w="2980" w:type="dxa"/>
            <w:tcBorders>
              <w:top w:val="nil"/>
              <w:left w:val="nil"/>
              <w:bottom w:val="single" w:sz="4" w:space="0" w:color="CCCCCC"/>
              <w:right w:val="single" w:sz="4" w:space="0" w:color="CCCCCC"/>
            </w:tcBorders>
            <w:shd w:val="clear" w:color="000000" w:fill="E6F4EA"/>
            <w:noWrap/>
            <w:vAlign w:val="center"/>
            <w:hideMark/>
          </w:tcPr>
          <w:p w14:paraId="6DE4C90C" w14:textId="447A2553" w:rsidR="00F56AEE" w:rsidRPr="00F56AEE" w:rsidRDefault="00F56AEE" w:rsidP="00F56AEE">
            <w:pPr>
              <w:rPr>
                <w:rFonts w:eastAsia="Times New Roman"/>
                <w:b/>
                <w:bCs/>
                <w:color w:val="1A5C2E"/>
                <w:sz w:val="16"/>
                <w:szCs w:val="16"/>
              </w:rPr>
            </w:pPr>
            <w:r>
              <w:rPr>
                <w:b/>
                <w:bCs/>
                <w:color w:val="1A5C2E"/>
                <w:sz w:val="16"/>
                <w:szCs w:val="16"/>
              </w:rPr>
              <w:t>NEM INSURANCE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7D01B65C" w14:textId="3DF81066" w:rsidR="00F56AEE" w:rsidRPr="00F56AEE" w:rsidRDefault="00F56AEE" w:rsidP="00F56AEE">
            <w:pPr>
              <w:jc w:val="right"/>
              <w:rPr>
                <w:b/>
                <w:bCs/>
                <w:color w:val="124F1A" w:themeColor="accent3" w:themeShade="BF"/>
                <w:sz w:val="16"/>
                <w:szCs w:val="16"/>
              </w:rPr>
            </w:pPr>
            <w:r>
              <w:rPr>
                <w:b/>
                <w:bCs/>
                <w:color w:val="1A5C2E"/>
                <w:sz w:val="16"/>
                <w:szCs w:val="16"/>
              </w:rPr>
              <w:t>29.00</w:t>
            </w:r>
          </w:p>
        </w:tc>
        <w:tc>
          <w:tcPr>
            <w:tcW w:w="940" w:type="dxa"/>
            <w:tcBorders>
              <w:top w:val="nil"/>
              <w:left w:val="nil"/>
              <w:bottom w:val="single" w:sz="4" w:space="0" w:color="CCCCCC"/>
              <w:right w:val="single" w:sz="4" w:space="0" w:color="CCCCCC"/>
            </w:tcBorders>
            <w:shd w:val="clear" w:color="000000" w:fill="E6F4EA"/>
            <w:noWrap/>
            <w:vAlign w:val="center"/>
            <w:hideMark/>
          </w:tcPr>
          <w:p w14:paraId="45BDE1EE" w14:textId="5ADA65F3" w:rsidR="00F56AEE" w:rsidRPr="00F56AEE" w:rsidRDefault="00F56AEE" w:rsidP="00F56AEE">
            <w:pPr>
              <w:jc w:val="center"/>
              <w:rPr>
                <w:b/>
                <w:bCs/>
                <w:color w:val="124F1A" w:themeColor="accent3" w:themeShade="BF"/>
                <w:sz w:val="16"/>
                <w:szCs w:val="16"/>
              </w:rPr>
            </w:pPr>
            <w:r>
              <w:rPr>
                <w:b/>
                <w:bCs/>
                <w:color w:val="B22222"/>
                <w:sz w:val="16"/>
                <w:szCs w:val="16"/>
              </w:rPr>
              <w:t>-11.45%</w:t>
            </w:r>
          </w:p>
        </w:tc>
        <w:tc>
          <w:tcPr>
            <w:tcW w:w="1600" w:type="dxa"/>
            <w:tcBorders>
              <w:top w:val="nil"/>
              <w:left w:val="nil"/>
              <w:bottom w:val="single" w:sz="4" w:space="0" w:color="CCCCCC"/>
              <w:right w:val="single" w:sz="4" w:space="0" w:color="CCCCCC"/>
            </w:tcBorders>
            <w:shd w:val="clear" w:color="000000" w:fill="E6F4EA"/>
            <w:noWrap/>
            <w:vAlign w:val="center"/>
            <w:hideMark/>
          </w:tcPr>
          <w:p w14:paraId="209140B4" w14:textId="3DDC1ABD" w:rsidR="00F56AEE" w:rsidRPr="00F56AEE" w:rsidRDefault="00F56AEE" w:rsidP="00F56AEE">
            <w:pPr>
              <w:jc w:val="right"/>
              <w:rPr>
                <w:rFonts w:eastAsia="Times New Roman"/>
                <w:b/>
                <w:bCs/>
                <w:color w:val="1A5C2E"/>
                <w:sz w:val="16"/>
                <w:szCs w:val="16"/>
              </w:rPr>
            </w:pPr>
            <w:r>
              <w:rPr>
                <w:b/>
                <w:bCs/>
                <w:color w:val="1A5C2E"/>
                <w:sz w:val="16"/>
                <w:szCs w:val="16"/>
              </w:rPr>
              <w:t>134,474,022</w:t>
            </w:r>
          </w:p>
        </w:tc>
        <w:tc>
          <w:tcPr>
            <w:tcW w:w="1360" w:type="dxa"/>
            <w:tcBorders>
              <w:top w:val="nil"/>
              <w:left w:val="nil"/>
              <w:bottom w:val="single" w:sz="4" w:space="0" w:color="CCCCCC"/>
              <w:right w:val="single" w:sz="4" w:space="0" w:color="CCCCCC"/>
            </w:tcBorders>
            <w:shd w:val="clear" w:color="000000" w:fill="E6F4EA"/>
            <w:noWrap/>
            <w:vAlign w:val="center"/>
            <w:hideMark/>
          </w:tcPr>
          <w:p w14:paraId="7F6BF9AD" w14:textId="09694B2A" w:rsidR="00F56AEE" w:rsidRPr="00F56AEE" w:rsidRDefault="00F56AEE" w:rsidP="00F56AEE">
            <w:pPr>
              <w:jc w:val="right"/>
              <w:rPr>
                <w:rFonts w:eastAsia="Times New Roman"/>
                <w:b/>
                <w:bCs/>
                <w:color w:val="1A5C2E"/>
                <w:sz w:val="16"/>
                <w:szCs w:val="16"/>
              </w:rPr>
            </w:pPr>
            <w:r>
              <w:rPr>
                <w:b/>
                <w:bCs/>
                <w:color w:val="404040"/>
                <w:sz w:val="16"/>
                <w:szCs w:val="16"/>
              </w:rPr>
              <w:t>4,157.9</w:t>
            </w:r>
          </w:p>
        </w:tc>
      </w:tr>
      <w:tr w:rsidR="00F56AEE" w:rsidRPr="009E7A98" w14:paraId="7674CF72"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481C288F" w14:textId="77777777" w:rsidR="00F56AEE" w:rsidRPr="009E7A98" w:rsidRDefault="00F56AEE" w:rsidP="00F56AEE">
            <w:pPr>
              <w:jc w:val="center"/>
              <w:rPr>
                <w:rFonts w:eastAsia="Times New Roman"/>
                <w:sz w:val="16"/>
                <w:szCs w:val="16"/>
              </w:rPr>
            </w:pPr>
            <w:r>
              <w:rPr>
                <w:rFonts w:eastAsia="Times New Roman"/>
                <w:sz w:val="16"/>
                <w:szCs w:val="16"/>
              </w:rPr>
              <w:t>5</w:t>
            </w:r>
          </w:p>
        </w:tc>
        <w:tc>
          <w:tcPr>
            <w:tcW w:w="1330" w:type="dxa"/>
            <w:tcBorders>
              <w:top w:val="nil"/>
              <w:left w:val="nil"/>
              <w:bottom w:val="single" w:sz="4" w:space="0" w:color="CCCCCC"/>
              <w:right w:val="single" w:sz="4" w:space="0" w:color="CCCCCC"/>
            </w:tcBorders>
            <w:shd w:val="clear" w:color="000000" w:fill="E6F4EA"/>
            <w:noWrap/>
            <w:vAlign w:val="center"/>
            <w:hideMark/>
          </w:tcPr>
          <w:p w14:paraId="7B4CBE8D" w14:textId="5624BA1C" w:rsidR="00F56AEE" w:rsidRPr="00F56AEE" w:rsidRDefault="00F56AEE" w:rsidP="00F56AEE">
            <w:pPr>
              <w:jc w:val="center"/>
              <w:rPr>
                <w:rFonts w:eastAsia="Times New Roman"/>
                <w:b/>
                <w:bCs/>
                <w:color w:val="1A5C2E"/>
                <w:sz w:val="16"/>
                <w:szCs w:val="16"/>
              </w:rPr>
            </w:pPr>
            <w:r>
              <w:rPr>
                <w:b/>
                <w:bCs/>
                <w:color w:val="1A5C2E"/>
                <w:sz w:val="16"/>
                <w:szCs w:val="16"/>
              </w:rPr>
              <w:t>ACCESSCORP</w:t>
            </w:r>
          </w:p>
        </w:tc>
        <w:tc>
          <w:tcPr>
            <w:tcW w:w="2980" w:type="dxa"/>
            <w:tcBorders>
              <w:top w:val="nil"/>
              <w:left w:val="nil"/>
              <w:bottom w:val="single" w:sz="4" w:space="0" w:color="CCCCCC"/>
              <w:right w:val="single" w:sz="4" w:space="0" w:color="CCCCCC"/>
            </w:tcBorders>
            <w:shd w:val="clear" w:color="000000" w:fill="E6F4EA"/>
            <w:noWrap/>
            <w:vAlign w:val="center"/>
            <w:hideMark/>
          </w:tcPr>
          <w:p w14:paraId="4A3727CD" w14:textId="7D87F242" w:rsidR="00F56AEE" w:rsidRPr="00F56AEE" w:rsidRDefault="00F56AEE" w:rsidP="00F56AEE">
            <w:pPr>
              <w:rPr>
                <w:rFonts w:eastAsia="Times New Roman"/>
                <w:b/>
                <w:bCs/>
                <w:color w:val="1A5C2E"/>
                <w:sz w:val="16"/>
                <w:szCs w:val="16"/>
              </w:rPr>
            </w:pPr>
            <w:r>
              <w:rPr>
                <w:b/>
                <w:bCs/>
                <w:color w:val="1A5C2E"/>
                <w:sz w:val="16"/>
                <w:szCs w:val="16"/>
              </w:rPr>
              <w:t>ACCESS HOLDINGS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40FEB1A0" w14:textId="54E57DF9" w:rsidR="00F56AEE" w:rsidRPr="00F56AEE" w:rsidRDefault="00F56AEE" w:rsidP="00F56AEE">
            <w:pPr>
              <w:jc w:val="right"/>
              <w:rPr>
                <w:rFonts w:eastAsia="Times New Roman"/>
                <w:b/>
                <w:bCs/>
                <w:color w:val="124F1A" w:themeColor="accent3" w:themeShade="BF"/>
                <w:sz w:val="16"/>
                <w:szCs w:val="16"/>
              </w:rPr>
            </w:pPr>
            <w:r>
              <w:rPr>
                <w:b/>
                <w:bCs/>
                <w:color w:val="1A5C2E"/>
                <w:sz w:val="16"/>
                <w:szCs w:val="16"/>
              </w:rPr>
              <w:t>28.00</w:t>
            </w:r>
          </w:p>
        </w:tc>
        <w:tc>
          <w:tcPr>
            <w:tcW w:w="940" w:type="dxa"/>
            <w:tcBorders>
              <w:top w:val="nil"/>
              <w:left w:val="nil"/>
              <w:bottom w:val="single" w:sz="4" w:space="0" w:color="CCCCCC"/>
              <w:right w:val="single" w:sz="4" w:space="0" w:color="CCCCCC"/>
            </w:tcBorders>
            <w:shd w:val="clear" w:color="000000" w:fill="E6F4EA"/>
            <w:noWrap/>
            <w:vAlign w:val="center"/>
            <w:hideMark/>
          </w:tcPr>
          <w:p w14:paraId="05F10BEA" w14:textId="47D1B319" w:rsidR="00F56AEE" w:rsidRPr="00F56AEE" w:rsidRDefault="00F56AEE" w:rsidP="00F56AEE">
            <w:pPr>
              <w:jc w:val="center"/>
              <w:rPr>
                <w:rFonts w:eastAsia="Times New Roman"/>
                <w:b/>
                <w:bCs/>
                <w:color w:val="124F1A" w:themeColor="accent3" w:themeShade="BF"/>
                <w:sz w:val="16"/>
                <w:szCs w:val="16"/>
              </w:rPr>
            </w:pPr>
            <w:r>
              <w:rPr>
                <w:b/>
                <w:bCs/>
                <w:color w:val="B22222"/>
                <w:sz w:val="16"/>
                <w:szCs w:val="16"/>
              </w:rPr>
              <w:t>-6.67%</w:t>
            </w:r>
          </w:p>
        </w:tc>
        <w:tc>
          <w:tcPr>
            <w:tcW w:w="1600" w:type="dxa"/>
            <w:tcBorders>
              <w:top w:val="nil"/>
              <w:left w:val="nil"/>
              <w:bottom w:val="single" w:sz="4" w:space="0" w:color="CCCCCC"/>
              <w:right w:val="single" w:sz="4" w:space="0" w:color="CCCCCC"/>
            </w:tcBorders>
            <w:shd w:val="clear" w:color="000000" w:fill="E6F4EA"/>
            <w:noWrap/>
            <w:vAlign w:val="center"/>
            <w:hideMark/>
          </w:tcPr>
          <w:p w14:paraId="0B62B9BF" w14:textId="2AA7D17C" w:rsidR="00F56AEE" w:rsidRPr="00F56AEE" w:rsidRDefault="00F56AEE" w:rsidP="00F56AEE">
            <w:pPr>
              <w:jc w:val="right"/>
              <w:rPr>
                <w:rFonts w:eastAsia="Times New Roman"/>
                <w:b/>
                <w:bCs/>
                <w:color w:val="1A5C2E"/>
                <w:sz w:val="16"/>
                <w:szCs w:val="16"/>
              </w:rPr>
            </w:pPr>
            <w:r>
              <w:rPr>
                <w:b/>
                <w:bCs/>
                <w:color w:val="1A5C2E"/>
                <w:sz w:val="16"/>
                <w:szCs w:val="16"/>
              </w:rPr>
              <w:t>130,621,121</w:t>
            </w:r>
          </w:p>
        </w:tc>
        <w:tc>
          <w:tcPr>
            <w:tcW w:w="1360" w:type="dxa"/>
            <w:tcBorders>
              <w:top w:val="nil"/>
              <w:left w:val="nil"/>
              <w:bottom w:val="single" w:sz="4" w:space="0" w:color="CCCCCC"/>
              <w:right w:val="single" w:sz="4" w:space="0" w:color="CCCCCC"/>
            </w:tcBorders>
            <w:shd w:val="clear" w:color="000000" w:fill="E6F4EA"/>
            <w:noWrap/>
            <w:vAlign w:val="center"/>
            <w:hideMark/>
          </w:tcPr>
          <w:p w14:paraId="657C8E87" w14:textId="714BAD27" w:rsidR="00F56AEE" w:rsidRPr="00F56AEE" w:rsidRDefault="00F56AEE" w:rsidP="00F56AEE">
            <w:pPr>
              <w:jc w:val="right"/>
              <w:rPr>
                <w:rFonts w:eastAsia="Times New Roman"/>
                <w:b/>
                <w:bCs/>
                <w:color w:val="1A5C2E"/>
                <w:sz w:val="16"/>
                <w:szCs w:val="16"/>
              </w:rPr>
            </w:pPr>
            <w:r>
              <w:rPr>
                <w:b/>
                <w:bCs/>
                <w:color w:val="404040"/>
                <w:sz w:val="16"/>
                <w:szCs w:val="16"/>
              </w:rPr>
              <w:t>3,676.9</w:t>
            </w:r>
          </w:p>
        </w:tc>
      </w:tr>
    </w:tbl>
    <w:p w14:paraId="744D85E8" w14:textId="77777777" w:rsidR="006A640E" w:rsidRDefault="006A640E" w:rsidP="004E1B03"/>
    <w:p w14:paraId="4C4C7E4E" w14:textId="06E09086" w:rsidR="00EC2A5B" w:rsidRPr="00CB50FD" w:rsidRDefault="00974479" w:rsidP="004E1B03">
      <w:pPr>
        <w:rPr>
          <w:color w:val="0C3512" w:themeColor="accent3" w:themeShade="80"/>
        </w:rPr>
      </w:pPr>
      <w:r>
        <w:rPr>
          <w:b/>
          <w:bCs/>
          <w:color w:val="0C3512"/>
          <w:sz w:val="22"/>
          <w:szCs w:val="22"/>
        </w:rPr>
        <w:t>Most Active by Value Traded</w:t>
      </w:r>
    </w:p>
    <w:tbl>
      <w:tblPr>
        <w:tblW w:w="5000" w:type="pct"/>
        <w:tblLook w:val="04A0" w:firstRow="1" w:lastRow="0" w:firstColumn="1" w:lastColumn="0" w:noHBand="0" w:noVBand="1"/>
      </w:tblPr>
      <w:tblGrid>
        <w:gridCol w:w="420"/>
        <w:gridCol w:w="1330"/>
        <w:gridCol w:w="2980"/>
        <w:gridCol w:w="1080"/>
        <w:gridCol w:w="940"/>
        <w:gridCol w:w="1600"/>
        <w:gridCol w:w="1360"/>
      </w:tblGrid>
      <w:tr w:rsidR="00C94181" w:rsidRPr="00C94181" w14:paraId="6D147CA9" w14:textId="77777777" w:rsidTr="00F56AEE">
        <w:trPr>
          <w:trHeight w:val="285"/>
        </w:trPr>
        <w:tc>
          <w:tcPr>
            <w:tcW w:w="420" w:type="dxa"/>
            <w:tcBorders>
              <w:top w:val="single" w:sz="4" w:space="0" w:color="CCCCCC"/>
              <w:left w:val="single" w:sz="4" w:space="0" w:color="CCCCCC"/>
              <w:bottom w:val="single" w:sz="4" w:space="0" w:color="CCCCCC"/>
              <w:right w:val="single" w:sz="4" w:space="0" w:color="CCCCCC"/>
            </w:tcBorders>
            <w:shd w:val="clear" w:color="000000" w:fill="1A5C2E"/>
            <w:noWrap/>
            <w:vAlign w:val="center"/>
            <w:hideMark/>
          </w:tcPr>
          <w:p w14:paraId="257738D6" w14:textId="77777777" w:rsidR="00C94181" w:rsidRPr="00C94181" w:rsidRDefault="00C94181" w:rsidP="00C94181">
            <w:pPr>
              <w:rPr>
                <w:rFonts w:eastAsia="Times New Roman"/>
                <w:b/>
                <w:bCs/>
                <w:color w:val="FFFFFF"/>
                <w:sz w:val="16"/>
                <w:szCs w:val="16"/>
              </w:rPr>
            </w:pPr>
            <w:r>
              <w:rPr>
                <w:rFonts w:eastAsia="Times New Roman"/>
                <w:b/>
                <w:bCs/>
                <w:color w:val="FFFFFF"/>
                <w:sz w:val="16"/>
                <w:szCs w:val="16"/>
              </w:rPr>
              <w:t>#</w:t>
            </w:r>
          </w:p>
        </w:tc>
        <w:tc>
          <w:tcPr>
            <w:tcW w:w="1330" w:type="dxa"/>
            <w:tcBorders>
              <w:top w:val="single" w:sz="4" w:space="0" w:color="CCCCCC"/>
              <w:left w:val="nil"/>
              <w:bottom w:val="single" w:sz="4" w:space="0" w:color="CCCCCC"/>
              <w:right w:val="single" w:sz="4" w:space="0" w:color="CCCCCC"/>
            </w:tcBorders>
            <w:shd w:val="clear" w:color="000000" w:fill="1A5C2E"/>
            <w:noWrap/>
            <w:vAlign w:val="center"/>
            <w:hideMark/>
          </w:tcPr>
          <w:p w14:paraId="69CC3964" w14:textId="77777777" w:rsidR="00C94181" w:rsidRPr="00C94181" w:rsidRDefault="00C94181" w:rsidP="00C94181">
            <w:pPr>
              <w:rPr>
                <w:rFonts w:eastAsia="Times New Roman"/>
                <w:b/>
                <w:bCs/>
                <w:color w:val="FFFFFF"/>
                <w:sz w:val="16"/>
                <w:szCs w:val="16"/>
              </w:rPr>
            </w:pPr>
            <w:r>
              <w:rPr>
                <w:rFonts w:eastAsia="Times New Roman"/>
                <w:b/>
                <w:bCs/>
                <w:color w:val="FFFFFF"/>
                <w:sz w:val="16"/>
                <w:szCs w:val="16"/>
              </w:rPr>
              <w:t>Ticker</w:t>
            </w:r>
          </w:p>
        </w:tc>
        <w:tc>
          <w:tcPr>
            <w:tcW w:w="2980" w:type="dxa"/>
            <w:tcBorders>
              <w:top w:val="single" w:sz="4" w:space="0" w:color="CCCCCC"/>
              <w:left w:val="nil"/>
              <w:bottom w:val="single" w:sz="4" w:space="0" w:color="CCCCCC"/>
              <w:right w:val="single" w:sz="4" w:space="0" w:color="CCCCCC"/>
            </w:tcBorders>
            <w:shd w:val="clear" w:color="000000" w:fill="1A5C2E"/>
            <w:noWrap/>
            <w:vAlign w:val="center"/>
            <w:hideMark/>
          </w:tcPr>
          <w:p w14:paraId="5AC28E63" w14:textId="77777777" w:rsidR="00C94181" w:rsidRPr="00C94181" w:rsidRDefault="00C94181" w:rsidP="00C94181">
            <w:pPr>
              <w:rPr>
                <w:rFonts w:eastAsia="Times New Roman"/>
                <w:b/>
                <w:bCs/>
                <w:color w:val="FFFFFF"/>
                <w:sz w:val="16"/>
                <w:szCs w:val="16"/>
              </w:rPr>
            </w:pPr>
            <w:r>
              <w:rPr>
                <w:rFonts w:eastAsia="Times New Roman"/>
                <w:b/>
                <w:bCs/>
                <w:color w:val="FFFFFF"/>
                <w:sz w:val="16"/>
                <w:szCs w:val="16"/>
              </w:rPr>
              <w:t>Company</w:t>
            </w:r>
          </w:p>
        </w:tc>
        <w:tc>
          <w:tcPr>
            <w:tcW w:w="1080" w:type="dxa"/>
            <w:tcBorders>
              <w:top w:val="single" w:sz="4" w:space="0" w:color="CCCCCC"/>
              <w:left w:val="nil"/>
              <w:bottom w:val="single" w:sz="4" w:space="0" w:color="CCCCCC"/>
              <w:right w:val="single" w:sz="4" w:space="0" w:color="CCCCCC"/>
            </w:tcBorders>
            <w:shd w:val="clear" w:color="000000" w:fill="1A5C2E"/>
            <w:noWrap/>
            <w:vAlign w:val="center"/>
            <w:hideMark/>
          </w:tcPr>
          <w:p w14:paraId="74DD5CBB" w14:textId="77777777" w:rsidR="00C94181" w:rsidRPr="00C94181" w:rsidRDefault="00C94181" w:rsidP="00C94181">
            <w:pPr>
              <w:rPr>
                <w:rFonts w:eastAsia="Times New Roman"/>
                <w:b/>
                <w:bCs/>
                <w:color w:val="FFFFFF"/>
                <w:sz w:val="16"/>
                <w:szCs w:val="16"/>
              </w:rPr>
            </w:pPr>
            <w:r>
              <w:rPr>
                <w:rFonts w:eastAsia="Times New Roman"/>
                <w:b/>
                <w:bCs/>
                <w:color w:val="FFFFFF"/>
                <w:sz w:val="16"/>
                <w:szCs w:val="16"/>
              </w:rPr>
              <w:t>Close (₦)</w:t>
            </w:r>
          </w:p>
        </w:tc>
        <w:tc>
          <w:tcPr>
            <w:tcW w:w="940" w:type="dxa"/>
            <w:tcBorders>
              <w:top w:val="single" w:sz="4" w:space="0" w:color="CCCCCC"/>
              <w:left w:val="nil"/>
              <w:bottom w:val="single" w:sz="4" w:space="0" w:color="CCCCCC"/>
              <w:right w:val="single" w:sz="4" w:space="0" w:color="CCCCCC"/>
            </w:tcBorders>
            <w:shd w:val="clear" w:color="000000" w:fill="1A5C2E"/>
            <w:noWrap/>
            <w:vAlign w:val="center"/>
            <w:hideMark/>
          </w:tcPr>
          <w:p w14:paraId="6B3B59EF" w14:textId="77777777" w:rsidR="00C94181" w:rsidRPr="00C94181" w:rsidRDefault="00C94181" w:rsidP="00C94181">
            <w:pPr>
              <w:rPr>
                <w:rFonts w:eastAsia="Times New Roman"/>
                <w:b/>
                <w:bCs/>
                <w:color w:val="FFFFFF"/>
                <w:sz w:val="16"/>
                <w:szCs w:val="16"/>
              </w:rPr>
            </w:pPr>
            <w:r>
              <w:rPr>
                <w:rFonts w:eastAsia="Times New Roman"/>
                <w:b/>
                <w:bCs/>
                <w:color w:val="FFFFFF"/>
                <w:sz w:val="16"/>
                <w:szCs w:val="16"/>
              </w:rPr>
              <w:t>WoW %</w:t>
            </w:r>
          </w:p>
        </w:tc>
        <w:tc>
          <w:tcPr>
            <w:tcW w:w="1600" w:type="dxa"/>
            <w:tcBorders>
              <w:top w:val="single" w:sz="4" w:space="0" w:color="CCCCCC"/>
              <w:left w:val="nil"/>
              <w:bottom w:val="single" w:sz="4" w:space="0" w:color="CCCCCC"/>
              <w:right w:val="single" w:sz="4" w:space="0" w:color="CCCCCC"/>
            </w:tcBorders>
            <w:shd w:val="clear" w:color="000000" w:fill="1A5C2E"/>
            <w:noWrap/>
            <w:vAlign w:val="center"/>
            <w:hideMark/>
          </w:tcPr>
          <w:p w14:paraId="5EF60428" w14:textId="77777777" w:rsidR="00C94181" w:rsidRPr="00C94181" w:rsidRDefault="00C94181" w:rsidP="00C94181">
            <w:pPr>
              <w:rPr>
                <w:rFonts w:eastAsia="Times New Roman"/>
                <w:b/>
                <w:bCs/>
                <w:color w:val="FFFFFF"/>
                <w:sz w:val="16"/>
                <w:szCs w:val="16"/>
              </w:rPr>
            </w:pPr>
            <w:r>
              <w:rPr>
                <w:rFonts w:eastAsia="Times New Roman"/>
                <w:b/>
                <w:bCs/>
                <w:color w:val="FFFFFF"/>
                <w:sz w:val="16"/>
                <w:szCs w:val="16"/>
              </w:rPr>
              <w:t>Weekly Vol</w:t>
            </w:r>
          </w:p>
        </w:tc>
        <w:tc>
          <w:tcPr>
            <w:tcW w:w="1360" w:type="dxa"/>
            <w:tcBorders>
              <w:top w:val="single" w:sz="4" w:space="0" w:color="CCCCCC"/>
              <w:left w:val="nil"/>
              <w:bottom w:val="single" w:sz="4" w:space="0" w:color="CCCCCC"/>
              <w:right w:val="single" w:sz="4" w:space="0" w:color="CCCCCC"/>
            </w:tcBorders>
            <w:shd w:val="clear" w:color="000000" w:fill="1A5C2E"/>
            <w:noWrap/>
            <w:vAlign w:val="center"/>
            <w:hideMark/>
          </w:tcPr>
          <w:p w14:paraId="1F0A66BF" w14:textId="77777777" w:rsidR="00C94181" w:rsidRPr="00C94181" w:rsidRDefault="00C94181" w:rsidP="00C94181">
            <w:pPr>
              <w:rPr>
                <w:rFonts w:eastAsia="Times New Roman"/>
                <w:b/>
                <w:bCs/>
                <w:color w:val="FFFFFF"/>
                <w:sz w:val="16"/>
                <w:szCs w:val="16"/>
              </w:rPr>
            </w:pPr>
            <w:r>
              <w:rPr>
                <w:rFonts w:eastAsia="Times New Roman"/>
                <w:b/>
                <w:bCs/>
                <w:color w:val="222222"/>
                <w:sz w:val="16"/>
                <w:szCs w:val="16"/>
              </w:rPr>
              <w:t>Value Traded (₦m)</w:t>
            </w:r>
          </w:p>
        </w:tc>
      </w:tr>
      <w:tr w:rsidR="00F56AEE" w:rsidRPr="00C94181" w14:paraId="7320EE8F"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45FF3FFA" w14:textId="77777777" w:rsidR="00F56AEE" w:rsidRPr="00C94181" w:rsidRDefault="00F56AEE" w:rsidP="00F56AEE">
            <w:pPr>
              <w:jc w:val="center"/>
              <w:rPr>
                <w:rFonts w:eastAsia="Times New Roman"/>
                <w:sz w:val="16"/>
                <w:szCs w:val="16"/>
              </w:rPr>
            </w:pPr>
            <w:r>
              <w:rPr>
                <w:rFonts w:eastAsia="Times New Roman"/>
                <w:sz w:val="16"/>
                <w:szCs w:val="16"/>
              </w:rPr>
              <w:t>1</w:t>
            </w:r>
          </w:p>
        </w:tc>
        <w:tc>
          <w:tcPr>
            <w:tcW w:w="1330" w:type="dxa"/>
            <w:tcBorders>
              <w:top w:val="nil"/>
              <w:left w:val="nil"/>
              <w:bottom w:val="single" w:sz="4" w:space="0" w:color="CCCCCC"/>
              <w:right w:val="single" w:sz="4" w:space="0" w:color="CCCCCC"/>
            </w:tcBorders>
            <w:shd w:val="clear" w:color="000000" w:fill="E6F4EA"/>
            <w:noWrap/>
            <w:vAlign w:val="center"/>
            <w:hideMark/>
          </w:tcPr>
          <w:p w14:paraId="6C4638E7" w14:textId="30F1F4EE" w:rsidR="00F56AEE" w:rsidRPr="00F56AEE" w:rsidRDefault="00F56AEE" w:rsidP="00F56AEE">
            <w:pPr>
              <w:jc w:val="center"/>
              <w:rPr>
                <w:rFonts w:eastAsia="Times New Roman"/>
                <w:b/>
                <w:bCs/>
                <w:color w:val="1A5C2E"/>
                <w:sz w:val="16"/>
                <w:szCs w:val="16"/>
              </w:rPr>
            </w:pPr>
            <w:r>
              <w:rPr>
                <w:b/>
                <w:bCs/>
                <w:color w:val="1A5C2E"/>
                <w:sz w:val="16"/>
                <w:szCs w:val="16"/>
              </w:rPr>
              <w:t>ARADEL</w:t>
            </w:r>
          </w:p>
        </w:tc>
        <w:tc>
          <w:tcPr>
            <w:tcW w:w="2980" w:type="dxa"/>
            <w:tcBorders>
              <w:top w:val="nil"/>
              <w:left w:val="nil"/>
              <w:bottom w:val="single" w:sz="4" w:space="0" w:color="CCCCCC"/>
              <w:right w:val="single" w:sz="4" w:space="0" w:color="CCCCCC"/>
            </w:tcBorders>
            <w:shd w:val="clear" w:color="000000" w:fill="E6F4EA"/>
            <w:noWrap/>
            <w:vAlign w:val="center"/>
            <w:hideMark/>
          </w:tcPr>
          <w:p w14:paraId="5D01E303" w14:textId="4B4FF96D" w:rsidR="00F56AEE" w:rsidRPr="00F56AEE" w:rsidRDefault="00F56AEE" w:rsidP="00F56AEE">
            <w:pPr>
              <w:rPr>
                <w:rFonts w:eastAsia="Times New Roman"/>
                <w:b/>
                <w:bCs/>
                <w:color w:val="1A5C2E"/>
                <w:sz w:val="16"/>
                <w:szCs w:val="16"/>
              </w:rPr>
            </w:pPr>
            <w:r>
              <w:rPr>
                <w:b/>
                <w:bCs/>
                <w:color w:val="1A5C2E"/>
                <w:sz w:val="16"/>
                <w:szCs w:val="16"/>
              </w:rPr>
              <w:t>ARADEL HOLDINGS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2C6ED5EA" w14:textId="4033ED1F" w:rsidR="00F56AEE" w:rsidRPr="00F56AEE" w:rsidRDefault="00F56AEE" w:rsidP="00F56AEE">
            <w:pPr>
              <w:jc w:val="right"/>
              <w:rPr>
                <w:rFonts w:eastAsia="Times New Roman"/>
                <w:b/>
                <w:bCs/>
                <w:color w:val="0C3512" w:themeColor="accent3" w:themeShade="80"/>
                <w:sz w:val="16"/>
                <w:szCs w:val="16"/>
              </w:rPr>
            </w:pPr>
            <w:r>
              <w:rPr>
                <w:b/>
                <w:bCs/>
                <w:color w:val="1A5C2E"/>
                <w:sz w:val="16"/>
                <w:szCs w:val="16"/>
              </w:rPr>
              <w:t>1,413.00</w:t>
            </w:r>
          </w:p>
        </w:tc>
        <w:tc>
          <w:tcPr>
            <w:tcW w:w="940" w:type="dxa"/>
            <w:tcBorders>
              <w:top w:val="nil"/>
              <w:left w:val="nil"/>
              <w:bottom w:val="single" w:sz="4" w:space="0" w:color="CCCCCC"/>
              <w:right w:val="single" w:sz="4" w:space="0" w:color="CCCCCC"/>
            </w:tcBorders>
            <w:shd w:val="clear" w:color="000000" w:fill="E6F4EA"/>
            <w:noWrap/>
            <w:vAlign w:val="center"/>
            <w:hideMark/>
          </w:tcPr>
          <w:p w14:paraId="33113418" w14:textId="1D3475E7" w:rsidR="00F56AEE" w:rsidRPr="00F56AEE" w:rsidRDefault="00F56AEE" w:rsidP="00F56AEE">
            <w:pPr>
              <w:jc w:val="center"/>
              <w:rPr>
                <w:rFonts w:eastAsia="Times New Roman"/>
                <w:b/>
                <w:bCs/>
                <w:color w:val="275317" w:themeColor="accent6" w:themeShade="80"/>
                <w:sz w:val="16"/>
                <w:szCs w:val="16"/>
              </w:rPr>
            </w:pPr>
            <w:r>
              <w:rPr>
                <w:b/>
                <w:bCs/>
                <w:color w:val="B22222"/>
                <w:sz w:val="16"/>
                <w:szCs w:val="16"/>
              </w:rPr>
              <w:t>-5.16%</w:t>
            </w:r>
          </w:p>
        </w:tc>
        <w:tc>
          <w:tcPr>
            <w:tcW w:w="1600" w:type="dxa"/>
            <w:tcBorders>
              <w:top w:val="nil"/>
              <w:left w:val="nil"/>
              <w:bottom w:val="single" w:sz="4" w:space="0" w:color="CCCCCC"/>
              <w:right w:val="single" w:sz="4" w:space="0" w:color="CCCCCC"/>
            </w:tcBorders>
            <w:shd w:val="clear" w:color="000000" w:fill="E6F4EA"/>
            <w:noWrap/>
            <w:vAlign w:val="center"/>
            <w:hideMark/>
          </w:tcPr>
          <w:p w14:paraId="36085E80" w14:textId="751F9BA5" w:rsidR="00F56AEE" w:rsidRPr="00F56AEE" w:rsidRDefault="00F56AEE" w:rsidP="00F56AEE">
            <w:pPr>
              <w:jc w:val="right"/>
              <w:rPr>
                <w:rFonts w:eastAsia="Times New Roman"/>
                <w:b/>
                <w:bCs/>
                <w:color w:val="1A5C2E"/>
                <w:sz w:val="16"/>
                <w:szCs w:val="16"/>
              </w:rPr>
            </w:pPr>
            <w:r>
              <w:rPr>
                <w:b/>
                <w:bCs/>
                <w:color w:val="1A5C2E"/>
                <w:sz w:val="16"/>
                <w:szCs w:val="16"/>
              </w:rPr>
              <w:t>10,868,128</w:t>
            </w:r>
          </w:p>
        </w:tc>
        <w:tc>
          <w:tcPr>
            <w:tcW w:w="1360" w:type="dxa"/>
            <w:tcBorders>
              <w:top w:val="nil"/>
              <w:left w:val="nil"/>
              <w:bottom w:val="single" w:sz="4" w:space="0" w:color="CCCCCC"/>
              <w:right w:val="single" w:sz="4" w:space="0" w:color="CCCCCC"/>
            </w:tcBorders>
            <w:shd w:val="clear" w:color="000000" w:fill="E6F4EA"/>
            <w:noWrap/>
            <w:vAlign w:val="center"/>
            <w:hideMark/>
          </w:tcPr>
          <w:p w14:paraId="7A1E2FE9" w14:textId="0018DF60" w:rsidR="00F56AEE" w:rsidRPr="00F56AEE" w:rsidRDefault="00F56AEE" w:rsidP="00F56AEE">
            <w:pPr>
              <w:jc w:val="right"/>
              <w:rPr>
                <w:rFonts w:eastAsia="Times New Roman"/>
                <w:b/>
                <w:bCs/>
                <w:color w:val="1A5C2E"/>
                <w:sz w:val="16"/>
                <w:szCs w:val="16"/>
              </w:rPr>
            </w:pPr>
            <w:r>
              <w:rPr>
                <w:b/>
                <w:bCs/>
                <w:color w:val="404040"/>
                <w:sz w:val="16"/>
                <w:szCs w:val="16"/>
              </w:rPr>
              <w:t>16,469.6</w:t>
            </w:r>
          </w:p>
        </w:tc>
      </w:tr>
      <w:tr w:rsidR="00F56AEE" w:rsidRPr="00C94181" w14:paraId="0F87D039"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516CD9F6" w14:textId="77777777" w:rsidR="00F56AEE" w:rsidRPr="00C94181" w:rsidRDefault="00F56AEE" w:rsidP="00F56AEE">
            <w:pPr>
              <w:jc w:val="center"/>
              <w:rPr>
                <w:rFonts w:eastAsia="Times New Roman"/>
                <w:sz w:val="16"/>
                <w:szCs w:val="16"/>
              </w:rPr>
            </w:pPr>
            <w:r>
              <w:rPr>
                <w:rFonts w:eastAsia="Times New Roman"/>
                <w:sz w:val="16"/>
                <w:szCs w:val="16"/>
              </w:rPr>
              <w:t>2</w:t>
            </w:r>
          </w:p>
        </w:tc>
        <w:tc>
          <w:tcPr>
            <w:tcW w:w="1330" w:type="dxa"/>
            <w:tcBorders>
              <w:top w:val="nil"/>
              <w:left w:val="nil"/>
              <w:bottom w:val="single" w:sz="4" w:space="0" w:color="CCCCCC"/>
              <w:right w:val="single" w:sz="4" w:space="0" w:color="CCCCCC"/>
            </w:tcBorders>
            <w:shd w:val="clear" w:color="000000" w:fill="E6F4EA"/>
            <w:noWrap/>
            <w:vAlign w:val="center"/>
            <w:hideMark/>
          </w:tcPr>
          <w:p w14:paraId="57F28F80" w14:textId="488518B5" w:rsidR="00F56AEE" w:rsidRPr="00F56AEE" w:rsidRDefault="00F56AEE" w:rsidP="00F56AEE">
            <w:pPr>
              <w:jc w:val="center"/>
              <w:rPr>
                <w:rFonts w:eastAsia="Times New Roman"/>
                <w:b/>
                <w:bCs/>
                <w:color w:val="1A5C2E"/>
                <w:sz w:val="16"/>
                <w:szCs w:val="16"/>
              </w:rPr>
            </w:pPr>
            <w:r>
              <w:rPr>
                <w:b/>
                <w:bCs/>
                <w:color w:val="1A5C2E"/>
                <w:sz w:val="16"/>
                <w:szCs w:val="16"/>
              </w:rPr>
              <w:t>GTCO</w:t>
            </w:r>
          </w:p>
        </w:tc>
        <w:tc>
          <w:tcPr>
            <w:tcW w:w="2980" w:type="dxa"/>
            <w:tcBorders>
              <w:top w:val="nil"/>
              <w:left w:val="nil"/>
              <w:bottom w:val="single" w:sz="4" w:space="0" w:color="CCCCCC"/>
              <w:right w:val="single" w:sz="4" w:space="0" w:color="CCCCCC"/>
            </w:tcBorders>
            <w:shd w:val="clear" w:color="000000" w:fill="E6F4EA"/>
            <w:noWrap/>
            <w:vAlign w:val="center"/>
            <w:hideMark/>
          </w:tcPr>
          <w:p w14:paraId="0F78193D" w14:textId="033B815E" w:rsidR="00F56AEE" w:rsidRPr="00F56AEE" w:rsidRDefault="00F56AEE" w:rsidP="00F56AEE">
            <w:pPr>
              <w:rPr>
                <w:rFonts w:eastAsia="Times New Roman"/>
                <w:b/>
                <w:bCs/>
                <w:color w:val="1A5C2E"/>
                <w:sz w:val="16"/>
                <w:szCs w:val="16"/>
              </w:rPr>
            </w:pPr>
            <w:r>
              <w:rPr>
                <w:b/>
                <w:bCs/>
                <w:color w:val="1A5C2E"/>
                <w:sz w:val="16"/>
                <w:szCs w:val="16"/>
              </w:rPr>
              <w:t>GUARANTY TRUST HOLDING COMPANY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0D6CF6AE" w14:textId="25FB6AAC" w:rsidR="00F56AEE" w:rsidRPr="00F56AEE" w:rsidRDefault="00F56AEE" w:rsidP="00F56AEE">
            <w:pPr>
              <w:jc w:val="right"/>
              <w:rPr>
                <w:rFonts w:eastAsia="Times New Roman"/>
                <w:b/>
                <w:bCs/>
                <w:color w:val="0C3512" w:themeColor="accent3" w:themeShade="80"/>
                <w:sz w:val="16"/>
                <w:szCs w:val="16"/>
              </w:rPr>
            </w:pPr>
            <w:r>
              <w:rPr>
                <w:b/>
                <w:bCs/>
                <w:color w:val="1A5C2E"/>
                <w:sz w:val="16"/>
                <w:szCs w:val="16"/>
              </w:rPr>
              <w:t>129.90</w:t>
            </w:r>
          </w:p>
        </w:tc>
        <w:tc>
          <w:tcPr>
            <w:tcW w:w="940" w:type="dxa"/>
            <w:tcBorders>
              <w:top w:val="nil"/>
              <w:left w:val="nil"/>
              <w:bottom w:val="single" w:sz="4" w:space="0" w:color="CCCCCC"/>
              <w:right w:val="single" w:sz="4" w:space="0" w:color="CCCCCC"/>
            </w:tcBorders>
            <w:shd w:val="clear" w:color="000000" w:fill="E6F4EA"/>
            <w:noWrap/>
            <w:vAlign w:val="center"/>
            <w:hideMark/>
          </w:tcPr>
          <w:p w14:paraId="2840298F" w14:textId="33E69CBF" w:rsidR="00F56AEE" w:rsidRPr="00F56AEE" w:rsidRDefault="00F56AEE" w:rsidP="00F56AEE">
            <w:pPr>
              <w:jc w:val="center"/>
              <w:rPr>
                <w:rFonts w:eastAsia="Times New Roman"/>
                <w:b/>
                <w:bCs/>
                <w:color w:val="1A5C2E"/>
                <w:sz w:val="16"/>
                <w:szCs w:val="16"/>
              </w:rPr>
            </w:pPr>
            <w:r>
              <w:rPr>
                <w:b/>
                <w:bCs/>
                <w:color w:val="B22222"/>
                <w:sz w:val="16"/>
                <w:szCs w:val="16"/>
              </w:rPr>
              <w:t>-2.11%</w:t>
            </w:r>
          </w:p>
        </w:tc>
        <w:tc>
          <w:tcPr>
            <w:tcW w:w="1600" w:type="dxa"/>
            <w:tcBorders>
              <w:top w:val="nil"/>
              <w:left w:val="nil"/>
              <w:bottom w:val="single" w:sz="4" w:space="0" w:color="CCCCCC"/>
              <w:right w:val="single" w:sz="4" w:space="0" w:color="CCCCCC"/>
            </w:tcBorders>
            <w:shd w:val="clear" w:color="000000" w:fill="E6F4EA"/>
            <w:noWrap/>
            <w:vAlign w:val="center"/>
            <w:hideMark/>
          </w:tcPr>
          <w:p w14:paraId="40871D34" w14:textId="05DA7970" w:rsidR="00F56AEE" w:rsidRPr="00F56AEE" w:rsidRDefault="00F56AEE" w:rsidP="00F56AEE">
            <w:pPr>
              <w:jc w:val="right"/>
              <w:rPr>
                <w:rFonts w:eastAsia="Times New Roman"/>
                <w:b/>
                <w:bCs/>
                <w:color w:val="1A5C2E"/>
                <w:sz w:val="16"/>
                <w:szCs w:val="16"/>
              </w:rPr>
            </w:pPr>
            <w:r>
              <w:rPr>
                <w:b/>
                <w:bCs/>
                <w:color w:val="1A5C2E"/>
                <w:sz w:val="16"/>
                <w:szCs w:val="16"/>
              </w:rPr>
              <w:t>79,371,039</w:t>
            </w:r>
          </w:p>
        </w:tc>
        <w:tc>
          <w:tcPr>
            <w:tcW w:w="1360" w:type="dxa"/>
            <w:tcBorders>
              <w:top w:val="nil"/>
              <w:left w:val="nil"/>
              <w:bottom w:val="single" w:sz="4" w:space="0" w:color="CCCCCC"/>
              <w:right w:val="single" w:sz="4" w:space="0" w:color="CCCCCC"/>
            </w:tcBorders>
            <w:shd w:val="clear" w:color="000000" w:fill="E6F4EA"/>
            <w:noWrap/>
            <w:vAlign w:val="center"/>
            <w:hideMark/>
          </w:tcPr>
          <w:p w14:paraId="1A782DF5" w14:textId="7E6B7CCF" w:rsidR="00F56AEE" w:rsidRPr="00F56AEE" w:rsidRDefault="00F56AEE" w:rsidP="00F56AEE">
            <w:pPr>
              <w:jc w:val="right"/>
              <w:rPr>
                <w:rFonts w:eastAsia="Times New Roman"/>
                <w:b/>
                <w:bCs/>
                <w:color w:val="1A5C2E"/>
                <w:sz w:val="16"/>
                <w:szCs w:val="16"/>
              </w:rPr>
            </w:pPr>
            <w:r>
              <w:rPr>
                <w:b/>
                <w:bCs/>
                <w:color w:val="222222"/>
                <w:sz w:val="16"/>
                <w:szCs w:val="16"/>
              </w:rPr>
              <w:t>10,303.5</w:t>
            </w:r>
          </w:p>
        </w:tc>
      </w:tr>
      <w:tr w:rsidR="00F56AEE" w:rsidRPr="00C94181" w14:paraId="47D01669"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684BC15E" w14:textId="77777777" w:rsidR="00F56AEE" w:rsidRPr="00C94181" w:rsidRDefault="00F56AEE" w:rsidP="00F56AEE">
            <w:pPr>
              <w:jc w:val="center"/>
              <w:rPr>
                <w:rFonts w:eastAsia="Times New Roman"/>
                <w:sz w:val="16"/>
                <w:szCs w:val="16"/>
              </w:rPr>
            </w:pPr>
            <w:r>
              <w:rPr>
                <w:rFonts w:eastAsia="Times New Roman"/>
                <w:sz w:val="16"/>
                <w:szCs w:val="16"/>
              </w:rPr>
              <w:t>3</w:t>
            </w:r>
          </w:p>
        </w:tc>
        <w:tc>
          <w:tcPr>
            <w:tcW w:w="1330" w:type="dxa"/>
            <w:tcBorders>
              <w:top w:val="nil"/>
              <w:left w:val="nil"/>
              <w:bottom w:val="single" w:sz="4" w:space="0" w:color="CCCCCC"/>
              <w:right w:val="single" w:sz="4" w:space="0" w:color="CCCCCC"/>
            </w:tcBorders>
            <w:shd w:val="clear" w:color="000000" w:fill="E6F4EA"/>
            <w:noWrap/>
            <w:vAlign w:val="center"/>
            <w:hideMark/>
          </w:tcPr>
          <w:p w14:paraId="3D4628DC" w14:textId="21E583E5" w:rsidR="00F56AEE" w:rsidRPr="00F56AEE" w:rsidRDefault="00F56AEE" w:rsidP="00F56AEE">
            <w:pPr>
              <w:jc w:val="center"/>
              <w:rPr>
                <w:rFonts w:eastAsia="Times New Roman"/>
                <w:b/>
                <w:bCs/>
                <w:color w:val="1A5C2E"/>
                <w:sz w:val="16"/>
                <w:szCs w:val="16"/>
              </w:rPr>
            </w:pPr>
            <w:r>
              <w:rPr>
                <w:b/>
                <w:bCs/>
                <w:color w:val="1A5C2E"/>
                <w:sz w:val="16"/>
                <w:szCs w:val="16"/>
              </w:rPr>
              <w:t>MTNN</w:t>
            </w:r>
          </w:p>
        </w:tc>
        <w:tc>
          <w:tcPr>
            <w:tcW w:w="2980" w:type="dxa"/>
            <w:tcBorders>
              <w:top w:val="nil"/>
              <w:left w:val="nil"/>
              <w:bottom w:val="single" w:sz="4" w:space="0" w:color="CCCCCC"/>
              <w:right w:val="single" w:sz="4" w:space="0" w:color="CCCCCC"/>
            </w:tcBorders>
            <w:shd w:val="clear" w:color="000000" w:fill="E6F4EA"/>
            <w:noWrap/>
            <w:vAlign w:val="center"/>
            <w:hideMark/>
          </w:tcPr>
          <w:p w14:paraId="479A6779" w14:textId="42FFB24F" w:rsidR="00F56AEE" w:rsidRPr="00F56AEE" w:rsidRDefault="00F56AEE" w:rsidP="00F56AEE">
            <w:pPr>
              <w:rPr>
                <w:rFonts w:eastAsia="Times New Roman"/>
                <w:b/>
                <w:bCs/>
                <w:color w:val="1A5C2E"/>
                <w:sz w:val="16"/>
                <w:szCs w:val="16"/>
              </w:rPr>
            </w:pPr>
            <w:r>
              <w:rPr>
                <w:b/>
                <w:bCs/>
                <w:color w:val="1A5C2E"/>
                <w:sz w:val="16"/>
                <w:szCs w:val="16"/>
              </w:rPr>
              <w:t>MTN NIGERIA COMMUNICATIONS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098067D9" w14:textId="4C2CB464" w:rsidR="00F56AEE" w:rsidRPr="00F56AEE" w:rsidRDefault="00F56AEE" w:rsidP="00F56AEE">
            <w:pPr>
              <w:jc w:val="right"/>
              <w:rPr>
                <w:rFonts w:eastAsia="Times New Roman"/>
                <w:b/>
                <w:bCs/>
                <w:color w:val="0C3512" w:themeColor="accent3" w:themeShade="80"/>
                <w:sz w:val="16"/>
                <w:szCs w:val="16"/>
              </w:rPr>
            </w:pPr>
            <w:r>
              <w:rPr>
                <w:b/>
                <w:bCs/>
                <w:color w:val="1A5C2E"/>
                <w:sz w:val="16"/>
                <w:szCs w:val="16"/>
              </w:rPr>
              <w:t>813.00</w:t>
            </w:r>
          </w:p>
        </w:tc>
        <w:tc>
          <w:tcPr>
            <w:tcW w:w="940" w:type="dxa"/>
            <w:tcBorders>
              <w:top w:val="nil"/>
              <w:left w:val="nil"/>
              <w:bottom w:val="single" w:sz="4" w:space="0" w:color="CCCCCC"/>
              <w:right w:val="single" w:sz="4" w:space="0" w:color="CCCCCC"/>
            </w:tcBorders>
            <w:shd w:val="clear" w:color="000000" w:fill="E6F4EA"/>
            <w:noWrap/>
            <w:vAlign w:val="center"/>
            <w:hideMark/>
          </w:tcPr>
          <w:p w14:paraId="1E1CAFF9" w14:textId="32BA8C3E" w:rsidR="00F56AEE" w:rsidRPr="00F56AEE" w:rsidRDefault="00F56AEE" w:rsidP="00F56AEE">
            <w:pPr>
              <w:jc w:val="center"/>
              <w:rPr>
                <w:rFonts w:eastAsia="Times New Roman"/>
                <w:b/>
                <w:bCs/>
                <w:color w:val="1A5C2E"/>
                <w:sz w:val="16"/>
                <w:szCs w:val="16"/>
              </w:rPr>
            </w:pPr>
            <w:r>
              <w:rPr>
                <w:b/>
                <w:bCs/>
                <w:sz w:val="16"/>
                <w:szCs w:val="16"/>
              </w:rPr>
              <w:t>0.00%</w:t>
            </w:r>
          </w:p>
        </w:tc>
        <w:tc>
          <w:tcPr>
            <w:tcW w:w="1600" w:type="dxa"/>
            <w:tcBorders>
              <w:top w:val="nil"/>
              <w:left w:val="nil"/>
              <w:bottom w:val="single" w:sz="4" w:space="0" w:color="CCCCCC"/>
              <w:right w:val="single" w:sz="4" w:space="0" w:color="CCCCCC"/>
            </w:tcBorders>
            <w:shd w:val="clear" w:color="000000" w:fill="E6F4EA"/>
            <w:noWrap/>
            <w:vAlign w:val="center"/>
            <w:hideMark/>
          </w:tcPr>
          <w:p w14:paraId="4D97A984" w14:textId="3A43E4A2" w:rsidR="00F56AEE" w:rsidRPr="00F56AEE" w:rsidRDefault="00F56AEE" w:rsidP="00F56AEE">
            <w:pPr>
              <w:jc w:val="right"/>
              <w:rPr>
                <w:rFonts w:eastAsia="Times New Roman"/>
                <w:b/>
                <w:bCs/>
                <w:color w:val="1A5C2E"/>
                <w:sz w:val="16"/>
                <w:szCs w:val="16"/>
              </w:rPr>
            </w:pPr>
            <w:r>
              <w:rPr>
                <w:b/>
                <w:bCs/>
                <w:color w:val="1A5C2E"/>
                <w:sz w:val="16"/>
                <w:szCs w:val="16"/>
              </w:rPr>
              <w:t>12,374,923</w:t>
            </w:r>
          </w:p>
        </w:tc>
        <w:tc>
          <w:tcPr>
            <w:tcW w:w="1360" w:type="dxa"/>
            <w:tcBorders>
              <w:top w:val="nil"/>
              <w:left w:val="nil"/>
              <w:bottom w:val="single" w:sz="4" w:space="0" w:color="CCCCCC"/>
              <w:right w:val="single" w:sz="4" w:space="0" w:color="CCCCCC"/>
            </w:tcBorders>
            <w:shd w:val="clear" w:color="000000" w:fill="E6F4EA"/>
            <w:noWrap/>
            <w:vAlign w:val="center"/>
            <w:hideMark/>
          </w:tcPr>
          <w:p w14:paraId="4E4F006C" w14:textId="7636AE43" w:rsidR="00F56AEE" w:rsidRPr="00F56AEE" w:rsidRDefault="00F56AEE" w:rsidP="00F56AEE">
            <w:pPr>
              <w:jc w:val="right"/>
              <w:rPr>
                <w:rFonts w:eastAsia="Times New Roman"/>
                <w:b/>
                <w:bCs/>
                <w:color w:val="1A5C2E"/>
                <w:sz w:val="16"/>
                <w:szCs w:val="16"/>
              </w:rPr>
            </w:pPr>
            <w:r>
              <w:rPr>
                <w:b/>
                <w:bCs/>
                <w:color w:val="404040"/>
                <w:sz w:val="16"/>
                <w:szCs w:val="16"/>
              </w:rPr>
              <w:t>10,142.5</w:t>
            </w:r>
          </w:p>
        </w:tc>
      </w:tr>
      <w:tr w:rsidR="00F56AEE" w:rsidRPr="00C94181" w14:paraId="08079998"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14F8988F" w14:textId="77777777" w:rsidR="00F56AEE" w:rsidRPr="00C94181" w:rsidRDefault="00F56AEE" w:rsidP="00F56AEE">
            <w:pPr>
              <w:jc w:val="center"/>
              <w:rPr>
                <w:rFonts w:eastAsia="Times New Roman"/>
                <w:sz w:val="16"/>
                <w:szCs w:val="16"/>
              </w:rPr>
            </w:pPr>
            <w:r>
              <w:rPr>
                <w:rFonts w:eastAsia="Times New Roman"/>
                <w:sz w:val="16"/>
                <w:szCs w:val="16"/>
              </w:rPr>
              <w:t>4</w:t>
            </w:r>
          </w:p>
        </w:tc>
        <w:tc>
          <w:tcPr>
            <w:tcW w:w="1330" w:type="dxa"/>
            <w:tcBorders>
              <w:top w:val="nil"/>
              <w:left w:val="nil"/>
              <w:bottom w:val="single" w:sz="4" w:space="0" w:color="CCCCCC"/>
              <w:right w:val="single" w:sz="4" w:space="0" w:color="CCCCCC"/>
            </w:tcBorders>
            <w:shd w:val="clear" w:color="000000" w:fill="E6F4EA"/>
            <w:noWrap/>
            <w:vAlign w:val="center"/>
            <w:hideMark/>
          </w:tcPr>
          <w:p w14:paraId="20015455" w14:textId="5D1680A0" w:rsidR="00F56AEE" w:rsidRPr="00F56AEE" w:rsidRDefault="00F56AEE" w:rsidP="00F56AEE">
            <w:pPr>
              <w:jc w:val="center"/>
              <w:rPr>
                <w:rFonts w:eastAsia="Times New Roman"/>
                <w:b/>
                <w:bCs/>
                <w:color w:val="1A5C2E"/>
                <w:sz w:val="16"/>
                <w:szCs w:val="16"/>
              </w:rPr>
            </w:pPr>
            <w:r>
              <w:rPr>
                <w:b/>
                <w:bCs/>
                <w:color w:val="1A5C2E"/>
                <w:sz w:val="16"/>
                <w:szCs w:val="16"/>
              </w:rPr>
              <w:t>ZENITHBANK</w:t>
            </w:r>
          </w:p>
        </w:tc>
        <w:tc>
          <w:tcPr>
            <w:tcW w:w="2980" w:type="dxa"/>
            <w:tcBorders>
              <w:top w:val="nil"/>
              <w:left w:val="nil"/>
              <w:bottom w:val="single" w:sz="4" w:space="0" w:color="CCCCCC"/>
              <w:right w:val="single" w:sz="4" w:space="0" w:color="CCCCCC"/>
            </w:tcBorders>
            <w:shd w:val="clear" w:color="000000" w:fill="E6F4EA"/>
            <w:noWrap/>
            <w:vAlign w:val="center"/>
            <w:hideMark/>
          </w:tcPr>
          <w:p w14:paraId="6E0D0510" w14:textId="228A96D8" w:rsidR="00F56AEE" w:rsidRPr="00F56AEE" w:rsidRDefault="00F56AEE" w:rsidP="00F56AEE">
            <w:pPr>
              <w:rPr>
                <w:rFonts w:eastAsia="Times New Roman"/>
                <w:b/>
                <w:bCs/>
                <w:color w:val="1A5C2E"/>
                <w:sz w:val="16"/>
                <w:szCs w:val="16"/>
              </w:rPr>
            </w:pPr>
            <w:r>
              <w:rPr>
                <w:b/>
                <w:bCs/>
                <w:color w:val="1A5C2E"/>
                <w:sz w:val="16"/>
                <w:szCs w:val="16"/>
              </w:rPr>
              <w:t>ZENITH BANK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04881BE5" w14:textId="06C35026" w:rsidR="00F56AEE" w:rsidRPr="00F56AEE" w:rsidRDefault="00F56AEE" w:rsidP="00F56AEE">
            <w:pPr>
              <w:jc w:val="right"/>
              <w:rPr>
                <w:rFonts w:eastAsia="Times New Roman"/>
                <w:b/>
                <w:bCs/>
                <w:color w:val="0C3512" w:themeColor="accent3" w:themeShade="80"/>
                <w:sz w:val="16"/>
                <w:szCs w:val="16"/>
              </w:rPr>
            </w:pPr>
            <w:r>
              <w:rPr>
                <w:b/>
                <w:bCs/>
                <w:color w:val="1A5C2E"/>
                <w:sz w:val="16"/>
                <w:szCs w:val="16"/>
              </w:rPr>
              <w:t>124.50</w:t>
            </w:r>
          </w:p>
        </w:tc>
        <w:tc>
          <w:tcPr>
            <w:tcW w:w="940" w:type="dxa"/>
            <w:tcBorders>
              <w:top w:val="nil"/>
              <w:left w:val="nil"/>
              <w:bottom w:val="single" w:sz="4" w:space="0" w:color="CCCCCC"/>
              <w:right w:val="single" w:sz="4" w:space="0" w:color="CCCCCC"/>
            </w:tcBorders>
            <w:shd w:val="clear" w:color="000000" w:fill="E6F4EA"/>
            <w:noWrap/>
            <w:vAlign w:val="center"/>
            <w:hideMark/>
          </w:tcPr>
          <w:p w14:paraId="74A2D503" w14:textId="5B5F51A6" w:rsidR="00F56AEE" w:rsidRPr="00F56AEE" w:rsidRDefault="00F56AEE" w:rsidP="00F56AEE">
            <w:pPr>
              <w:jc w:val="center"/>
              <w:rPr>
                <w:rFonts w:eastAsia="Times New Roman"/>
                <w:b/>
                <w:bCs/>
                <w:color w:val="0C3512" w:themeColor="accent3" w:themeShade="80"/>
                <w:sz w:val="16"/>
                <w:szCs w:val="16"/>
              </w:rPr>
            </w:pPr>
            <w:r>
              <w:rPr>
                <w:b/>
                <w:bCs/>
                <w:color w:val="B22222"/>
                <w:sz w:val="16"/>
                <w:szCs w:val="16"/>
              </w:rPr>
              <w:t>-3.19%</w:t>
            </w:r>
          </w:p>
        </w:tc>
        <w:tc>
          <w:tcPr>
            <w:tcW w:w="1600" w:type="dxa"/>
            <w:tcBorders>
              <w:top w:val="nil"/>
              <w:left w:val="nil"/>
              <w:bottom w:val="single" w:sz="4" w:space="0" w:color="CCCCCC"/>
              <w:right w:val="single" w:sz="4" w:space="0" w:color="CCCCCC"/>
            </w:tcBorders>
            <w:shd w:val="clear" w:color="000000" w:fill="E6F4EA"/>
            <w:noWrap/>
            <w:vAlign w:val="center"/>
            <w:hideMark/>
          </w:tcPr>
          <w:p w14:paraId="25D2D678" w14:textId="1EA7555D" w:rsidR="00F56AEE" w:rsidRPr="00F56AEE" w:rsidRDefault="00F56AEE" w:rsidP="00F56AEE">
            <w:pPr>
              <w:jc w:val="right"/>
              <w:rPr>
                <w:rFonts w:eastAsia="Times New Roman"/>
                <w:b/>
                <w:bCs/>
                <w:color w:val="1A5C2E"/>
                <w:sz w:val="16"/>
                <w:szCs w:val="16"/>
              </w:rPr>
            </w:pPr>
            <w:r>
              <w:rPr>
                <w:b/>
                <w:bCs/>
                <w:color w:val="1A5C2E"/>
                <w:sz w:val="16"/>
                <w:szCs w:val="16"/>
              </w:rPr>
              <w:t>65,126,330</w:t>
            </w:r>
          </w:p>
        </w:tc>
        <w:tc>
          <w:tcPr>
            <w:tcW w:w="1360" w:type="dxa"/>
            <w:tcBorders>
              <w:top w:val="nil"/>
              <w:left w:val="nil"/>
              <w:bottom w:val="single" w:sz="4" w:space="0" w:color="CCCCCC"/>
              <w:right w:val="single" w:sz="4" w:space="0" w:color="CCCCCC"/>
            </w:tcBorders>
            <w:shd w:val="clear" w:color="000000" w:fill="E6F4EA"/>
            <w:noWrap/>
            <w:vAlign w:val="center"/>
            <w:hideMark/>
          </w:tcPr>
          <w:p w14:paraId="247A6F2B" w14:textId="707A3498" w:rsidR="00F56AEE" w:rsidRPr="00F56AEE" w:rsidRDefault="00F56AEE" w:rsidP="00F56AEE">
            <w:pPr>
              <w:jc w:val="right"/>
              <w:rPr>
                <w:rFonts w:eastAsia="Times New Roman"/>
                <w:b/>
                <w:bCs/>
                <w:color w:val="1A5C2E"/>
                <w:sz w:val="16"/>
                <w:szCs w:val="16"/>
              </w:rPr>
            </w:pPr>
            <w:r>
              <w:rPr>
                <w:b/>
                <w:bCs/>
                <w:color w:val="1A5C2E"/>
                <w:sz w:val="16"/>
                <w:szCs w:val="16"/>
              </w:rPr>
              <w:t>8,073.4</w:t>
            </w:r>
          </w:p>
        </w:tc>
      </w:tr>
      <w:tr w:rsidR="00F56AEE" w:rsidRPr="00C94181" w14:paraId="19F8A3C7" w14:textId="77777777" w:rsidTr="00F56AEE">
        <w:trPr>
          <w:trHeight w:val="285"/>
        </w:trPr>
        <w:tc>
          <w:tcPr>
            <w:tcW w:w="420" w:type="dxa"/>
            <w:tcBorders>
              <w:top w:val="nil"/>
              <w:left w:val="single" w:sz="4" w:space="0" w:color="CCCCCC"/>
              <w:bottom w:val="single" w:sz="4" w:space="0" w:color="CCCCCC"/>
              <w:right w:val="single" w:sz="4" w:space="0" w:color="CCCCCC"/>
            </w:tcBorders>
            <w:shd w:val="clear" w:color="000000" w:fill="FFFFFF"/>
            <w:noWrap/>
            <w:vAlign w:val="center"/>
            <w:hideMark/>
          </w:tcPr>
          <w:p w14:paraId="269C0EF2" w14:textId="77777777" w:rsidR="00F56AEE" w:rsidRPr="00C94181" w:rsidRDefault="00F56AEE" w:rsidP="00F56AEE">
            <w:pPr>
              <w:jc w:val="center"/>
              <w:rPr>
                <w:rFonts w:eastAsia="Times New Roman"/>
                <w:sz w:val="16"/>
                <w:szCs w:val="16"/>
              </w:rPr>
            </w:pPr>
            <w:r>
              <w:rPr>
                <w:rFonts w:eastAsia="Times New Roman"/>
                <w:sz w:val="16"/>
                <w:szCs w:val="16"/>
              </w:rPr>
              <w:t>5</w:t>
            </w:r>
          </w:p>
        </w:tc>
        <w:tc>
          <w:tcPr>
            <w:tcW w:w="1330" w:type="dxa"/>
            <w:tcBorders>
              <w:top w:val="nil"/>
              <w:left w:val="nil"/>
              <w:bottom w:val="single" w:sz="4" w:space="0" w:color="CCCCCC"/>
              <w:right w:val="single" w:sz="4" w:space="0" w:color="CCCCCC"/>
            </w:tcBorders>
            <w:shd w:val="clear" w:color="000000" w:fill="E6F4EA"/>
            <w:noWrap/>
            <w:vAlign w:val="center"/>
            <w:hideMark/>
          </w:tcPr>
          <w:p w14:paraId="4BF632A1" w14:textId="167993F9" w:rsidR="00F56AEE" w:rsidRPr="00F56AEE" w:rsidRDefault="00F56AEE" w:rsidP="00F56AEE">
            <w:pPr>
              <w:jc w:val="center"/>
              <w:rPr>
                <w:rFonts w:eastAsia="Times New Roman"/>
                <w:b/>
                <w:bCs/>
                <w:color w:val="1A5C2E"/>
                <w:sz w:val="16"/>
                <w:szCs w:val="16"/>
              </w:rPr>
            </w:pPr>
            <w:r>
              <w:rPr>
                <w:b/>
                <w:bCs/>
                <w:color w:val="1A5C2E"/>
                <w:sz w:val="16"/>
                <w:szCs w:val="16"/>
              </w:rPr>
              <w:t>HBMNG</w:t>
            </w:r>
          </w:p>
        </w:tc>
        <w:tc>
          <w:tcPr>
            <w:tcW w:w="2980" w:type="dxa"/>
            <w:tcBorders>
              <w:top w:val="nil"/>
              <w:left w:val="nil"/>
              <w:bottom w:val="single" w:sz="4" w:space="0" w:color="CCCCCC"/>
              <w:right w:val="single" w:sz="4" w:space="0" w:color="CCCCCC"/>
            </w:tcBorders>
            <w:shd w:val="clear" w:color="000000" w:fill="E6F4EA"/>
            <w:noWrap/>
            <w:vAlign w:val="center"/>
            <w:hideMark/>
          </w:tcPr>
          <w:p w14:paraId="3F0126BA" w14:textId="7ED16D16" w:rsidR="00F56AEE" w:rsidRPr="00F56AEE" w:rsidRDefault="00F56AEE" w:rsidP="00F56AEE">
            <w:pPr>
              <w:rPr>
                <w:rFonts w:eastAsia="Times New Roman"/>
                <w:b/>
                <w:bCs/>
                <w:color w:val="1A5C2E"/>
                <w:sz w:val="16"/>
                <w:szCs w:val="16"/>
              </w:rPr>
            </w:pPr>
            <w:r>
              <w:rPr>
                <w:b/>
                <w:bCs/>
                <w:color w:val="1A5C2E"/>
                <w:sz w:val="16"/>
                <w:szCs w:val="16"/>
              </w:rPr>
              <w:t>HBM NIGERIA PLC</w:t>
            </w:r>
          </w:p>
        </w:tc>
        <w:tc>
          <w:tcPr>
            <w:tcW w:w="1080" w:type="dxa"/>
            <w:tcBorders>
              <w:top w:val="nil"/>
              <w:left w:val="nil"/>
              <w:bottom w:val="single" w:sz="4" w:space="0" w:color="CCCCCC"/>
              <w:right w:val="single" w:sz="4" w:space="0" w:color="CCCCCC"/>
            </w:tcBorders>
            <w:shd w:val="clear" w:color="000000" w:fill="E6F4EA"/>
            <w:noWrap/>
            <w:vAlign w:val="center"/>
            <w:hideMark/>
          </w:tcPr>
          <w:p w14:paraId="2A37780D" w14:textId="5B91BF1E" w:rsidR="00F56AEE" w:rsidRPr="00F56AEE" w:rsidRDefault="00F56AEE" w:rsidP="00F56AEE">
            <w:pPr>
              <w:jc w:val="right"/>
              <w:rPr>
                <w:rFonts w:eastAsia="Times New Roman"/>
                <w:b/>
                <w:bCs/>
                <w:color w:val="0C3512" w:themeColor="accent3" w:themeShade="80"/>
                <w:sz w:val="16"/>
                <w:szCs w:val="16"/>
              </w:rPr>
            </w:pPr>
            <w:r>
              <w:rPr>
                <w:b/>
                <w:bCs/>
                <w:color w:val="1A5C2E"/>
                <w:sz w:val="16"/>
                <w:szCs w:val="16"/>
              </w:rPr>
              <w:t>340.00</w:t>
            </w:r>
          </w:p>
        </w:tc>
        <w:tc>
          <w:tcPr>
            <w:tcW w:w="940" w:type="dxa"/>
            <w:tcBorders>
              <w:top w:val="nil"/>
              <w:left w:val="nil"/>
              <w:bottom w:val="single" w:sz="4" w:space="0" w:color="CCCCCC"/>
              <w:right w:val="single" w:sz="4" w:space="0" w:color="CCCCCC"/>
            </w:tcBorders>
            <w:shd w:val="clear" w:color="000000" w:fill="E6F4EA"/>
            <w:noWrap/>
            <w:vAlign w:val="center"/>
            <w:hideMark/>
          </w:tcPr>
          <w:p w14:paraId="2D055354" w14:textId="06289A1E" w:rsidR="00F56AEE" w:rsidRPr="00F56AEE" w:rsidRDefault="00F56AEE" w:rsidP="00F56AEE">
            <w:pPr>
              <w:jc w:val="center"/>
              <w:rPr>
                <w:rFonts w:eastAsia="Times New Roman"/>
                <w:b/>
                <w:bCs/>
                <w:color w:val="0C3512" w:themeColor="accent3" w:themeShade="80"/>
                <w:sz w:val="16"/>
                <w:szCs w:val="16"/>
              </w:rPr>
            </w:pPr>
            <w:r>
              <w:rPr>
                <w:b/>
                <w:bCs/>
                <w:color w:val="B22222"/>
                <w:sz w:val="16"/>
                <w:szCs w:val="16"/>
              </w:rPr>
              <w:t>-1.45%</w:t>
            </w:r>
          </w:p>
        </w:tc>
        <w:tc>
          <w:tcPr>
            <w:tcW w:w="1600" w:type="dxa"/>
            <w:tcBorders>
              <w:top w:val="nil"/>
              <w:left w:val="nil"/>
              <w:bottom w:val="single" w:sz="4" w:space="0" w:color="CCCCCC"/>
              <w:right w:val="single" w:sz="4" w:space="0" w:color="CCCCCC"/>
            </w:tcBorders>
            <w:shd w:val="clear" w:color="000000" w:fill="E6F4EA"/>
            <w:noWrap/>
            <w:vAlign w:val="center"/>
            <w:hideMark/>
          </w:tcPr>
          <w:p w14:paraId="405A97BB" w14:textId="3395B154" w:rsidR="00F56AEE" w:rsidRPr="00F56AEE" w:rsidRDefault="00F56AEE" w:rsidP="00F56AEE">
            <w:pPr>
              <w:jc w:val="right"/>
              <w:rPr>
                <w:rFonts w:eastAsia="Times New Roman"/>
                <w:b/>
                <w:bCs/>
                <w:color w:val="1A5C2E"/>
                <w:sz w:val="16"/>
                <w:szCs w:val="16"/>
              </w:rPr>
            </w:pPr>
            <w:r>
              <w:rPr>
                <w:b/>
                <w:bCs/>
                <w:color w:val="1A5C2E"/>
                <w:sz w:val="16"/>
                <w:szCs w:val="16"/>
              </w:rPr>
              <w:t>17,048,301</w:t>
            </w:r>
          </w:p>
        </w:tc>
        <w:tc>
          <w:tcPr>
            <w:tcW w:w="1360" w:type="dxa"/>
            <w:tcBorders>
              <w:top w:val="nil"/>
              <w:left w:val="nil"/>
              <w:bottom w:val="single" w:sz="4" w:space="0" w:color="CCCCCC"/>
              <w:right w:val="single" w:sz="4" w:space="0" w:color="CCCCCC"/>
            </w:tcBorders>
            <w:shd w:val="clear" w:color="000000" w:fill="E6F4EA"/>
            <w:noWrap/>
            <w:vAlign w:val="center"/>
            <w:hideMark/>
          </w:tcPr>
          <w:p w14:paraId="6E7BAF15" w14:textId="4CB1834A" w:rsidR="00F56AEE" w:rsidRPr="00F56AEE" w:rsidRDefault="00F56AEE" w:rsidP="00F56AEE">
            <w:pPr>
              <w:jc w:val="right"/>
              <w:rPr>
                <w:rFonts w:eastAsia="Times New Roman"/>
                <w:b/>
                <w:bCs/>
                <w:color w:val="1A5C2E"/>
                <w:sz w:val="16"/>
                <w:szCs w:val="16"/>
              </w:rPr>
            </w:pPr>
            <w:r>
              <w:rPr>
                <w:b/>
                <w:bCs/>
                <w:color w:val="222222"/>
                <w:sz w:val="16"/>
                <w:szCs w:val="16"/>
              </w:rPr>
              <w:t>5,814.7</w:t>
            </w:r>
          </w:p>
        </w:tc>
      </w:tr>
    </w:tbl>
    <w:p w14:paraId="726F5DAB" w14:textId="77777777" w:rsidR="00F56AEE" w:rsidRDefault="00F56AEE" w:rsidP="00974479">
      <w:pPr>
        <w:spacing w:before="180" w:after="80"/>
        <w:rPr>
          <w:b/>
          <w:bCs/>
          <w:color w:val="1A5C4E"/>
          <w:sz w:val="22"/>
          <w:szCs w:val="22"/>
        </w:rPr>
      </w:pPr>
    </w:p>
    <w:p w14:paraId="0876CE6D" w14:textId="3569626E" w:rsidR="00974479" w:rsidRDefault="00933662" w:rsidP="00974479">
      <w:pPr>
        <w:spacing w:before="180" w:after="80"/>
      </w:pPr>
      <w:r>
        <w:rPr>
          <w:b/>
          <w:bCs/>
          <w:color w:val="1A5C4E"/>
          <w:sz w:val="22"/>
          <w:szCs w:val="22"/>
        </w:rPr>
        <w:t>Market Movers Commentary</w:t>
      </w:r>
    </w:p>
    <w:p w14:paraId="4DF3B06A" w14:textId="77777777" w:rsidR="00F56AEE" w:rsidRPr="00F56AEE" w:rsidRDefault="00F56AEE" w:rsidP="00F56AEE">
      <w:pPr>
        <w:pStyle w:val="ListParagraph"/>
        <w:numPr>
          <w:ilvl w:val="0"/>
          <w:numId w:val="7"/>
        </w:numPr>
        <w:spacing w:before="120" w:after="120"/>
        <w:rPr>
          <w:color w:val="auto"/>
        </w:rPr>
      </w:pPr>
      <w:r>
        <w:rPr>
          <w:color w:val="222222"/>
        </w:rPr>
        <w:lastRenderedPageBreak/>
        <w:t xml:space="preserve">Seplat Energy gained </w:t>
      </w:r>
      <w:r>
        <w:rPr>
          <w:b/>
          <w:color w:val="00B050"/>
        </w:rPr>
        <w:t>▲</w:t>
      </w:r>
      <w:r>
        <w:rPr>
          <w:color w:val="222222"/>
        </w:rPr>
        <w:t>10.00% to ₦14,907.80 on 396,067 shares and ₦5.62bn of value traded, a concentrated rather than broad based move.</w:t>
      </w:r>
    </w:p>
    <w:p w14:paraId="24A80044" w14:textId="77777777" w:rsidR="00F56AEE" w:rsidRPr="00F56AEE" w:rsidRDefault="00F56AEE" w:rsidP="00F56AEE">
      <w:pPr>
        <w:pStyle w:val="ListParagraph"/>
        <w:numPr>
          <w:ilvl w:val="0"/>
          <w:numId w:val="7"/>
        </w:numPr>
        <w:spacing w:before="120" w:after="120"/>
        <w:rPr>
          <w:color w:val="auto"/>
        </w:rPr>
      </w:pPr>
      <w:r>
        <w:rPr>
          <w:color w:val="404040"/>
        </w:rPr>
        <w:t xml:space="preserve">Fortis Global Insurance was both the week's largest decliner among ordinary shares and the largest volume print on the board, </w:t>
      </w:r>
      <w:r>
        <w:rPr>
          <w:b/>
          <w:color w:val="EE0000"/>
        </w:rPr>
        <w:t>▼</w:t>
      </w:r>
      <w:r>
        <w:rPr>
          <w:color w:val="404040"/>
        </w:rPr>
        <w:t>30.00% to ₦1.40 on 1.04bn shares, roughly a third of the week's entire market volume.</w:t>
      </w:r>
    </w:p>
    <w:p w14:paraId="00221DA2" w14:textId="77777777" w:rsidR="00D03F1B" w:rsidRPr="00D03F1B" w:rsidRDefault="00F56AEE" w:rsidP="004E1B03">
      <w:pPr>
        <w:pStyle w:val="ListParagraph"/>
        <w:numPr>
          <w:ilvl w:val="0"/>
          <w:numId w:val="7"/>
        </w:numPr>
        <w:spacing w:before="120" w:after="120"/>
        <w:rPr>
          <w:color w:val="auto"/>
        </w:rPr>
      </w:pPr>
      <w:r>
        <w:rPr>
          <w:color w:val="000000"/>
        </w:rPr>
        <w:t xml:space="preserve">Value traded of ₦1,455.3m against 1.04bn shares implies an average price of ₦1.40, consistent with the close. The concentration in one small cap insurer alongside NEM </w:t>
      </w:r>
      <w:r>
        <w:rPr>
          <w:b/>
          <w:color w:val="EE0000"/>
        </w:rPr>
        <w:t>▼</w:t>
      </w:r>
      <w:r>
        <w:rPr>
          <w:color w:val="000000"/>
        </w:rPr>
        <w:t>11.45% is consistent with potentially forced or liquidity driven selling rather than a fundamental repricing, although no fund flow evidence is available to confirm it.</w:t>
      </w:r>
    </w:p>
    <w:p w14:paraId="52F07AD2" w14:textId="138C1584" w:rsidR="00C06B25" w:rsidRPr="00D03F1B" w:rsidRDefault="00CB3E7C" w:rsidP="00D03F1B">
      <w:pPr>
        <w:spacing w:before="120" w:after="120"/>
        <w:rPr>
          <w:color w:val="auto"/>
        </w:rPr>
      </w:pPr>
      <w:r w:rsidRPr="00D03F1B">
        <w:rPr>
          <w:b/>
          <w:bCs/>
          <w:color w:val="1A5C4E"/>
          <w:sz w:val="22"/>
          <w:szCs w:val="22"/>
        </w:rPr>
        <w:t>Large-Cap Watch List</w:t>
      </w:r>
    </w:p>
    <w:tbl>
      <w:tblPr>
        <w:tblW w:w="5000" w:type="pct"/>
        <w:tblLook w:val="04A0" w:firstRow="1" w:lastRow="0" w:firstColumn="1" w:lastColumn="0" w:noHBand="0" w:noVBand="1"/>
      </w:tblPr>
      <w:tblGrid>
        <w:gridCol w:w="1372"/>
        <w:gridCol w:w="1791"/>
        <w:gridCol w:w="1122"/>
        <w:gridCol w:w="1124"/>
        <w:gridCol w:w="1124"/>
        <w:gridCol w:w="1288"/>
        <w:gridCol w:w="961"/>
        <w:gridCol w:w="928"/>
      </w:tblGrid>
      <w:tr w:rsidR="006A640E" w:rsidRPr="006A640E" w14:paraId="6AA8A190" w14:textId="77777777" w:rsidTr="00BA447A">
        <w:trPr>
          <w:trHeight w:val="360"/>
        </w:trPr>
        <w:tc>
          <w:tcPr>
            <w:tcW w:w="706" w:type="pct"/>
            <w:tcBorders>
              <w:top w:val="single" w:sz="4" w:space="0" w:color="CCCCCC"/>
              <w:left w:val="single" w:sz="4" w:space="0" w:color="CCCCCC"/>
              <w:bottom w:val="single" w:sz="4" w:space="0" w:color="CCCCCC"/>
              <w:right w:val="single" w:sz="4" w:space="0" w:color="CCCCCC"/>
            </w:tcBorders>
            <w:shd w:val="clear" w:color="1A5C2E" w:fill="1A5C4E"/>
            <w:noWrap/>
            <w:vAlign w:val="center"/>
            <w:hideMark/>
          </w:tcPr>
          <w:p w14:paraId="195A18B2"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Ticker</w:t>
            </w:r>
          </w:p>
        </w:tc>
        <w:tc>
          <w:tcPr>
            <w:tcW w:w="922" w:type="pct"/>
            <w:tcBorders>
              <w:top w:val="single" w:sz="4" w:space="0" w:color="CCCCCC"/>
              <w:left w:val="nil"/>
              <w:bottom w:val="single" w:sz="4" w:space="0" w:color="CCCCCC"/>
              <w:right w:val="single" w:sz="4" w:space="0" w:color="CCCCCC"/>
            </w:tcBorders>
            <w:shd w:val="clear" w:color="1A5C2E" w:fill="1A5C4E"/>
            <w:noWrap/>
            <w:vAlign w:val="center"/>
            <w:hideMark/>
          </w:tcPr>
          <w:p w14:paraId="307223E8"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Company</w:t>
            </w:r>
          </w:p>
        </w:tc>
        <w:tc>
          <w:tcPr>
            <w:tcW w:w="578" w:type="pct"/>
            <w:tcBorders>
              <w:top w:val="single" w:sz="4" w:space="0" w:color="CCCCCC"/>
              <w:left w:val="nil"/>
              <w:bottom w:val="single" w:sz="4" w:space="0" w:color="CCCCCC"/>
              <w:right w:val="single" w:sz="4" w:space="0" w:color="CCCCCC"/>
            </w:tcBorders>
            <w:shd w:val="clear" w:color="1A5C2E" w:fill="1A5C4E"/>
            <w:noWrap/>
            <w:vAlign w:val="center"/>
            <w:hideMark/>
          </w:tcPr>
          <w:p w14:paraId="25D83A73"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Close (₦)</w:t>
            </w:r>
          </w:p>
        </w:tc>
        <w:tc>
          <w:tcPr>
            <w:tcW w:w="579" w:type="pct"/>
            <w:tcBorders>
              <w:top w:val="single" w:sz="4" w:space="0" w:color="CCCCCC"/>
              <w:left w:val="nil"/>
              <w:bottom w:val="single" w:sz="4" w:space="0" w:color="CCCCCC"/>
              <w:right w:val="single" w:sz="4" w:space="0" w:color="CCCCCC"/>
            </w:tcBorders>
            <w:shd w:val="clear" w:color="1A5C2E" w:fill="1A5C4E"/>
            <w:noWrap/>
            <w:vAlign w:val="center"/>
            <w:hideMark/>
          </w:tcPr>
          <w:p w14:paraId="734705F9"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Prev Close</w:t>
            </w:r>
          </w:p>
        </w:tc>
        <w:tc>
          <w:tcPr>
            <w:tcW w:w="579" w:type="pct"/>
            <w:tcBorders>
              <w:top w:val="single" w:sz="4" w:space="0" w:color="CCCCCC"/>
              <w:left w:val="nil"/>
              <w:bottom w:val="single" w:sz="4" w:space="0" w:color="CCCCCC"/>
              <w:right w:val="single" w:sz="4" w:space="0" w:color="CCCCCC"/>
            </w:tcBorders>
            <w:shd w:val="clear" w:color="1A5C2E" w:fill="1A5C4E"/>
            <w:noWrap/>
            <w:vAlign w:val="center"/>
            <w:hideMark/>
          </w:tcPr>
          <w:p w14:paraId="06BD0424"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WoW %</w:t>
            </w:r>
          </w:p>
        </w:tc>
        <w:tc>
          <w:tcPr>
            <w:tcW w:w="663" w:type="pct"/>
            <w:tcBorders>
              <w:top w:val="single" w:sz="4" w:space="0" w:color="CCCCCC"/>
              <w:left w:val="nil"/>
              <w:bottom w:val="single" w:sz="4" w:space="0" w:color="CCCCCC"/>
              <w:right w:val="single" w:sz="4" w:space="0" w:color="CCCCCC"/>
            </w:tcBorders>
            <w:shd w:val="clear" w:color="1A5C2E" w:fill="1A5C4E"/>
            <w:noWrap/>
            <w:vAlign w:val="center"/>
            <w:hideMark/>
          </w:tcPr>
          <w:p w14:paraId="1C549519"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Weekly Vol</w:t>
            </w:r>
          </w:p>
        </w:tc>
        <w:tc>
          <w:tcPr>
            <w:tcW w:w="495" w:type="pct"/>
            <w:tcBorders>
              <w:top w:val="single" w:sz="4" w:space="0" w:color="CCCCCC"/>
              <w:left w:val="nil"/>
              <w:bottom w:val="single" w:sz="4" w:space="0" w:color="CCCCCC"/>
              <w:right w:val="single" w:sz="4" w:space="0" w:color="CCCCCC"/>
            </w:tcBorders>
            <w:shd w:val="clear" w:color="1A5C2E" w:fill="1A5C4E"/>
            <w:noWrap/>
            <w:vAlign w:val="center"/>
            <w:hideMark/>
          </w:tcPr>
          <w:p w14:paraId="73E8A683"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YTD %</w:t>
            </w:r>
          </w:p>
        </w:tc>
        <w:tc>
          <w:tcPr>
            <w:tcW w:w="478" w:type="pct"/>
            <w:tcBorders>
              <w:top w:val="single" w:sz="4" w:space="0" w:color="CCCCCC"/>
              <w:left w:val="nil"/>
              <w:bottom w:val="single" w:sz="4" w:space="0" w:color="CCCCCC"/>
              <w:right w:val="single" w:sz="4" w:space="0" w:color="CCCCCC"/>
            </w:tcBorders>
            <w:shd w:val="clear" w:color="1A5C2E" w:fill="1A5C4E"/>
            <w:noWrap/>
            <w:vAlign w:val="center"/>
            <w:hideMark/>
          </w:tcPr>
          <w:p w14:paraId="3F48E5E7" w14:textId="77777777" w:rsidR="006A640E" w:rsidRPr="006A640E" w:rsidRDefault="006A640E" w:rsidP="006A640E">
            <w:pPr>
              <w:rPr>
                <w:rFonts w:eastAsia="Times New Roman"/>
                <w:b/>
                <w:bCs/>
                <w:color w:val="FFFFFF"/>
                <w:sz w:val="16"/>
                <w:szCs w:val="16"/>
              </w:rPr>
            </w:pPr>
            <w:r>
              <w:rPr>
                <w:rFonts w:eastAsia="Times New Roman"/>
                <w:b/>
                <w:bCs/>
                <w:color w:val="FFFFFF"/>
                <w:sz w:val="16"/>
                <w:szCs w:val="16"/>
              </w:rPr>
              <w:t>P/E</w:t>
            </w:r>
          </w:p>
        </w:tc>
      </w:tr>
      <w:tr w:rsidR="00F56AEE" w:rsidRPr="006A640E" w14:paraId="78153DD6"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EEF7F5" w:fill="E6F4EA"/>
            <w:noWrap/>
            <w:vAlign w:val="center"/>
            <w:hideMark/>
          </w:tcPr>
          <w:p w14:paraId="624AF890" w14:textId="0F1F383A" w:rsidR="00F56AEE" w:rsidRPr="006A640E" w:rsidRDefault="00F56AEE" w:rsidP="00F56AEE">
            <w:pPr>
              <w:jc w:val="center"/>
              <w:rPr>
                <w:rFonts w:eastAsia="Times New Roman"/>
                <w:b/>
                <w:bCs/>
                <w:color w:val="1A5C2E"/>
                <w:sz w:val="16"/>
                <w:szCs w:val="16"/>
              </w:rPr>
            </w:pPr>
            <w:r>
              <w:rPr>
                <w:b/>
                <w:bCs/>
                <w:color w:val="1A5C2E"/>
                <w:sz w:val="16"/>
                <w:szCs w:val="16"/>
              </w:rPr>
              <w:t>MTNN</w:t>
            </w:r>
          </w:p>
        </w:tc>
        <w:tc>
          <w:tcPr>
            <w:tcW w:w="922" w:type="pct"/>
            <w:tcBorders>
              <w:top w:val="nil"/>
              <w:left w:val="nil"/>
              <w:bottom w:val="single" w:sz="4" w:space="0" w:color="CCCCCC"/>
              <w:right w:val="single" w:sz="4" w:space="0" w:color="CCCCCC"/>
            </w:tcBorders>
            <w:shd w:val="clear" w:color="EEF7F5" w:fill="E6F4EA"/>
            <w:noWrap/>
            <w:vAlign w:val="center"/>
            <w:hideMark/>
          </w:tcPr>
          <w:p w14:paraId="712E91B0" w14:textId="510D6A61" w:rsidR="00F56AEE" w:rsidRPr="006A640E" w:rsidRDefault="00F56AEE" w:rsidP="00F56AEE">
            <w:pPr>
              <w:rPr>
                <w:rFonts w:eastAsia="Times New Roman"/>
                <w:b/>
                <w:bCs/>
                <w:color w:val="1A5C2E"/>
                <w:sz w:val="16"/>
                <w:szCs w:val="16"/>
              </w:rPr>
            </w:pPr>
            <w:r>
              <w:rPr>
                <w:b/>
                <w:bCs/>
                <w:color w:val="1A5C2E"/>
                <w:sz w:val="16"/>
                <w:szCs w:val="16"/>
              </w:rPr>
              <w:t>MTN Nigeria</w:t>
            </w:r>
          </w:p>
        </w:tc>
        <w:tc>
          <w:tcPr>
            <w:tcW w:w="578" w:type="pct"/>
            <w:tcBorders>
              <w:top w:val="nil"/>
              <w:left w:val="nil"/>
              <w:bottom w:val="single" w:sz="4" w:space="0" w:color="CCCCCC"/>
              <w:right w:val="single" w:sz="4" w:space="0" w:color="CCCCCC"/>
            </w:tcBorders>
            <w:shd w:val="clear" w:color="EEF7F5" w:fill="E6F4EA"/>
            <w:noWrap/>
            <w:vAlign w:val="center"/>
            <w:hideMark/>
          </w:tcPr>
          <w:p w14:paraId="229803ED" w14:textId="246B0E5B" w:rsidR="00F56AEE" w:rsidRPr="00CB50FD" w:rsidRDefault="00F56AEE" w:rsidP="00F56AEE">
            <w:pPr>
              <w:jc w:val="right"/>
              <w:rPr>
                <w:b/>
                <w:bCs/>
                <w:color w:val="1A5C2E"/>
                <w:sz w:val="16"/>
                <w:szCs w:val="16"/>
              </w:rPr>
            </w:pPr>
            <w:r>
              <w:rPr>
                <w:b/>
                <w:bCs/>
                <w:color w:val="1A5C2E"/>
                <w:sz w:val="16"/>
                <w:szCs w:val="16"/>
              </w:rPr>
              <w:t>813</w:t>
            </w:r>
          </w:p>
        </w:tc>
        <w:tc>
          <w:tcPr>
            <w:tcW w:w="579" w:type="pct"/>
            <w:tcBorders>
              <w:top w:val="nil"/>
              <w:left w:val="nil"/>
              <w:bottom w:val="single" w:sz="4" w:space="0" w:color="CCCCCC"/>
              <w:right w:val="single" w:sz="4" w:space="0" w:color="CCCCCC"/>
            </w:tcBorders>
            <w:shd w:val="clear" w:color="EEF7F5" w:fill="E6F4EA"/>
            <w:noWrap/>
            <w:vAlign w:val="center"/>
            <w:hideMark/>
          </w:tcPr>
          <w:p w14:paraId="3CDB5FA8" w14:textId="71954186" w:rsidR="00F56AEE" w:rsidRPr="00CB50FD" w:rsidRDefault="00F56AEE" w:rsidP="00F56AEE">
            <w:pPr>
              <w:jc w:val="right"/>
              <w:rPr>
                <w:b/>
                <w:bCs/>
                <w:color w:val="1A5C2E"/>
                <w:sz w:val="16"/>
                <w:szCs w:val="16"/>
              </w:rPr>
            </w:pPr>
            <w:r>
              <w:rPr>
                <w:b/>
                <w:bCs/>
                <w:color w:val="1A5C2E"/>
                <w:sz w:val="16"/>
                <w:szCs w:val="16"/>
              </w:rPr>
              <w:t>813</w:t>
            </w:r>
          </w:p>
        </w:tc>
        <w:tc>
          <w:tcPr>
            <w:tcW w:w="579" w:type="pct"/>
            <w:tcBorders>
              <w:top w:val="single" w:sz="4" w:space="0" w:color="CCCCCC"/>
              <w:left w:val="single" w:sz="4" w:space="0" w:color="CCCCCC"/>
              <w:bottom w:val="single" w:sz="4" w:space="0" w:color="CCCCCC"/>
              <w:right w:val="single" w:sz="4" w:space="0" w:color="CCCCCC"/>
            </w:tcBorders>
            <w:shd w:val="clear" w:color="EEF7F5" w:fill="FCBA7A"/>
            <w:noWrap/>
            <w:vAlign w:val="center"/>
            <w:hideMark/>
          </w:tcPr>
          <w:p w14:paraId="46F19196" w14:textId="3A27A194" w:rsidR="00F56AEE" w:rsidRPr="006A640E" w:rsidRDefault="00F56AEE" w:rsidP="00F56AEE">
            <w:pPr>
              <w:jc w:val="center"/>
              <w:rPr>
                <w:rFonts w:eastAsia="Times New Roman"/>
                <w:b/>
                <w:bCs/>
                <w:color w:val="1A5C2E"/>
                <w:sz w:val="16"/>
                <w:szCs w:val="16"/>
              </w:rPr>
            </w:pPr>
            <w:r>
              <w:rPr>
                <w:b/>
                <w:bCs/>
                <w:color w:val="1A5C2E"/>
                <w:sz w:val="16"/>
                <w:szCs w:val="16"/>
              </w:rPr>
              <w:t>0.00%</w:t>
            </w:r>
          </w:p>
        </w:tc>
        <w:tc>
          <w:tcPr>
            <w:tcW w:w="663" w:type="pct"/>
            <w:tcBorders>
              <w:top w:val="nil"/>
              <w:left w:val="nil"/>
              <w:bottom w:val="single" w:sz="4" w:space="0" w:color="CCCCCC"/>
              <w:right w:val="single" w:sz="4" w:space="0" w:color="CCCCCC"/>
            </w:tcBorders>
            <w:shd w:val="clear" w:color="EEF7F5" w:fill="E6F4EA"/>
            <w:noWrap/>
            <w:vAlign w:val="center"/>
            <w:hideMark/>
          </w:tcPr>
          <w:p w14:paraId="3C6B145D" w14:textId="3207B552" w:rsidR="00F56AEE" w:rsidRPr="006A640E" w:rsidRDefault="00F56AEE" w:rsidP="00F56AEE">
            <w:pPr>
              <w:jc w:val="right"/>
              <w:rPr>
                <w:rFonts w:eastAsia="Times New Roman"/>
                <w:b/>
                <w:bCs/>
                <w:color w:val="1A5C2E"/>
                <w:sz w:val="16"/>
                <w:szCs w:val="16"/>
              </w:rPr>
            </w:pPr>
            <w:r>
              <w:rPr>
                <w:b/>
                <w:bCs/>
                <w:color w:val="1A5C2E"/>
                <w:sz w:val="16"/>
                <w:szCs w:val="16"/>
              </w:rPr>
              <w:t>12,374,923</w:t>
            </w:r>
          </w:p>
        </w:tc>
        <w:tc>
          <w:tcPr>
            <w:tcW w:w="495" w:type="pct"/>
            <w:tcBorders>
              <w:top w:val="single" w:sz="4" w:space="0" w:color="CCCCCC"/>
              <w:left w:val="single" w:sz="4" w:space="0" w:color="CCCCCC"/>
              <w:bottom w:val="single" w:sz="4" w:space="0" w:color="CCCCCC"/>
              <w:right w:val="single" w:sz="4" w:space="0" w:color="CCCCCC"/>
            </w:tcBorders>
            <w:shd w:val="clear" w:color="EEF7F5" w:fill="FEDF81"/>
            <w:noWrap/>
            <w:vAlign w:val="center"/>
            <w:hideMark/>
          </w:tcPr>
          <w:p w14:paraId="72F90AB3" w14:textId="3080392C" w:rsidR="00F56AEE" w:rsidRPr="006A640E" w:rsidRDefault="00F56AEE" w:rsidP="00F56AEE">
            <w:pPr>
              <w:jc w:val="center"/>
              <w:rPr>
                <w:rFonts w:eastAsia="Times New Roman"/>
                <w:b/>
                <w:bCs/>
                <w:color w:val="1A5C2E"/>
                <w:sz w:val="16"/>
                <w:szCs w:val="16"/>
              </w:rPr>
            </w:pPr>
            <w:r>
              <w:rPr>
                <w:b/>
                <w:bCs/>
                <w:color w:val="1A5C2E"/>
                <w:sz w:val="16"/>
                <w:szCs w:val="16"/>
              </w:rPr>
              <w:t>+59%</w:t>
            </w:r>
          </w:p>
        </w:tc>
        <w:tc>
          <w:tcPr>
            <w:tcW w:w="478" w:type="pct"/>
            <w:tcBorders>
              <w:top w:val="nil"/>
              <w:left w:val="nil"/>
              <w:bottom w:val="single" w:sz="4" w:space="0" w:color="CCCCCC"/>
              <w:right w:val="single" w:sz="4" w:space="0" w:color="CCCCCC"/>
            </w:tcBorders>
            <w:shd w:val="clear" w:color="EEF7F5" w:fill="E6F4EA"/>
            <w:noWrap/>
            <w:vAlign w:val="center"/>
            <w:hideMark/>
          </w:tcPr>
          <w:p w14:paraId="571C69D7" w14:textId="18824CD0" w:rsidR="00F56AEE" w:rsidRPr="00CB50FD" w:rsidRDefault="00F56AEE" w:rsidP="00F56AEE">
            <w:pPr>
              <w:jc w:val="right"/>
              <w:rPr>
                <w:b/>
                <w:bCs/>
                <w:color w:val="1A5C2E"/>
                <w:sz w:val="16"/>
                <w:szCs w:val="16"/>
              </w:rPr>
            </w:pPr>
            <w:r>
              <w:rPr>
                <w:b/>
                <w:bCs/>
                <w:color w:val="0C3512"/>
                <w:sz w:val="16"/>
                <w:szCs w:val="16"/>
              </w:rPr>
              <w:t>NM</w:t>
            </w:r>
          </w:p>
        </w:tc>
      </w:tr>
      <w:tr w:rsidR="00F56AEE" w:rsidRPr="006A640E" w14:paraId="44631851"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D6EDF0" w:fill="D6EAD9"/>
            <w:noWrap/>
            <w:vAlign w:val="center"/>
            <w:hideMark/>
          </w:tcPr>
          <w:p w14:paraId="61F227B0" w14:textId="219EBF03" w:rsidR="00F56AEE" w:rsidRPr="006A640E" w:rsidRDefault="00F56AEE" w:rsidP="00F56AEE">
            <w:pPr>
              <w:jc w:val="center"/>
              <w:rPr>
                <w:rFonts w:eastAsia="Times New Roman"/>
                <w:b/>
                <w:bCs/>
                <w:color w:val="1A5C2E"/>
                <w:sz w:val="16"/>
                <w:szCs w:val="16"/>
              </w:rPr>
            </w:pPr>
            <w:r>
              <w:rPr>
                <w:b/>
                <w:bCs/>
                <w:color w:val="1A5C2E"/>
                <w:sz w:val="16"/>
                <w:szCs w:val="16"/>
              </w:rPr>
              <w:t>GTCO</w:t>
            </w:r>
          </w:p>
        </w:tc>
        <w:tc>
          <w:tcPr>
            <w:tcW w:w="922" w:type="pct"/>
            <w:tcBorders>
              <w:top w:val="nil"/>
              <w:left w:val="nil"/>
              <w:bottom w:val="single" w:sz="4" w:space="0" w:color="CCCCCC"/>
              <w:right w:val="single" w:sz="4" w:space="0" w:color="CCCCCC"/>
            </w:tcBorders>
            <w:shd w:val="clear" w:color="D6EDF0" w:fill="D6EAD9"/>
            <w:noWrap/>
            <w:vAlign w:val="center"/>
            <w:hideMark/>
          </w:tcPr>
          <w:p w14:paraId="21E968FA" w14:textId="017594D4" w:rsidR="00F56AEE" w:rsidRPr="006A640E" w:rsidRDefault="00F56AEE" w:rsidP="00F56AEE">
            <w:pPr>
              <w:rPr>
                <w:rFonts w:eastAsia="Times New Roman"/>
                <w:b/>
                <w:bCs/>
                <w:color w:val="1A5C2E"/>
                <w:sz w:val="16"/>
                <w:szCs w:val="16"/>
              </w:rPr>
            </w:pPr>
            <w:r>
              <w:rPr>
                <w:b/>
                <w:bCs/>
                <w:color w:val="1A5C2E"/>
                <w:sz w:val="16"/>
                <w:szCs w:val="16"/>
              </w:rPr>
              <w:t>GTCO</w:t>
            </w:r>
          </w:p>
        </w:tc>
        <w:tc>
          <w:tcPr>
            <w:tcW w:w="578" w:type="pct"/>
            <w:tcBorders>
              <w:top w:val="nil"/>
              <w:left w:val="nil"/>
              <w:bottom w:val="single" w:sz="4" w:space="0" w:color="CCCCCC"/>
              <w:right w:val="single" w:sz="4" w:space="0" w:color="CCCCCC"/>
            </w:tcBorders>
            <w:shd w:val="clear" w:color="D6EDF0" w:fill="D6EAD9"/>
            <w:noWrap/>
            <w:vAlign w:val="center"/>
            <w:hideMark/>
          </w:tcPr>
          <w:p w14:paraId="126CF0BA" w14:textId="7208D253" w:rsidR="00F56AEE" w:rsidRPr="00CB50FD" w:rsidRDefault="00F56AEE" w:rsidP="00F56AEE">
            <w:pPr>
              <w:jc w:val="right"/>
              <w:rPr>
                <w:b/>
                <w:bCs/>
                <w:color w:val="1A5C2E"/>
                <w:sz w:val="16"/>
                <w:szCs w:val="16"/>
              </w:rPr>
            </w:pPr>
            <w:r>
              <w:rPr>
                <w:b/>
                <w:bCs/>
                <w:color w:val="1A5C2E"/>
                <w:sz w:val="16"/>
                <w:szCs w:val="16"/>
              </w:rPr>
              <w:t>130</w:t>
            </w:r>
          </w:p>
        </w:tc>
        <w:tc>
          <w:tcPr>
            <w:tcW w:w="579" w:type="pct"/>
            <w:tcBorders>
              <w:top w:val="nil"/>
              <w:left w:val="nil"/>
              <w:bottom w:val="single" w:sz="4" w:space="0" w:color="CCCCCC"/>
              <w:right w:val="single" w:sz="4" w:space="0" w:color="CCCCCC"/>
            </w:tcBorders>
            <w:shd w:val="clear" w:color="D6EDF0" w:fill="D6EAD9"/>
            <w:noWrap/>
            <w:vAlign w:val="center"/>
            <w:hideMark/>
          </w:tcPr>
          <w:p w14:paraId="785BC1FE" w14:textId="73C558B7" w:rsidR="00F56AEE" w:rsidRPr="00CB50FD" w:rsidRDefault="00F56AEE" w:rsidP="00F56AEE">
            <w:pPr>
              <w:jc w:val="right"/>
              <w:rPr>
                <w:b/>
                <w:bCs/>
                <w:color w:val="1A5C2E"/>
                <w:sz w:val="16"/>
                <w:szCs w:val="16"/>
              </w:rPr>
            </w:pPr>
            <w:r>
              <w:rPr>
                <w:b/>
                <w:bCs/>
                <w:color w:val="1A5C2E"/>
                <w:sz w:val="16"/>
                <w:szCs w:val="16"/>
              </w:rPr>
              <w:t>133</w:t>
            </w:r>
          </w:p>
        </w:tc>
        <w:tc>
          <w:tcPr>
            <w:tcW w:w="579" w:type="pct"/>
            <w:tcBorders>
              <w:top w:val="single" w:sz="4" w:space="0" w:color="CCCCCC"/>
              <w:left w:val="single" w:sz="4" w:space="0" w:color="CCCCCC"/>
              <w:bottom w:val="single" w:sz="4" w:space="0" w:color="CCCCCC"/>
              <w:right w:val="single" w:sz="4" w:space="0" w:color="CCCCCC"/>
            </w:tcBorders>
            <w:shd w:val="clear" w:color="FFF0F0" w:fill="E8E583"/>
            <w:noWrap/>
            <w:vAlign w:val="center"/>
            <w:hideMark/>
          </w:tcPr>
          <w:p w14:paraId="732E36D7" w14:textId="37BD0B6D" w:rsidR="00F56AEE" w:rsidRPr="006A640E" w:rsidRDefault="00F56AEE" w:rsidP="00F56AEE">
            <w:pPr>
              <w:jc w:val="center"/>
              <w:rPr>
                <w:rFonts w:eastAsia="Times New Roman"/>
                <w:b/>
                <w:bCs/>
                <w:color w:val="B22222"/>
                <w:sz w:val="16"/>
                <w:szCs w:val="16"/>
              </w:rPr>
            </w:pPr>
            <w:r>
              <w:rPr>
                <w:b/>
                <w:bCs/>
                <w:color w:val="B22222"/>
                <w:sz w:val="16"/>
                <w:szCs w:val="16"/>
              </w:rPr>
              <w:t>-2.11%</w:t>
            </w:r>
          </w:p>
        </w:tc>
        <w:tc>
          <w:tcPr>
            <w:tcW w:w="663" w:type="pct"/>
            <w:tcBorders>
              <w:top w:val="nil"/>
              <w:left w:val="nil"/>
              <w:bottom w:val="single" w:sz="4" w:space="0" w:color="CCCCCC"/>
              <w:right w:val="single" w:sz="4" w:space="0" w:color="CCCCCC"/>
            </w:tcBorders>
            <w:shd w:val="clear" w:color="D6EDF0" w:fill="D6EAD9"/>
            <w:noWrap/>
            <w:vAlign w:val="center"/>
            <w:hideMark/>
          </w:tcPr>
          <w:p w14:paraId="4EFAC2D3" w14:textId="4F787BD0" w:rsidR="00F56AEE" w:rsidRPr="006A640E" w:rsidRDefault="00F56AEE" w:rsidP="00F56AEE">
            <w:pPr>
              <w:jc w:val="right"/>
              <w:rPr>
                <w:rFonts w:eastAsia="Times New Roman"/>
                <w:b/>
                <w:bCs/>
                <w:color w:val="1A5C2E"/>
                <w:sz w:val="16"/>
                <w:szCs w:val="16"/>
              </w:rPr>
            </w:pPr>
            <w:r>
              <w:rPr>
                <w:b/>
                <w:bCs/>
                <w:color w:val="1A5C2E"/>
                <w:sz w:val="16"/>
                <w:szCs w:val="16"/>
              </w:rPr>
              <w:t>79,371,039</w:t>
            </w:r>
          </w:p>
        </w:tc>
        <w:tc>
          <w:tcPr>
            <w:tcW w:w="495" w:type="pct"/>
            <w:tcBorders>
              <w:top w:val="single" w:sz="4" w:space="0" w:color="CCCCCC"/>
              <w:left w:val="single" w:sz="4" w:space="0" w:color="CCCCCC"/>
              <w:bottom w:val="single" w:sz="4" w:space="0" w:color="CCCCCC"/>
              <w:right w:val="single" w:sz="4" w:space="0" w:color="CCCCCC"/>
            </w:tcBorders>
            <w:shd w:val="clear" w:color="D6EDF0" w:fill="FCBB7A"/>
            <w:noWrap/>
            <w:vAlign w:val="center"/>
            <w:hideMark/>
          </w:tcPr>
          <w:p w14:paraId="05110813" w14:textId="20B85FA9" w:rsidR="00F56AEE" w:rsidRPr="006A640E" w:rsidRDefault="00F56AEE" w:rsidP="00F56AEE">
            <w:pPr>
              <w:jc w:val="center"/>
              <w:rPr>
                <w:rFonts w:eastAsia="Times New Roman"/>
                <w:b/>
                <w:bCs/>
                <w:color w:val="1A5C2E"/>
                <w:sz w:val="16"/>
                <w:szCs w:val="16"/>
              </w:rPr>
            </w:pPr>
            <w:r>
              <w:rPr>
                <w:b/>
                <w:bCs/>
                <w:color w:val="1A5C2E"/>
                <w:sz w:val="16"/>
                <w:szCs w:val="16"/>
              </w:rPr>
              <w:t>+41%</w:t>
            </w:r>
          </w:p>
        </w:tc>
        <w:tc>
          <w:tcPr>
            <w:tcW w:w="478" w:type="pct"/>
            <w:tcBorders>
              <w:top w:val="nil"/>
              <w:left w:val="nil"/>
              <w:bottom w:val="single" w:sz="4" w:space="0" w:color="CCCCCC"/>
              <w:right w:val="single" w:sz="4" w:space="0" w:color="CCCCCC"/>
            </w:tcBorders>
            <w:shd w:val="clear" w:color="D6EDF0" w:fill="D6EAD9"/>
            <w:noWrap/>
            <w:vAlign w:val="center"/>
            <w:hideMark/>
          </w:tcPr>
          <w:p w14:paraId="796F7832" w14:textId="4F856221" w:rsidR="00F56AEE" w:rsidRPr="00CB50FD" w:rsidRDefault="00F56AEE" w:rsidP="00F56AEE">
            <w:pPr>
              <w:jc w:val="right"/>
              <w:rPr>
                <w:b/>
                <w:bCs/>
                <w:color w:val="1A5C2E"/>
                <w:sz w:val="16"/>
                <w:szCs w:val="16"/>
              </w:rPr>
            </w:pPr>
            <w:r>
              <w:rPr>
                <w:b/>
                <w:bCs/>
                <w:color w:val="1A5C2E"/>
                <w:sz w:val="16"/>
                <w:szCs w:val="16"/>
              </w:rPr>
              <w:t>18.28</w:t>
            </w:r>
          </w:p>
        </w:tc>
      </w:tr>
      <w:tr w:rsidR="00F56AEE" w:rsidRPr="006A640E" w14:paraId="4F01BABB"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EEF7F5" w:fill="E6F4EA"/>
            <w:noWrap/>
            <w:vAlign w:val="center"/>
            <w:hideMark/>
          </w:tcPr>
          <w:p w14:paraId="28A8A289" w14:textId="1A91966F" w:rsidR="00F56AEE" w:rsidRPr="006A640E" w:rsidRDefault="00F56AEE" w:rsidP="00F56AEE">
            <w:pPr>
              <w:jc w:val="center"/>
              <w:rPr>
                <w:rFonts w:eastAsia="Times New Roman"/>
                <w:b/>
                <w:bCs/>
                <w:color w:val="1A5C2E"/>
                <w:sz w:val="16"/>
                <w:szCs w:val="16"/>
              </w:rPr>
            </w:pPr>
            <w:r>
              <w:rPr>
                <w:b/>
                <w:bCs/>
                <w:color w:val="1A5C2E"/>
                <w:sz w:val="16"/>
                <w:szCs w:val="16"/>
              </w:rPr>
              <w:t>DANGCEM</w:t>
            </w:r>
          </w:p>
        </w:tc>
        <w:tc>
          <w:tcPr>
            <w:tcW w:w="922" w:type="pct"/>
            <w:tcBorders>
              <w:top w:val="nil"/>
              <w:left w:val="nil"/>
              <w:bottom w:val="single" w:sz="4" w:space="0" w:color="CCCCCC"/>
              <w:right w:val="single" w:sz="4" w:space="0" w:color="CCCCCC"/>
            </w:tcBorders>
            <w:shd w:val="clear" w:color="EEF7F5" w:fill="E6F4EA"/>
            <w:noWrap/>
            <w:vAlign w:val="center"/>
            <w:hideMark/>
          </w:tcPr>
          <w:p w14:paraId="687023B4" w14:textId="12D721A1" w:rsidR="00F56AEE" w:rsidRPr="006A640E" w:rsidRDefault="00F56AEE" w:rsidP="00F56AEE">
            <w:pPr>
              <w:rPr>
                <w:rFonts w:eastAsia="Times New Roman"/>
                <w:b/>
                <w:bCs/>
                <w:color w:val="1A5C2E"/>
                <w:sz w:val="16"/>
                <w:szCs w:val="16"/>
              </w:rPr>
            </w:pPr>
            <w:r>
              <w:rPr>
                <w:b/>
                <w:bCs/>
                <w:color w:val="1A5C2E"/>
                <w:sz w:val="16"/>
                <w:szCs w:val="16"/>
              </w:rPr>
              <w:t>Dangote Cement</w:t>
            </w:r>
          </w:p>
        </w:tc>
        <w:tc>
          <w:tcPr>
            <w:tcW w:w="578" w:type="pct"/>
            <w:tcBorders>
              <w:top w:val="nil"/>
              <w:left w:val="nil"/>
              <w:bottom w:val="single" w:sz="4" w:space="0" w:color="CCCCCC"/>
              <w:right w:val="single" w:sz="4" w:space="0" w:color="CCCCCC"/>
            </w:tcBorders>
            <w:shd w:val="clear" w:color="EEF7F5" w:fill="E6F4EA"/>
            <w:noWrap/>
            <w:vAlign w:val="center"/>
            <w:hideMark/>
          </w:tcPr>
          <w:p w14:paraId="3116AA9A" w14:textId="2CBA1EF0" w:rsidR="00F56AEE" w:rsidRPr="00CB50FD" w:rsidRDefault="00F56AEE" w:rsidP="00F56AEE">
            <w:pPr>
              <w:jc w:val="right"/>
              <w:rPr>
                <w:b/>
                <w:bCs/>
                <w:color w:val="1A5C2E"/>
                <w:sz w:val="16"/>
                <w:szCs w:val="16"/>
              </w:rPr>
            </w:pPr>
            <w:r>
              <w:rPr>
                <w:b/>
                <w:bCs/>
                <w:color w:val="1A5C2E"/>
                <w:sz w:val="16"/>
                <w:szCs w:val="16"/>
              </w:rPr>
              <w:t>1,034</w:t>
            </w:r>
          </w:p>
        </w:tc>
        <w:tc>
          <w:tcPr>
            <w:tcW w:w="579" w:type="pct"/>
            <w:tcBorders>
              <w:top w:val="nil"/>
              <w:left w:val="nil"/>
              <w:bottom w:val="single" w:sz="4" w:space="0" w:color="CCCCCC"/>
              <w:right w:val="single" w:sz="4" w:space="0" w:color="CCCCCC"/>
            </w:tcBorders>
            <w:shd w:val="clear" w:color="EEF7F5" w:fill="E6F4EA"/>
            <w:noWrap/>
            <w:vAlign w:val="center"/>
            <w:hideMark/>
          </w:tcPr>
          <w:p w14:paraId="4D9B933C" w14:textId="20E3F291" w:rsidR="00F56AEE" w:rsidRPr="00CB50FD" w:rsidRDefault="00F56AEE" w:rsidP="00F56AEE">
            <w:pPr>
              <w:jc w:val="right"/>
              <w:rPr>
                <w:b/>
                <w:bCs/>
                <w:color w:val="1A5C2E"/>
                <w:sz w:val="16"/>
                <w:szCs w:val="16"/>
              </w:rPr>
            </w:pPr>
            <w:r>
              <w:rPr>
                <w:b/>
                <w:bCs/>
                <w:color w:val="1A5C2E"/>
                <w:sz w:val="16"/>
                <w:szCs w:val="16"/>
              </w:rPr>
              <w:t>1,034</w:t>
            </w:r>
          </w:p>
        </w:tc>
        <w:tc>
          <w:tcPr>
            <w:tcW w:w="579" w:type="pct"/>
            <w:tcBorders>
              <w:top w:val="single" w:sz="4" w:space="0" w:color="CCCCCC"/>
              <w:left w:val="single" w:sz="4" w:space="0" w:color="CCCCCC"/>
              <w:bottom w:val="single" w:sz="4" w:space="0" w:color="CCCCCC"/>
              <w:right w:val="single" w:sz="4" w:space="0" w:color="CCCCCC"/>
            </w:tcBorders>
            <w:shd w:val="clear" w:color="EEF7F5" w:fill="E8E583"/>
            <w:noWrap/>
            <w:vAlign w:val="center"/>
            <w:hideMark/>
          </w:tcPr>
          <w:p w14:paraId="646C54F6" w14:textId="3DD09EBD" w:rsidR="00F56AEE" w:rsidRPr="006A640E" w:rsidRDefault="00F56AEE" w:rsidP="00F56AEE">
            <w:pPr>
              <w:jc w:val="center"/>
              <w:rPr>
                <w:rFonts w:eastAsia="Times New Roman"/>
                <w:b/>
                <w:bCs/>
                <w:color w:val="1A5C2E"/>
                <w:sz w:val="16"/>
                <w:szCs w:val="16"/>
              </w:rPr>
            </w:pPr>
            <w:r>
              <w:rPr>
                <w:b/>
                <w:bCs/>
                <w:color w:val="1A5C2E"/>
                <w:sz w:val="16"/>
                <w:szCs w:val="16"/>
              </w:rPr>
              <w:t>0.00%</w:t>
            </w:r>
          </w:p>
        </w:tc>
        <w:tc>
          <w:tcPr>
            <w:tcW w:w="663" w:type="pct"/>
            <w:tcBorders>
              <w:top w:val="nil"/>
              <w:left w:val="nil"/>
              <w:bottom w:val="single" w:sz="4" w:space="0" w:color="CCCCCC"/>
              <w:right w:val="single" w:sz="4" w:space="0" w:color="CCCCCC"/>
            </w:tcBorders>
            <w:shd w:val="clear" w:color="EEF7F5" w:fill="E6F4EA"/>
            <w:noWrap/>
            <w:vAlign w:val="center"/>
            <w:hideMark/>
          </w:tcPr>
          <w:p w14:paraId="2B045E59" w14:textId="01AAF13B" w:rsidR="00F56AEE" w:rsidRPr="006A640E" w:rsidRDefault="00F56AEE" w:rsidP="00F56AEE">
            <w:pPr>
              <w:jc w:val="right"/>
              <w:rPr>
                <w:rFonts w:eastAsia="Times New Roman"/>
                <w:b/>
                <w:bCs/>
                <w:color w:val="1A5C2E"/>
                <w:sz w:val="16"/>
                <w:szCs w:val="16"/>
              </w:rPr>
            </w:pPr>
            <w:r>
              <w:rPr>
                <w:b/>
                <w:bCs/>
                <w:color w:val="1A5C2E"/>
                <w:sz w:val="16"/>
                <w:szCs w:val="16"/>
              </w:rPr>
              <w:t>2,542,665</w:t>
            </w:r>
          </w:p>
        </w:tc>
        <w:tc>
          <w:tcPr>
            <w:tcW w:w="495" w:type="pct"/>
            <w:tcBorders>
              <w:top w:val="single" w:sz="4" w:space="0" w:color="CCCCCC"/>
              <w:left w:val="single" w:sz="4" w:space="0" w:color="CCCCCC"/>
              <w:bottom w:val="single" w:sz="4" w:space="0" w:color="CCCCCC"/>
              <w:right w:val="single" w:sz="4" w:space="0" w:color="CCCCCC"/>
            </w:tcBorders>
            <w:shd w:val="clear" w:color="EEF7F5" w:fill="F8E984"/>
            <w:noWrap/>
            <w:vAlign w:val="center"/>
            <w:hideMark/>
          </w:tcPr>
          <w:p w14:paraId="61A45545" w14:textId="791B7ADD" w:rsidR="00F56AEE" w:rsidRPr="006A640E" w:rsidRDefault="00F56AEE" w:rsidP="00F56AEE">
            <w:pPr>
              <w:jc w:val="center"/>
              <w:rPr>
                <w:rFonts w:eastAsia="Times New Roman"/>
                <w:b/>
                <w:bCs/>
                <w:color w:val="1A5C2E"/>
                <w:sz w:val="16"/>
                <w:szCs w:val="16"/>
              </w:rPr>
            </w:pPr>
            <w:r>
              <w:rPr>
                <w:b/>
                <w:bCs/>
                <w:color w:val="1A5C2E"/>
                <w:sz w:val="16"/>
                <w:szCs w:val="16"/>
              </w:rPr>
              <w:t>+70%</w:t>
            </w:r>
          </w:p>
        </w:tc>
        <w:tc>
          <w:tcPr>
            <w:tcW w:w="478" w:type="pct"/>
            <w:tcBorders>
              <w:top w:val="nil"/>
              <w:left w:val="nil"/>
              <w:bottom w:val="single" w:sz="4" w:space="0" w:color="CCCCCC"/>
              <w:right w:val="single" w:sz="4" w:space="0" w:color="CCCCCC"/>
            </w:tcBorders>
            <w:shd w:val="clear" w:color="EEF7F5" w:fill="E6F4EA"/>
            <w:noWrap/>
            <w:vAlign w:val="center"/>
            <w:hideMark/>
          </w:tcPr>
          <w:p w14:paraId="78682934" w14:textId="38B7200F" w:rsidR="00F56AEE" w:rsidRPr="00CB50FD" w:rsidRDefault="00F56AEE" w:rsidP="00F56AEE">
            <w:pPr>
              <w:jc w:val="right"/>
              <w:rPr>
                <w:b/>
                <w:bCs/>
                <w:color w:val="1A5C2E"/>
                <w:sz w:val="16"/>
                <w:szCs w:val="16"/>
              </w:rPr>
            </w:pPr>
            <w:r>
              <w:rPr>
                <w:b/>
                <w:bCs/>
                <w:color w:val="0C3512"/>
                <w:sz w:val="16"/>
                <w:szCs w:val="16"/>
              </w:rPr>
              <w:t>NM</w:t>
            </w:r>
          </w:p>
        </w:tc>
      </w:tr>
      <w:tr w:rsidR="00F56AEE" w:rsidRPr="006A640E" w14:paraId="39D2C192"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D6EDF0" w:fill="D6EAD9"/>
            <w:noWrap/>
            <w:vAlign w:val="center"/>
            <w:hideMark/>
          </w:tcPr>
          <w:p w14:paraId="1065881B" w14:textId="4495E161" w:rsidR="00F56AEE" w:rsidRPr="006A640E" w:rsidRDefault="00F56AEE" w:rsidP="00F56AEE">
            <w:pPr>
              <w:jc w:val="center"/>
              <w:rPr>
                <w:rFonts w:eastAsia="Times New Roman"/>
                <w:b/>
                <w:bCs/>
                <w:color w:val="1A5C2E"/>
                <w:sz w:val="16"/>
                <w:szCs w:val="16"/>
              </w:rPr>
            </w:pPr>
            <w:r>
              <w:rPr>
                <w:b/>
                <w:bCs/>
                <w:color w:val="1A5C2E"/>
                <w:sz w:val="16"/>
                <w:szCs w:val="16"/>
              </w:rPr>
              <w:t>ACCESSCORP</w:t>
            </w:r>
          </w:p>
        </w:tc>
        <w:tc>
          <w:tcPr>
            <w:tcW w:w="922" w:type="pct"/>
            <w:tcBorders>
              <w:top w:val="nil"/>
              <w:left w:val="nil"/>
              <w:bottom w:val="single" w:sz="4" w:space="0" w:color="CCCCCC"/>
              <w:right w:val="single" w:sz="4" w:space="0" w:color="CCCCCC"/>
            </w:tcBorders>
            <w:shd w:val="clear" w:color="D6EDF0" w:fill="D6EAD9"/>
            <w:noWrap/>
            <w:vAlign w:val="center"/>
            <w:hideMark/>
          </w:tcPr>
          <w:p w14:paraId="22232411" w14:textId="6306E1E1" w:rsidR="00F56AEE" w:rsidRPr="006A640E" w:rsidRDefault="00F56AEE" w:rsidP="00F56AEE">
            <w:pPr>
              <w:rPr>
                <w:rFonts w:eastAsia="Times New Roman"/>
                <w:b/>
                <w:bCs/>
                <w:color w:val="1A5C2E"/>
                <w:sz w:val="16"/>
                <w:szCs w:val="16"/>
              </w:rPr>
            </w:pPr>
            <w:r>
              <w:rPr>
                <w:b/>
                <w:bCs/>
                <w:color w:val="1A5C2E"/>
                <w:sz w:val="16"/>
                <w:szCs w:val="16"/>
              </w:rPr>
              <w:t>Access Holdings</w:t>
            </w:r>
          </w:p>
        </w:tc>
        <w:tc>
          <w:tcPr>
            <w:tcW w:w="578" w:type="pct"/>
            <w:tcBorders>
              <w:top w:val="nil"/>
              <w:left w:val="nil"/>
              <w:bottom w:val="single" w:sz="4" w:space="0" w:color="CCCCCC"/>
              <w:right w:val="single" w:sz="4" w:space="0" w:color="CCCCCC"/>
            </w:tcBorders>
            <w:shd w:val="clear" w:color="D6EDF0" w:fill="D6EAD9"/>
            <w:noWrap/>
            <w:vAlign w:val="center"/>
            <w:hideMark/>
          </w:tcPr>
          <w:p w14:paraId="392B52C1" w14:textId="1870716E" w:rsidR="00F56AEE" w:rsidRPr="00CB50FD" w:rsidRDefault="00F56AEE" w:rsidP="00F56AEE">
            <w:pPr>
              <w:jc w:val="right"/>
              <w:rPr>
                <w:b/>
                <w:bCs/>
                <w:color w:val="1A5C2E"/>
                <w:sz w:val="16"/>
                <w:szCs w:val="16"/>
              </w:rPr>
            </w:pPr>
            <w:r>
              <w:rPr>
                <w:b/>
                <w:bCs/>
                <w:color w:val="1A5C2E"/>
                <w:sz w:val="16"/>
                <w:szCs w:val="16"/>
              </w:rPr>
              <w:t>28</w:t>
            </w:r>
          </w:p>
        </w:tc>
        <w:tc>
          <w:tcPr>
            <w:tcW w:w="579" w:type="pct"/>
            <w:tcBorders>
              <w:top w:val="nil"/>
              <w:left w:val="nil"/>
              <w:bottom w:val="single" w:sz="4" w:space="0" w:color="CCCCCC"/>
              <w:right w:val="single" w:sz="4" w:space="0" w:color="CCCCCC"/>
            </w:tcBorders>
            <w:shd w:val="clear" w:color="D6EDF0" w:fill="D6EAD9"/>
            <w:noWrap/>
            <w:vAlign w:val="center"/>
            <w:hideMark/>
          </w:tcPr>
          <w:p w14:paraId="4E1280E4" w14:textId="50301AC7" w:rsidR="00F56AEE" w:rsidRPr="00CB50FD" w:rsidRDefault="00F56AEE" w:rsidP="00F56AEE">
            <w:pPr>
              <w:jc w:val="right"/>
              <w:rPr>
                <w:b/>
                <w:bCs/>
                <w:color w:val="1A5C2E"/>
                <w:sz w:val="16"/>
                <w:szCs w:val="16"/>
              </w:rPr>
            </w:pPr>
            <w:r>
              <w:rPr>
                <w:b/>
                <w:bCs/>
                <w:color w:val="1A5C2E"/>
                <w:sz w:val="16"/>
                <w:szCs w:val="16"/>
              </w:rPr>
              <w:t>30</w:t>
            </w:r>
          </w:p>
        </w:tc>
        <w:tc>
          <w:tcPr>
            <w:tcW w:w="579" w:type="pct"/>
            <w:tcBorders>
              <w:top w:val="single" w:sz="4" w:space="0" w:color="CCCCCC"/>
              <w:left w:val="single" w:sz="4" w:space="0" w:color="CCCCCC"/>
              <w:bottom w:val="single" w:sz="4" w:space="0" w:color="CCCCCC"/>
              <w:right w:val="single" w:sz="4" w:space="0" w:color="CCCCCC"/>
            </w:tcBorders>
            <w:shd w:val="clear" w:color="FFF0F0" w:fill="FEE983"/>
            <w:noWrap/>
            <w:vAlign w:val="center"/>
            <w:hideMark/>
          </w:tcPr>
          <w:p w14:paraId="36E78F4F" w14:textId="2CD77E1F" w:rsidR="00F56AEE" w:rsidRPr="006A640E" w:rsidRDefault="00F56AEE" w:rsidP="00F56AEE">
            <w:pPr>
              <w:jc w:val="center"/>
              <w:rPr>
                <w:rFonts w:eastAsia="Times New Roman"/>
                <w:b/>
                <w:bCs/>
                <w:color w:val="B22222"/>
                <w:sz w:val="16"/>
                <w:szCs w:val="16"/>
              </w:rPr>
            </w:pPr>
            <w:r>
              <w:rPr>
                <w:b/>
                <w:bCs/>
                <w:color w:val="B22222"/>
                <w:sz w:val="16"/>
                <w:szCs w:val="16"/>
              </w:rPr>
              <w:t>-6.67%</w:t>
            </w:r>
          </w:p>
        </w:tc>
        <w:tc>
          <w:tcPr>
            <w:tcW w:w="663" w:type="pct"/>
            <w:tcBorders>
              <w:top w:val="nil"/>
              <w:left w:val="nil"/>
              <w:bottom w:val="single" w:sz="4" w:space="0" w:color="CCCCCC"/>
              <w:right w:val="single" w:sz="4" w:space="0" w:color="CCCCCC"/>
            </w:tcBorders>
            <w:shd w:val="clear" w:color="D6EDF0" w:fill="D6EAD9"/>
            <w:noWrap/>
            <w:vAlign w:val="center"/>
            <w:hideMark/>
          </w:tcPr>
          <w:p w14:paraId="6C71936D" w14:textId="56C03C29" w:rsidR="00F56AEE" w:rsidRPr="006A640E" w:rsidRDefault="00F56AEE" w:rsidP="00F56AEE">
            <w:pPr>
              <w:jc w:val="right"/>
              <w:rPr>
                <w:rFonts w:eastAsia="Times New Roman"/>
                <w:b/>
                <w:bCs/>
                <w:color w:val="1A5C2E"/>
                <w:sz w:val="16"/>
                <w:szCs w:val="16"/>
              </w:rPr>
            </w:pPr>
            <w:r>
              <w:rPr>
                <w:b/>
                <w:bCs/>
                <w:color w:val="1A5C2E"/>
                <w:sz w:val="16"/>
                <w:szCs w:val="16"/>
              </w:rPr>
              <w:t>130,621,121</w:t>
            </w:r>
          </w:p>
        </w:tc>
        <w:tc>
          <w:tcPr>
            <w:tcW w:w="495" w:type="pct"/>
            <w:tcBorders>
              <w:top w:val="single" w:sz="4" w:space="0" w:color="CCCCCC"/>
              <w:left w:val="single" w:sz="4" w:space="0" w:color="CCCCCC"/>
              <w:bottom w:val="single" w:sz="4" w:space="0" w:color="CCCCCC"/>
              <w:right w:val="single" w:sz="4" w:space="0" w:color="CCCCCC"/>
            </w:tcBorders>
            <w:shd w:val="clear" w:color="FFF0F0" w:fill="FA8F72"/>
            <w:noWrap/>
            <w:vAlign w:val="center"/>
            <w:hideMark/>
          </w:tcPr>
          <w:p w14:paraId="5C31B29C" w14:textId="13AA55AF" w:rsidR="00F56AEE" w:rsidRPr="006A640E" w:rsidRDefault="00F56AEE" w:rsidP="00F56AEE">
            <w:pPr>
              <w:jc w:val="center"/>
              <w:rPr>
                <w:rFonts w:eastAsia="Times New Roman"/>
                <w:b/>
                <w:bCs/>
                <w:color w:val="B22222"/>
                <w:sz w:val="16"/>
                <w:szCs w:val="16"/>
              </w:rPr>
            </w:pPr>
            <w:r>
              <w:rPr>
                <w:b/>
                <w:bCs/>
                <w:color w:val="B22222"/>
                <w:sz w:val="16"/>
                <w:szCs w:val="16"/>
              </w:rPr>
              <w:t>+22%</w:t>
            </w:r>
          </w:p>
        </w:tc>
        <w:tc>
          <w:tcPr>
            <w:tcW w:w="478" w:type="pct"/>
            <w:tcBorders>
              <w:top w:val="nil"/>
              <w:left w:val="nil"/>
              <w:bottom w:val="single" w:sz="4" w:space="0" w:color="CCCCCC"/>
              <w:right w:val="single" w:sz="4" w:space="0" w:color="CCCCCC"/>
            </w:tcBorders>
            <w:shd w:val="clear" w:color="D6EDF0" w:fill="D6EAD9"/>
            <w:noWrap/>
            <w:vAlign w:val="center"/>
            <w:hideMark/>
          </w:tcPr>
          <w:p w14:paraId="799DE7CE" w14:textId="5B128393" w:rsidR="00F56AEE" w:rsidRPr="00CB50FD" w:rsidRDefault="00F56AEE" w:rsidP="00F56AEE">
            <w:pPr>
              <w:jc w:val="right"/>
              <w:rPr>
                <w:b/>
                <w:bCs/>
                <w:color w:val="1A5C2E"/>
                <w:sz w:val="16"/>
                <w:szCs w:val="16"/>
              </w:rPr>
            </w:pPr>
            <w:r>
              <w:rPr>
                <w:b/>
                <w:bCs/>
                <w:color w:val="1A5C2E"/>
                <w:sz w:val="16"/>
                <w:szCs w:val="16"/>
              </w:rPr>
              <w:t>10.30</w:t>
            </w:r>
          </w:p>
        </w:tc>
      </w:tr>
      <w:tr w:rsidR="00F56AEE" w:rsidRPr="006A640E" w14:paraId="61EFC5A2"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EEF7F5" w:fill="E6F4EA"/>
            <w:noWrap/>
            <w:vAlign w:val="center"/>
            <w:hideMark/>
          </w:tcPr>
          <w:p w14:paraId="6558E211" w14:textId="10F12B76" w:rsidR="00F56AEE" w:rsidRPr="006A640E" w:rsidRDefault="00F56AEE" w:rsidP="00F56AEE">
            <w:pPr>
              <w:jc w:val="center"/>
              <w:rPr>
                <w:rFonts w:eastAsia="Times New Roman"/>
                <w:b/>
                <w:bCs/>
                <w:color w:val="1A5C2E"/>
                <w:sz w:val="16"/>
                <w:szCs w:val="16"/>
              </w:rPr>
            </w:pPr>
            <w:r>
              <w:rPr>
                <w:b/>
                <w:bCs/>
                <w:color w:val="1A5C2E"/>
                <w:sz w:val="16"/>
                <w:szCs w:val="16"/>
              </w:rPr>
              <w:t>BUAFOODS</w:t>
            </w:r>
          </w:p>
        </w:tc>
        <w:tc>
          <w:tcPr>
            <w:tcW w:w="922" w:type="pct"/>
            <w:tcBorders>
              <w:top w:val="nil"/>
              <w:left w:val="nil"/>
              <w:bottom w:val="single" w:sz="4" w:space="0" w:color="CCCCCC"/>
              <w:right w:val="single" w:sz="4" w:space="0" w:color="CCCCCC"/>
            </w:tcBorders>
            <w:shd w:val="clear" w:color="EEF7F5" w:fill="E6F4EA"/>
            <w:noWrap/>
            <w:vAlign w:val="center"/>
            <w:hideMark/>
          </w:tcPr>
          <w:p w14:paraId="1DE592D3" w14:textId="67A9948D" w:rsidR="00F56AEE" w:rsidRPr="006A640E" w:rsidRDefault="00F56AEE" w:rsidP="00F56AEE">
            <w:pPr>
              <w:rPr>
                <w:rFonts w:eastAsia="Times New Roman"/>
                <w:b/>
                <w:bCs/>
                <w:color w:val="1A5C2E"/>
                <w:sz w:val="16"/>
                <w:szCs w:val="16"/>
              </w:rPr>
            </w:pPr>
            <w:r>
              <w:rPr>
                <w:b/>
                <w:bCs/>
                <w:color w:val="1A5C2E"/>
                <w:sz w:val="16"/>
                <w:szCs w:val="16"/>
              </w:rPr>
              <w:t>BUA Foods</w:t>
            </w:r>
          </w:p>
        </w:tc>
        <w:tc>
          <w:tcPr>
            <w:tcW w:w="578" w:type="pct"/>
            <w:tcBorders>
              <w:top w:val="nil"/>
              <w:left w:val="nil"/>
              <w:bottom w:val="single" w:sz="4" w:space="0" w:color="CCCCCC"/>
              <w:right w:val="single" w:sz="4" w:space="0" w:color="CCCCCC"/>
            </w:tcBorders>
            <w:shd w:val="clear" w:color="EEF7F5" w:fill="E6F4EA"/>
            <w:noWrap/>
            <w:vAlign w:val="center"/>
            <w:hideMark/>
          </w:tcPr>
          <w:p w14:paraId="0B3E6AAB" w14:textId="07937223" w:rsidR="00F56AEE" w:rsidRPr="00CB50FD" w:rsidRDefault="00F56AEE" w:rsidP="00F56AEE">
            <w:pPr>
              <w:jc w:val="right"/>
              <w:rPr>
                <w:b/>
                <w:bCs/>
                <w:color w:val="1A5C2E"/>
                <w:sz w:val="16"/>
                <w:szCs w:val="16"/>
              </w:rPr>
            </w:pPr>
            <w:r>
              <w:rPr>
                <w:b/>
                <w:bCs/>
                <w:color w:val="1A5C2E"/>
                <w:sz w:val="16"/>
                <w:szCs w:val="16"/>
              </w:rPr>
              <w:t>761</w:t>
            </w:r>
          </w:p>
        </w:tc>
        <w:tc>
          <w:tcPr>
            <w:tcW w:w="579" w:type="pct"/>
            <w:tcBorders>
              <w:top w:val="nil"/>
              <w:left w:val="nil"/>
              <w:bottom w:val="single" w:sz="4" w:space="0" w:color="CCCCCC"/>
              <w:right w:val="single" w:sz="4" w:space="0" w:color="CCCCCC"/>
            </w:tcBorders>
            <w:shd w:val="clear" w:color="EEF7F5" w:fill="E6F4EA"/>
            <w:noWrap/>
            <w:vAlign w:val="center"/>
            <w:hideMark/>
          </w:tcPr>
          <w:p w14:paraId="748ED691" w14:textId="7930F5EA" w:rsidR="00F56AEE" w:rsidRPr="00CB50FD" w:rsidRDefault="00F56AEE" w:rsidP="00F56AEE">
            <w:pPr>
              <w:jc w:val="right"/>
              <w:rPr>
                <w:b/>
                <w:bCs/>
                <w:color w:val="1A5C2E"/>
                <w:sz w:val="16"/>
                <w:szCs w:val="16"/>
              </w:rPr>
            </w:pPr>
            <w:r>
              <w:rPr>
                <w:b/>
                <w:bCs/>
                <w:color w:val="1A5C2E"/>
                <w:sz w:val="16"/>
                <w:szCs w:val="16"/>
              </w:rPr>
              <w:t>761</w:t>
            </w:r>
          </w:p>
        </w:tc>
        <w:tc>
          <w:tcPr>
            <w:tcW w:w="579" w:type="pct"/>
            <w:tcBorders>
              <w:top w:val="single" w:sz="4" w:space="0" w:color="CCCCCC"/>
              <w:left w:val="single" w:sz="4" w:space="0" w:color="CCCCCC"/>
              <w:bottom w:val="single" w:sz="4" w:space="0" w:color="CCCCCC"/>
              <w:right w:val="single" w:sz="4" w:space="0" w:color="CCCCCC"/>
            </w:tcBorders>
            <w:shd w:val="clear" w:color="EEF7F5" w:fill="F8696B"/>
            <w:noWrap/>
            <w:vAlign w:val="center"/>
            <w:hideMark/>
          </w:tcPr>
          <w:p w14:paraId="26CA7E93" w14:textId="341AC21C" w:rsidR="00F56AEE" w:rsidRPr="006A640E" w:rsidRDefault="00F56AEE" w:rsidP="00F56AEE">
            <w:pPr>
              <w:jc w:val="center"/>
              <w:rPr>
                <w:rFonts w:eastAsia="Times New Roman"/>
                <w:b/>
                <w:bCs/>
                <w:color w:val="1A5C2E"/>
                <w:sz w:val="16"/>
                <w:szCs w:val="16"/>
              </w:rPr>
            </w:pPr>
            <w:r>
              <w:rPr>
                <w:b/>
                <w:bCs/>
                <w:color w:val="1A5C2E"/>
                <w:sz w:val="16"/>
                <w:szCs w:val="16"/>
              </w:rPr>
              <w:t>0.00%</w:t>
            </w:r>
          </w:p>
        </w:tc>
        <w:tc>
          <w:tcPr>
            <w:tcW w:w="663" w:type="pct"/>
            <w:tcBorders>
              <w:top w:val="nil"/>
              <w:left w:val="nil"/>
              <w:bottom w:val="single" w:sz="4" w:space="0" w:color="CCCCCC"/>
              <w:right w:val="single" w:sz="4" w:space="0" w:color="CCCCCC"/>
            </w:tcBorders>
            <w:shd w:val="clear" w:color="EEF7F5" w:fill="E6F4EA"/>
            <w:noWrap/>
            <w:vAlign w:val="center"/>
            <w:hideMark/>
          </w:tcPr>
          <w:p w14:paraId="416697A8" w14:textId="5CE7796E" w:rsidR="00F56AEE" w:rsidRPr="006A640E" w:rsidRDefault="00F56AEE" w:rsidP="00F56AEE">
            <w:pPr>
              <w:jc w:val="right"/>
              <w:rPr>
                <w:rFonts w:eastAsia="Times New Roman"/>
                <w:b/>
                <w:bCs/>
                <w:color w:val="1A5C2E"/>
                <w:sz w:val="16"/>
                <w:szCs w:val="16"/>
              </w:rPr>
            </w:pPr>
            <w:r>
              <w:rPr>
                <w:b/>
                <w:bCs/>
                <w:color w:val="1A5C2E"/>
                <w:sz w:val="16"/>
                <w:szCs w:val="16"/>
              </w:rPr>
              <w:t>914,360</w:t>
            </w:r>
          </w:p>
        </w:tc>
        <w:tc>
          <w:tcPr>
            <w:tcW w:w="495" w:type="pct"/>
            <w:tcBorders>
              <w:top w:val="single" w:sz="4" w:space="0" w:color="CCCCCC"/>
              <w:left w:val="single" w:sz="4" w:space="0" w:color="CCCCCC"/>
              <w:bottom w:val="single" w:sz="4" w:space="0" w:color="CCCCCC"/>
              <w:right w:val="single" w:sz="4" w:space="0" w:color="CCCCCC"/>
            </w:tcBorders>
            <w:shd w:val="clear" w:color="EEF7F5" w:fill="F8696B"/>
            <w:noWrap/>
            <w:vAlign w:val="center"/>
            <w:hideMark/>
          </w:tcPr>
          <w:p w14:paraId="17D4E219" w14:textId="6D22907E" w:rsidR="00F56AEE" w:rsidRPr="006A640E" w:rsidRDefault="00F56AEE" w:rsidP="00F56AEE">
            <w:pPr>
              <w:jc w:val="center"/>
              <w:rPr>
                <w:rFonts w:eastAsia="Times New Roman"/>
                <w:b/>
                <w:bCs/>
                <w:color w:val="1A5C2E"/>
                <w:sz w:val="16"/>
                <w:szCs w:val="16"/>
              </w:rPr>
            </w:pPr>
            <w:r>
              <w:rPr>
                <w:b/>
                <w:bCs/>
                <w:color w:val="1A5C2E"/>
                <w:sz w:val="16"/>
                <w:szCs w:val="16"/>
              </w:rPr>
              <w:t>-5%</w:t>
            </w:r>
          </w:p>
        </w:tc>
        <w:tc>
          <w:tcPr>
            <w:tcW w:w="478" w:type="pct"/>
            <w:tcBorders>
              <w:top w:val="nil"/>
              <w:left w:val="nil"/>
              <w:bottom w:val="single" w:sz="4" w:space="0" w:color="CCCCCC"/>
              <w:right w:val="single" w:sz="4" w:space="0" w:color="CCCCCC"/>
            </w:tcBorders>
            <w:shd w:val="clear" w:color="EEF7F5" w:fill="E6F4EA"/>
            <w:noWrap/>
            <w:vAlign w:val="center"/>
            <w:hideMark/>
          </w:tcPr>
          <w:p w14:paraId="5CF2994B" w14:textId="12DFB137" w:rsidR="00F56AEE" w:rsidRPr="00CB50FD" w:rsidRDefault="00F56AEE" w:rsidP="00F56AEE">
            <w:pPr>
              <w:jc w:val="right"/>
              <w:rPr>
                <w:b/>
                <w:bCs/>
                <w:color w:val="1A5C2E"/>
                <w:sz w:val="16"/>
                <w:szCs w:val="16"/>
              </w:rPr>
            </w:pPr>
            <w:r>
              <w:rPr>
                <w:b/>
                <w:bCs/>
                <w:color w:val="1A5C2E"/>
                <w:sz w:val="16"/>
                <w:szCs w:val="16"/>
              </w:rPr>
              <w:t>na </w:t>
            </w:r>
          </w:p>
        </w:tc>
      </w:tr>
      <w:tr w:rsidR="00F56AEE" w:rsidRPr="006A640E" w14:paraId="70D819BC"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D6EDF0" w:fill="D6EAD9"/>
            <w:noWrap/>
            <w:vAlign w:val="center"/>
            <w:hideMark/>
          </w:tcPr>
          <w:p w14:paraId="467DCD90" w14:textId="552741FD" w:rsidR="00F56AEE" w:rsidRPr="006A640E" w:rsidRDefault="00F56AEE" w:rsidP="00F56AEE">
            <w:pPr>
              <w:jc w:val="center"/>
              <w:rPr>
                <w:rFonts w:eastAsia="Times New Roman"/>
                <w:b/>
                <w:bCs/>
                <w:color w:val="1A5C2E"/>
                <w:sz w:val="16"/>
                <w:szCs w:val="16"/>
              </w:rPr>
            </w:pPr>
            <w:r>
              <w:rPr>
                <w:b/>
                <w:bCs/>
                <w:color w:val="1A5C2E"/>
                <w:sz w:val="16"/>
                <w:szCs w:val="16"/>
              </w:rPr>
              <w:t>AIRTELAFRI</w:t>
            </w:r>
          </w:p>
        </w:tc>
        <w:tc>
          <w:tcPr>
            <w:tcW w:w="922" w:type="pct"/>
            <w:tcBorders>
              <w:top w:val="nil"/>
              <w:left w:val="nil"/>
              <w:bottom w:val="single" w:sz="4" w:space="0" w:color="CCCCCC"/>
              <w:right w:val="single" w:sz="4" w:space="0" w:color="CCCCCC"/>
            </w:tcBorders>
            <w:shd w:val="clear" w:color="D6EDF0" w:fill="D6EAD9"/>
            <w:noWrap/>
            <w:vAlign w:val="center"/>
            <w:hideMark/>
          </w:tcPr>
          <w:p w14:paraId="6343F4DD" w14:textId="5F6368FE" w:rsidR="00F56AEE" w:rsidRPr="006A640E" w:rsidRDefault="00F56AEE" w:rsidP="00F56AEE">
            <w:pPr>
              <w:rPr>
                <w:rFonts w:eastAsia="Times New Roman"/>
                <w:b/>
                <w:bCs/>
                <w:color w:val="1A5C2E"/>
                <w:sz w:val="16"/>
                <w:szCs w:val="16"/>
              </w:rPr>
            </w:pPr>
            <w:r>
              <w:rPr>
                <w:b/>
                <w:bCs/>
                <w:color w:val="1A5C2E"/>
                <w:sz w:val="16"/>
                <w:szCs w:val="16"/>
              </w:rPr>
              <w:t>Airtel Africa</w:t>
            </w:r>
          </w:p>
        </w:tc>
        <w:tc>
          <w:tcPr>
            <w:tcW w:w="578" w:type="pct"/>
            <w:tcBorders>
              <w:top w:val="nil"/>
              <w:left w:val="nil"/>
              <w:bottom w:val="single" w:sz="4" w:space="0" w:color="CCCCCC"/>
              <w:right w:val="single" w:sz="4" w:space="0" w:color="CCCCCC"/>
            </w:tcBorders>
            <w:shd w:val="clear" w:color="D6EDF0" w:fill="D6EAD9"/>
            <w:noWrap/>
            <w:vAlign w:val="center"/>
            <w:hideMark/>
          </w:tcPr>
          <w:p w14:paraId="41159D2C" w14:textId="6E909824" w:rsidR="00F56AEE" w:rsidRPr="00CB50FD" w:rsidRDefault="00F56AEE" w:rsidP="00F56AEE">
            <w:pPr>
              <w:jc w:val="right"/>
              <w:rPr>
                <w:b/>
                <w:bCs/>
                <w:color w:val="1A5C2E"/>
                <w:sz w:val="16"/>
                <w:szCs w:val="16"/>
              </w:rPr>
            </w:pPr>
            <w:r>
              <w:rPr>
                <w:b/>
                <w:bCs/>
                <w:color w:val="1A5C2E"/>
                <w:sz w:val="16"/>
                <w:szCs w:val="16"/>
              </w:rPr>
              <w:t>6,300</w:t>
            </w:r>
          </w:p>
        </w:tc>
        <w:tc>
          <w:tcPr>
            <w:tcW w:w="579" w:type="pct"/>
            <w:tcBorders>
              <w:top w:val="nil"/>
              <w:left w:val="nil"/>
              <w:bottom w:val="single" w:sz="4" w:space="0" w:color="CCCCCC"/>
              <w:right w:val="single" w:sz="4" w:space="0" w:color="CCCCCC"/>
            </w:tcBorders>
            <w:shd w:val="clear" w:color="D6EDF0" w:fill="D6EAD9"/>
            <w:noWrap/>
            <w:vAlign w:val="center"/>
            <w:hideMark/>
          </w:tcPr>
          <w:p w14:paraId="753B877C" w14:textId="21A95A52" w:rsidR="00F56AEE" w:rsidRPr="00CB50FD" w:rsidRDefault="00F56AEE" w:rsidP="00F56AEE">
            <w:pPr>
              <w:jc w:val="right"/>
              <w:rPr>
                <w:b/>
                <w:bCs/>
                <w:color w:val="1A5C2E"/>
                <w:sz w:val="16"/>
                <w:szCs w:val="16"/>
              </w:rPr>
            </w:pPr>
            <w:r>
              <w:rPr>
                <w:b/>
                <w:bCs/>
                <w:color w:val="1A5C2E"/>
                <w:sz w:val="16"/>
                <w:szCs w:val="16"/>
              </w:rPr>
              <w:t>6,300</w:t>
            </w:r>
          </w:p>
        </w:tc>
        <w:tc>
          <w:tcPr>
            <w:tcW w:w="579" w:type="pct"/>
            <w:tcBorders>
              <w:top w:val="single" w:sz="4" w:space="0" w:color="CCCCCC"/>
              <w:left w:val="single" w:sz="4" w:space="0" w:color="CCCCCC"/>
              <w:bottom w:val="single" w:sz="4" w:space="0" w:color="CCCCCC"/>
              <w:right w:val="single" w:sz="4" w:space="0" w:color="CCCCCC"/>
            </w:tcBorders>
            <w:shd w:val="clear" w:color="D6EDF0" w:fill="63BE7B"/>
            <w:noWrap/>
            <w:vAlign w:val="center"/>
            <w:hideMark/>
          </w:tcPr>
          <w:p w14:paraId="07C98C79" w14:textId="4492B055" w:rsidR="00F56AEE" w:rsidRPr="006A640E" w:rsidRDefault="00F56AEE" w:rsidP="00F56AEE">
            <w:pPr>
              <w:jc w:val="center"/>
              <w:rPr>
                <w:rFonts w:eastAsia="Times New Roman"/>
                <w:b/>
                <w:bCs/>
                <w:color w:val="1A5C2E"/>
                <w:sz w:val="16"/>
                <w:szCs w:val="16"/>
              </w:rPr>
            </w:pPr>
            <w:r>
              <w:rPr>
                <w:b/>
                <w:bCs/>
                <w:color w:val="1A5C2E"/>
                <w:sz w:val="16"/>
                <w:szCs w:val="16"/>
              </w:rPr>
              <w:t>0.00%</w:t>
            </w:r>
          </w:p>
        </w:tc>
        <w:tc>
          <w:tcPr>
            <w:tcW w:w="663" w:type="pct"/>
            <w:tcBorders>
              <w:top w:val="nil"/>
              <w:left w:val="nil"/>
              <w:bottom w:val="single" w:sz="4" w:space="0" w:color="CCCCCC"/>
              <w:right w:val="single" w:sz="4" w:space="0" w:color="CCCCCC"/>
            </w:tcBorders>
            <w:shd w:val="clear" w:color="D6EDF0" w:fill="D6EAD9"/>
            <w:noWrap/>
            <w:vAlign w:val="center"/>
            <w:hideMark/>
          </w:tcPr>
          <w:p w14:paraId="5A1EAB23" w14:textId="31AEDFB5" w:rsidR="00F56AEE" w:rsidRPr="006A640E" w:rsidRDefault="00F56AEE" w:rsidP="00F56AEE">
            <w:pPr>
              <w:jc w:val="right"/>
              <w:rPr>
                <w:rFonts w:eastAsia="Times New Roman"/>
                <w:b/>
                <w:bCs/>
                <w:color w:val="1A5C2E"/>
                <w:sz w:val="16"/>
                <w:szCs w:val="16"/>
              </w:rPr>
            </w:pPr>
            <w:r>
              <w:rPr>
                <w:b/>
                <w:bCs/>
                <w:color w:val="1A5C2E"/>
                <w:sz w:val="16"/>
                <w:szCs w:val="16"/>
              </w:rPr>
              <w:t>78,365</w:t>
            </w:r>
          </w:p>
        </w:tc>
        <w:tc>
          <w:tcPr>
            <w:tcW w:w="495" w:type="pct"/>
            <w:tcBorders>
              <w:top w:val="single" w:sz="4" w:space="0" w:color="CCCCCC"/>
              <w:left w:val="single" w:sz="4" w:space="0" w:color="CCCCCC"/>
              <w:bottom w:val="single" w:sz="4" w:space="0" w:color="CCCCCC"/>
              <w:right w:val="single" w:sz="4" w:space="0" w:color="CCCCCC"/>
            </w:tcBorders>
            <w:shd w:val="clear" w:color="D6EDF0" w:fill="6FC27C"/>
            <w:noWrap/>
            <w:vAlign w:val="center"/>
            <w:hideMark/>
          </w:tcPr>
          <w:p w14:paraId="65984BDC" w14:textId="653EA883" w:rsidR="00F56AEE" w:rsidRPr="006A640E" w:rsidRDefault="00F56AEE" w:rsidP="00F56AEE">
            <w:pPr>
              <w:jc w:val="center"/>
              <w:rPr>
                <w:rFonts w:eastAsia="Times New Roman"/>
                <w:b/>
                <w:bCs/>
                <w:color w:val="1A5C2E"/>
                <w:sz w:val="16"/>
                <w:szCs w:val="16"/>
              </w:rPr>
            </w:pPr>
            <w:r>
              <w:rPr>
                <w:b/>
                <w:bCs/>
                <w:color w:val="1A5C2E"/>
                <w:sz w:val="16"/>
                <w:szCs w:val="16"/>
              </w:rPr>
              <w:t>+178%</w:t>
            </w:r>
          </w:p>
        </w:tc>
        <w:tc>
          <w:tcPr>
            <w:tcW w:w="478" w:type="pct"/>
            <w:tcBorders>
              <w:top w:val="nil"/>
              <w:left w:val="nil"/>
              <w:bottom w:val="single" w:sz="4" w:space="0" w:color="CCCCCC"/>
              <w:right w:val="single" w:sz="4" w:space="0" w:color="CCCCCC"/>
            </w:tcBorders>
            <w:shd w:val="clear" w:color="D6EDF0" w:fill="D6EAD9"/>
            <w:noWrap/>
            <w:vAlign w:val="center"/>
            <w:hideMark/>
          </w:tcPr>
          <w:p w14:paraId="1EA31136" w14:textId="17B1736F" w:rsidR="00F56AEE" w:rsidRPr="00CB50FD" w:rsidRDefault="00F56AEE" w:rsidP="00F56AEE">
            <w:pPr>
              <w:jc w:val="right"/>
              <w:rPr>
                <w:b/>
                <w:bCs/>
                <w:color w:val="1A5C2E"/>
                <w:sz w:val="16"/>
                <w:szCs w:val="16"/>
              </w:rPr>
            </w:pPr>
            <w:r>
              <w:rPr>
                <w:b/>
                <w:bCs/>
                <w:color w:val="1A5C2E"/>
                <w:sz w:val="16"/>
                <w:szCs w:val="16"/>
              </w:rPr>
              <w:t>na </w:t>
            </w:r>
          </w:p>
        </w:tc>
      </w:tr>
      <w:tr w:rsidR="00F56AEE" w:rsidRPr="006A640E" w14:paraId="03EB0337"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EEF7F5" w:fill="E6F4EA"/>
            <w:noWrap/>
            <w:vAlign w:val="center"/>
            <w:hideMark/>
          </w:tcPr>
          <w:p w14:paraId="2D602853" w14:textId="790E1C57" w:rsidR="00F56AEE" w:rsidRPr="006A640E" w:rsidRDefault="00F56AEE" w:rsidP="00F56AEE">
            <w:pPr>
              <w:jc w:val="center"/>
              <w:rPr>
                <w:rFonts w:eastAsia="Times New Roman"/>
                <w:b/>
                <w:bCs/>
                <w:color w:val="1A5C2E"/>
                <w:sz w:val="16"/>
                <w:szCs w:val="16"/>
              </w:rPr>
            </w:pPr>
            <w:r>
              <w:rPr>
                <w:b/>
                <w:bCs/>
                <w:color w:val="1A5C2E"/>
                <w:sz w:val="16"/>
                <w:szCs w:val="16"/>
              </w:rPr>
              <w:t>ZENITHBANK</w:t>
            </w:r>
          </w:p>
        </w:tc>
        <w:tc>
          <w:tcPr>
            <w:tcW w:w="922" w:type="pct"/>
            <w:tcBorders>
              <w:top w:val="nil"/>
              <w:left w:val="nil"/>
              <w:bottom w:val="single" w:sz="4" w:space="0" w:color="CCCCCC"/>
              <w:right w:val="single" w:sz="4" w:space="0" w:color="CCCCCC"/>
            </w:tcBorders>
            <w:shd w:val="clear" w:color="EEF7F5" w:fill="E6F4EA"/>
            <w:noWrap/>
            <w:vAlign w:val="center"/>
            <w:hideMark/>
          </w:tcPr>
          <w:p w14:paraId="5CF7C8B3" w14:textId="2AA8E41B" w:rsidR="00F56AEE" w:rsidRPr="006A640E" w:rsidRDefault="00F56AEE" w:rsidP="00F56AEE">
            <w:pPr>
              <w:rPr>
                <w:rFonts w:eastAsia="Times New Roman"/>
                <w:b/>
                <w:bCs/>
                <w:color w:val="1A5C2E"/>
                <w:sz w:val="16"/>
                <w:szCs w:val="16"/>
              </w:rPr>
            </w:pPr>
            <w:r>
              <w:rPr>
                <w:b/>
                <w:bCs/>
                <w:color w:val="1A5C2E"/>
                <w:sz w:val="16"/>
                <w:szCs w:val="16"/>
              </w:rPr>
              <w:t>Zenith Bank</w:t>
            </w:r>
          </w:p>
        </w:tc>
        <w:tc>
          <w:tcPr>
            <w:tcW w:w="578" w:type="pct"/>
            <w:tcBorders>
              <w:top w:val="nil"/>
              <w:left w:val="nil"/>
              <w:bottom w:val="single" w:sz="4" w:space="0" w:color="CCCCCC"/>
              <w:right w:val="single" w:sz="4" w:space="0" w:color="CCCCCC"/>
            </w:tcBorders>
            <w:shd w:val="clear" w:color="EEF7F5" w:fill="E6F4EA"/>
            <w:noWrap/>
            <w:vAlign w:val="center"/>
            <w:hideMark/>
          </w:tcPr>
          <w:p w14:paraId="28DB5EFC" w14:textId="38FFF779" w:rsidR="00F56AEE" w:rsidRPr="00CB50FD" w:rsidRDefault="00F56AEE" w:rsidP="00F56AEE">
            <w:pPr>
              <w:jc w:val="right"/>
              <w:rPr>
                <w:b/>
                <w:bCs/>
                <w:color w:val="1A5C2E"/>
                <w:sz w:val="16"/>
                <w:szCs w:val="16"/>
              </w:rPr>
            </w:pPr>
            <w:r>
              <w:rPr>
                <w:b/>
                <w:bCs/>
                <w:color w:val="1A5C2E"/>
                <w:sz w:val="16"/>
                <w:szCs w:val="16"/>
              </w:rPr>
              <w:t>125</w:t>
            </w:r>
          </w:p>
        </w:tc>
        <w:tc>
          <w:tcPr>
            <w:tcW w:w="579" w:type="pct"/>
            <w:tcBorders>
              <w:top w:val="nil"/>
              <w:left w:val="nil"/>
              <w:bottom w:val="single" w:sz="4" w:space="0" w:color="CCCCCC"/>
              <w:right w:val="single" w:sz="4" w:space="0" w:color="CCCCCC"/>
            </w:tcBorders>
            <w:shd w:val="clear" w:color="EEF7F5" w:fill="E6F4EA"/>
            <w:noWrap/>
            <w:vAlign w:val="center"/>
            <w:hideMark/>
          </w:tcPr>
          <w:p w14:paraId="02D7A8DE" w14:textId="13920FCF" w:rsidR="00F56AEE" w:rsidRPr="00CB50FD" w:rsidRDefault="00F56AEE" w:rsidP="00F56AEE">
            <w:pPr>
              <w:jc w:val="right"/>
              <w:rPr>
                <w:b/>
                <w:bCs/>
                <w:color w:val="1A5C2E"/>
                <w:sz w:val="16"/>
                <w:szCs w:val="16"/>
              </w:rPr>
            </w:pPr>
            <w:r>
              <w:rPr>
                <w:b/>
                <w:bCs/>
                <w:color w:val="1A5C2E"/>
                <w:sz w:val="16"/>
                <w:szCs w:val="16"/>
              </w:rPr>
              <w:t>129</w:t>
            </w:r>
          </w:p>
        </w:tc>
        <w:tc>
          <w:tcPr>
            <w:tcW w:w="579" w:type="pct"/>
            <w:tcBorders>
              <w:top w:val="single" w:sz="4" w:space="0" w:color="CCCCCC"/>
              <w:left w:val="single" w:sz="4" w:space="0" w:color="CCCCCC"/>
              <w:bottom w:val="single" w:sz="4" w:space="0" w:color="CCCCCC"/>
              <w:right w:val="single" w:sz="4" w:space="0" w:color="CCCCCC"/>
            </w:tcBorders>
            <w:shd w:val="clear" w:color="FDE8E8" w:fill="FDD27F"/>
            <w:noWrap/>
            <w:vAlign w:val="center"/>
            <w:hideMark/>
          </w:tcPr>
          <w:p w14:paraId="2675EC6C" w14:textId="5B6CB9C5" w:rsidR="00F56AEE" w:rsidRPr="006A640E" w:rsidRDefault="00F56AEE" w:rsidP="00F56AEE">
            <w:pPr>
              <w:jc w:val="center"/>
              <w:rPr>
                <w:rFonts w:eastAsia="Times New Roman"/>
                <w:b/>
                <w:bCs/>
                <w:color w:val="B22222"/>
                <w:sz w:val="16"/>
                <w:szCs w:val="16"/>
              </w:rPr>
            </w:pPr>
            <w:r>
              <w:rPr>
                <w:b/>
                <w:bCs/>
                <w:color w:val="B22222"/>
                <w:sz w:val="16"/>
                <w:szCs w:val="16"/>
              </w:rPr>
              <w:t>-3.19%</w:t>
            </w:r>
          </w:p>
        </w:tc>
        <w:tc>
          <w:tcPr>
            <w:tcW w:w="663" w:type="pct"/>
            <w:tcBorders>
              <w:top w:val="nil"/>
              <w:left w:val="nil"/>
              <w:bottom w:val="single" w:sz="4" w:space="0" w:color="CCCCCC"/>
              <w:right w:val="single" w:sz="4" w:space="0" w:color="CCCCCC"/>
            </w:tcBorders>
            <w:shd w:val="clear" w:color="EEF7F5" w:fill="E6F4EA"/>
            <w:noWrap/>
            <w:vAlign w:val="center"/>
            <w:hideMark/>
          </w:tcPr>
          <w:p w14:paraId="14FB9F51" w14:textId="56D253DC" w:rsidR="00F56AEE" w:rsidRPr="006A640E" w:rsidRDefault="00F56AEE" w:rsidP="00F56AEE">
            <w:pPr>
              <w:jc w:val="right"/>
              <w:rPr>
                <w:rFonts w:eastAsia="Times New Roman"/>
                <w:b/>
                <w:bCs/>
                <w:color w:val="1A5C2E"/>
                <w:sz w:val="16"/>
                <w:szCs w:val="16"/>
              </w:rPr>
            </w:pPr>
            <w:r>
              <w:rPr>
                <w:b/>
                <w:bCs/>
                <w:color w:val="1A5C2E"/>
                <w:sz w:val="16"/>
                <w:szCs w:val="16"/>
              </w:rPr>
              <w:t>65,126,330</w:t>
            </w:r>
          </w:p>
        </w:tc>
        <w:tc>
          <w:tcPr>
            <w:tcW w:w="495" w:type="pct"/>
            <w:tcBorders>
              <w:top w:val="single" w:sz="4" w:space="0" w:color="CCCCCC"/>
              <w:left w:val="single" w:sz="4" w:space="0" w:color="CCCCCC"/>
              <w:bottom w:val="single" w:sz="4" w:space="0" w:color="CCCCCC"/>
              <w:right w:val="single" w:sz="4" w:space="0" w:color="CCCCCC"/>
            </w:tcBorders>
            <w:shd w:val="clear" w:color="EEF7F5" w:fill="DFE283"/>
            <w:noWrap/>
            <w:vAlign w:val="center"/>
            <w:hideMark/>
          </w:tcPr>
          <w:p w14:paraId="141B93C3" w14:textId="2716E453" w:rsidR="00F56AEE" w:rsidRPr="006A640E" w:rsidRDefault="00F56AEE" w:rsidP="00F56AEE">
            <w:pPr>
              <w:jc w:val="center"/>
              <w:rPr>
                <w:rFonts w:eastAsia="Times New Roman"/>
                <w:b/>
                <w:bCs/>
                <w:color w:val="1A5C2E"/>
                <w:sz w:val="16"/>
                <w:szCs w:val="16"/>
              </w:rPr>
            </w:pPr>
            <w:r>
              <w:rPr>
                <w:b/>
                <w:bCs/>
                <w:color w:val="1A5C2E"/>
                <w:sz w:val="16"/>
                <w:szCs w:val="16"/>
              </w:rPr>
              <w:t>+93%</w:t>
            </w:r>
          </w:p>
        </w:tc>
        <w:tc>
          <w:tcPr>
            <w:tcW w:w="478" w:type="pct"/>
            <w:tcBorders>
              <w:top w:val="nil"/>
              <w:left w:val="nil"/>
              <w:bottom w:val="single" w:sz="4" w:space="0" w:color="CCCCCC"/>
              <w:right w:val="single" w:sz="4" w:space="0" w:color="CCCCCC"/>
            </w:tcBorders>
            <w:shd w:val="clear" w:color="EEF7F5" w:fill="E6F4EA"/>
            <w:noWrap/>
            <w:vAlign w:val="center"/>
            <w:hideMark/>
          </w:tcPr>
          <w:p w14:paraId="01004F33" w14:textId="649A0C91" w:rsidR="00F56AEE" w:rsidRPr="00CB50FD" w:rsidRDefault="00F56AEE" w:rsidP="00F56AEE">
            <w:pPr>
              <w:jc w:val="right"/>
              <w:rPr>
                <w:b/>
                <w:bCs/>
                <w:color w:val="1A5C2E"/>
                <w:sz w:val="16"/>
                <w:szCs w:val="16"/>
              </w:rPr>
            </w:pPr>
            <w:r>
              <w:rPr>
                <w:b/>
                <w:bCs/>
                <w:color w:val="1A5C2E"/>
                <w:sz w:val="16"/>
                <w:szCs w:val="16"/>
              </w:rPr>
              <w:t>9.42</w:t>
            </w:r>
          </w:p>
        </w:tc>
      </w:tr>
      <w:tr w:rsidR="00F56AEE" w:rsidRPr="006A640E" w14:paraId="5396EBA8"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D6EDF0" w:fill="D6EAD9"/>
            <w:noWrap/>
            <w:vAlign w:val="center"/>
            <w:hideMark/>
          </w:tcPr>
          <w:p w14:paraId="69E7047C" w14:textId="49BECCD7" w:rsidR="00F56AEE" w:rsidRPr="006A640E" w:rsidRDefault="00F56AEE" w:rsidP="00F56AEE">
            <w:pPr>
              <w:jc w:val="center"/>
              <w:rPr>
                <w:rFonts w:eastAsia="Times New Roman"/>
                <w:b/>
                <w:bCs/>
                <w:color w:val="1A5C2E"/>
                <w:sz w:val="16"/>
                <w:szCs w:val="16"/>
              </w:rPr>
            </w:pPr>
            <w:r>
              <w:rPr>
                <w:b/>
                <w:bCs/>
                <w:color w:val="1A5C2E"/>
                <w:sz w:val="16"/>
                <w:szCs w:val="16"/>
              </w:rPr>
              <w:t>FIRSTHOLDCO</w:t>
            </w:r>
          </w:p>
        </w:tc>
        <w:tc>
          <w:tcPr>
            <w:tcW w:w="922" w:type="pct"/>
            <w:tcBorders>
              <w:top w:val="nil"/>
              <w:left w:val="nil"/>
              <w:bottom w:val="single" w:sz="4" w:space="0" w:color="CCCCCC"/>
              <w:right w:val="single" w:sz="4" w:space="0" w:color="CCCCCC"/>
            </w:tcBorders>
            <w:shd w:val="clear" w:color="D6EDF0" w:fill="D6EAD9"/>
            <w:noWrap/>
            <w:vAlign w:val="center"/>
            <w:hideMark/>
          </w:tcPr>
          <w:p w14:paraId="5EA3F486" w14:textId="25604D7B" w:rsidR="00F56AEE" w:rsidRPr="006A640E" w:rsidRDefault="00F56AEE" w:rsidP="00F56AEE">
            <w:pPr>
              <w:rPr>
                <w:rFonts w:eastAsia="Times New Roman"/>
                <w:b/>
                <w:bCs/>
                <w:color w:val="1A5C2E"/>
                <w:sz w:val="16"/>
                <w:szCs w:val="16"/>
              </w:rPr>
            </w:pPr>
            <w:r>
              <w:rPr>
                <w:b/>
                <w:bCs/>
                <w:color w:val="1A5C2E"/>
                <w:sz w:val="16"/>
                <w:szCs w:val="16"/>
              </w:rPr>
              <w:t>First HoldCo (FBN)</w:t>
            </w:r>
          </w:p>
        </w:tc>
        <w:tc>
          <w:tcPr>
            <w:tcW w:w="578" w:type="pct"/>
            <w:tcBorders>
              <w:top w:val="nil"/>
              <w:left w:val="nil"/>
              <w:bottom w:val="single" w:sz="4" w:space="0" w:color="CCCCCC"/>
              <w:right w:val="single" w:sz="4" w:space="0" w:color="CCCCCC"/>
            </w:tcBorders>
            <w:shd w:val="clear" w:color="D6EDF0" w:fill="D6EAD9"/>
            <w:noWrap/>
            <w:vAlign w:val="center"/>
            <w:hideMark/>
          </w:tcPr>
          <w:p w14:paraId="52E8B3B6" w14:textId="7BB2653B" w:rsidR="00F56AEE" w:rsidRPr="00CB50FD" w:rsidRDefault="00F56AEE" w:rsidP="00F56AEE">
            <w:pPr>
              <w:jc w:val="right"/>
              <w:rPr>
                <w:b/>
                <w:bCs/>
                <w:color w:val="1A5C2E"/>
                <w:sz w:val="16"/>
                <w:szCs w:val="16"/>
              </w:rPr>
            </w:pPr>
            <w:r>
              <w:rPr>
                <w:b/>
                <w:bCs/>
                <w:color w:val="1A5C2E"/>
                <w:sz w:val="16"/>
                <w:szCs w:val="16"/>
              </w:rPr>
              <w:t>136</w:t>
            </w:r>
          </w:p>
        </w:tc>
        <w:tc>
          <w:tcPr>
            <w:tcW w:w="579" w:type="pct"/>
            <w:tcBorders>
              <w:top w:val="nil"/>
              <w:left w:val="nil"/>
              <w:bottom w:val="single" w:sz="4" w:space="0" w:color="CCCCCC"/>
              <w:right w:val="single" w:sz="4" w:space="0" w:color="CCCCCC"/>
            </w:tcBorders>
            <w:shd w:val="clear" w:color="D6EDF0" w:fill="D6EAD9"/>
            <w:noWrap/>
            <w:vAlign w:val="center"/>
            <w:hideMark/>
          </w:tcPr>
          <w:p w14:paraId="444330B2" w14:textId="5F641E2A" w:rsidR="00F56AEE" w:rsidRPr="00CB50FD" w:rsidRDefault="00F56AEE" w:rsidP="00F56AEE">
            <w:pPr>
              <w:jc w:val="right"/>
              <w:rPr>
                <w:b/>
                <w:bCs/>
                <w:color w:val="1A5C2E"/>
                <w:sz w:val="16"/>
                <w:szCs w:val="16"/>
              </w:rPr>
            </w:pPr>
            <w:r>
              <w:rPr>
                <w:b/>
                <w:bCs/>
                <w:color w:val="1A5C2E"/>
                <w:sz w:val="16"/>
                <w:szCs w:val="16"/>
              </w:rPr>
              <w:t>150</w:t>
            </w:r>
          </w:p>
        </w:tc>
        <w:tc>
          <w:tcPr>
            <w:tcW w:w="579" w:type="pct"/>
            <w:tcBorders>
              <w:top w:val="single" w:sz="4" w:space="0" w:color="CCCCCC"/>
              <w:left w:val="single" w:sz="4" w:space="0" w:color="CCCCCC"/>
              <w:bottom w:val="single" w:sz="4" w:space="0" w:color="CCCCCC"/>
              <w:right w:val="single" w:sz="4" w:space="0" w:color="CCCCCC"/>
            </w:tcBorders>
            <w:shd w:val="clear" w:color="FFF0F0" w:fill="FDC97D"/>
            <w:noWrap/>
            <w:vAlign w:val="center"/>
            <w:hideMark/>
          </w:tcPr>
          <w:p w14:paraId="60B005DD" w14:textId="7F3DF675" w:rsidR="00F56AEE" w:rsidRPr="006A640E" w:rsidRDefault="00F56AEE" w:rsidP="00F56AEE">
            <w:pPr>
              <w:jc w:val="center"/>
              <w:rPr>
                <w:rFonts w:eastAsia="Times New Roman"/>
                <w:b/>
                <w:bCs/>
                <w:color w:val="B22222"/>
                <w:sz w:val="16"/>
                <w:szCs w:val="16"/>
              </w:rPr>
            </w:pPr>
            <w:r>
              <w:rPr>
                <w:b/>
                <w:bCs/>
                <w:color w:val="B22222"/>
                <w:sz w:val="16"/>
                <w:szCs w:val="16"/>
              </w:rPr>
              <w:t>-9.30%</w:t>
            </w:r>
          </w:p>
        </w:tc>
        <w:tc>
          <w:tcPr>
            <w:tcW w:w="663" w:type="pct"/>
            <w:tcBorders>
              <w:top w:val="nil"/>
              <w:left w:val="nil"/>
              <w:bottom w:val="single" w:sz="4" w:space="0" w:color="CCCCCC"/>
              <w:right w:val="single" w:sz="4" w:space="0" w:color="CCCCCC"/>
            </w:tcBorders>
            <w:shd w:val="clear" w:color="D6EDF0" w:fill="D6EAD9"/>
            <w:noWrap/>
            <w:vAlign w:val="center"/>
            <w:hideMark/>
          </w:tcPr>
          <w:p w14:paraId="5BDDCA06" w14:textId="3000C4EA" w:rsidR="00F56AEE" w:rsidRPr="006A640E" w:rsidRDefault="00F56AEE" w:rsidP="00F56AEE">
            <w:pPr>
              <w:jc w:val="right"/>
              <w:rPr>
                <w:rFonts w:eastAsia="Times New Roman"/>
                <w:b/>
                <w:bCs/>
                <w:color w:val="1A5C2E"/>
                <w:sz w:val="16"/>
                <w:szCs w:val="16"/>
              </w:rPr>
            </w:pPr>
            <w:r>
              <w:rPr>
                <w:b/>
                <w:bCs/>
                <w:color w:val="1A5C2E"/>
                <w:sz w:val="16"/>
                <w:szCs w:val="16"/>
              </w:rPr>
              <w:t>31,375,316</w:t>
            </w:r>
          </w:p>
        </w:tc>
        <w:tc>
          <w:tcPr>
            <w:tcW w:w="495" w:type="pct"/>
            <w:tcBorders>
              <w:top w:val="single" w:sz="4" w:space="0" w:color="CCCCCC"/>
              <w:left w:val="single" w:sz="4" w:space="0" w:color="CCCCCC"/>
              <w:bottom w:val="single" w:sz="4" w:space="0" w:color="CCCCCC"/>
              <w:right w:val="single" w:sz="4" w:space="0" w:color="CCCCCC"/>
            </w:tcBorders>
            <w:shd w:val="clear" w:color="D6EDF0" w:fill="63BE7B"/>
            <w:noWrap/>
            <w:vAlign w:val="center"/>
            <w:hideMark/>
          </w:tcPr>
          <w:p w14:paraId="669C20BE" w14:textId="156E5EB5" w:rsidR="00F56AEE" w:rsidRPr="006A640E" w:rsidRDefault="00F56AEE" w:rsidP="00F56AEE">
            <w:pPr>
              <w:jc w:val="center"/>
              <w:rPr>
                <w:rFonts w:eastAsia="Times New Roman"/>
                <w:b/>
                <w:bCs/>
                <w:color w:val="1A5C2E"/>
                <w:sz w:val="16"/>
                <w:szCs w:val="16"/>
              </w:rPr>
            </w:pPr>
            <w:r>
              <w:rPr>
                <w:b/>
                <w:bCs/>
                <w:color w:val="1A5C2E"/>
                <w:sz w:val="16"/>
                <w:szCs w:val="16"/>
              </w:rPr>
              <w:t>+179%</w:t>
            </w:r>
          </w:p>
        </w:tc>
        <w:tc>
          <w:tcPr>
            <w:tcW w:w="478" w:type="pct"/>
            <w:tcBorders>
              <w:top w:val="nil"/>
              <w:left w:val="nil"/>
              <w:bottom w:val="single" w:sz="4" w:space="0" w:color="CCCCCC"/>
              <w:right w:val="single" w:sz="4" w:space="0" w:color="CCCCCC"/>
            </w:tcBorders>
            <w:shd w:val="clear" w:color="D6EDF0" w:fill="D6EAD9"/>
            <w:noWrap/>
            <w:vAlign w:val="center"/>
            <w:hideMark/>
          </w:tcPr>
          <w:p w14:paraId="0EA10DB1" w14:textId="51DC0A64" w:rsidR="00F56AEE" w:rsidRPr="00CB50FD" w:rsidRDefault="00F56AEE" w:rsidP="00F56AEE">
            <w:pPr>
              <w:jc w:val="right"/>
              <w:rPr>
                <w:b/>
                <w:bCs/>
                <w:color w:val="1A5C2E"/>
                <w:sz w:val="16"/>
                <w:szCs w:val="16"/>
              </w:rPr>
            </w:pPr>
            <w:r>
              <w:rPr>
                <w:b/>
                <w:bCs/>
                <w:color w:val="1A5C2E"/>
                <w:sz w:val="16"/>
                <w:szCs w:val="16"/>
              </w:rPr>
              <w:t>58.41</w:t>
            </w:r>
          </w:p>
        </w:tc>
      </w:tr>
      <w:tr w:rsidR="00F56AEE" w:rsidRPr="006A640E" w14:paraId="16176D0A"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EEF7F5" w:fill="E6F4EA"/>
            <w:noWrap/>
            <w:vAlign w:val="center"/>
            <w:hideMark/>
          </w:tcPr>
          <w:p w14:paraId="5FDB7A40" w14:textId="46366E7D" w:rsidR="00F56AEE" w:rsidRPr="006A640E" w:rsidRDefault="00F56AEE" w:rsidP="00F56AEE">
            <w:pPr>
              <w:jc w:val="center"/>
              <w:rPr>
                <w:rFonts w:eastAsia="Times New Roman"/>
                <w:b/>
                <w:bCs/>
                <w:color w:val="1A5C2E"/>
                <w:sz w:val="16"/>
                <w:szCs w:val="16"/>
              </w:rPr>
            </w:pPr>
            <w:r>
              <w:rPr>
                <w:b/>
                <w:bCs/>
                <w:color w:val="1A5C2E"/>
                <w:sz w:val="16"/>
                <w:szCs w:val="16"/>
              </w:rPr>
              <w:t>NESTLE</w:t>
            </w:r>
          </w:p>
        </w:tc>
        <w:tc>
          <w:tcPr>
            <w:tcW w:w="922" w:type="pct"/>
            <w:tcBorders>
              <w:top w:val="nil"/>
              <w:left w:val="nil"/>
              <w:bottom w:val="single" w:sz="4" w:space="0" w:color="CCCCCC"/>
              <w:right w:val="single" w:sz="4" w:space="0" w:color="CCCCCC"/>
            </w:tcBorders>
            <w:shd w:val="clear" w:color="EEF7F5" w:fill="E6F4EA"/>
            <w:noWrap/>
            <w:vAlign w:val="center"/>
            <w:hideMark/>
          </w:tcPr>
          <w:p w14:paraId="01EDCA83" w14:textId="09A83BFB" w:rsidR="00F56AEE" w:rsidRPr="006A640E" w:rsidRDefault="00F56AEE" w:rsidP="00F56AEE">
            <w:pPr>
              <w:rPr>
                <w:rFonts w:eastAsia="Times New Roman"/>
                <w:b/>
                <w:bCs/>
                <w:color w:val="1A5C2E"/>
                <w:sz w:val="16"/>
                <w:szCs w:val="16"/>
              </w:rPr>
            </w:pPr>
            <w:r>
              <w:rPr>
                <w:b/>
                <w:bCs/>
                <w:color w:val="1A5C2E"/>
                <w:sz w:val="16"/>
                <w:szCs w:val="16"/>
              </w:rPr>
              <w:t>Nestlé Nigeria</w:t>
            </w:r>
          </w:p>
        </w:tc>
        <w:tc>
          <w:tcPr>
            <w:tcW w:w="578" w:type="pct"/>
            <w:tcBorders>
              <w:top w:val="nil"/>
              <w:left w:val="nil"/>
              <w:bottom w:val="single" w:sz="4" w:space="0" w:color="CCCCCC"/>
              <w:right w:val="single" w:sz="4" w:space="0" w:color="CCCCCC"/>
            </w:tcBorders>
            <w:shd w:val="clear" w:color="EEF7F5" w:fill="E6F4EA"/>
            <w:noWrap/>
            <w:vAlign w:val="center"/>
            <w:hideMark/>
          </w:tcPr>
          <w:p w14:paraId="1A7EAE3A" w14:textId="43E0F1D3" w:rsidR="00F56AEE" w:rsidRPr="00CB50FD" w:rsidRDefault="00F56AEE" w:rsidP="00F56AEE">
            <w:pPr>
              <w:jc w:val="right"/>
              <w:rPr>
                <w:b/>
                <w:bCs/>
                <w:color w:val="1A5C2E"/>
                <w:sz w:val="16"/>
                <w:szCs w:val="16"/>
              </w:rPr>
            </w:pPr>
            <w:r>
              <w:rPr>
                <w:b/>
                <w:bCs/>
                <w:color w:val="1A5C2E"/>
                <w:sz w:val="16"/>
                <w:szCs w:val="16"/>
              </w:rPr>
              <w:t>2,800</w:t>
            </w:r>
          </w:p>
        </w:tc>
        <w:tc>
          <w:tcPr>
            <w:tcW w:w="579" w:type="pct"/>
            <w:tcBorders>
              <w:top w:val="nil"/>
              <w:left w:val="nil"/>
              <w:bottom w:val="single" w:sz="4" w:space="0" w:color="CCCCCC"/>
              <w:right w:val="single" w:sz="4" w:space="0" w:color="CCCCCC"/>
            </w:tcBorders>
            <w:shd w:val="clear" w:color="EEF7F5" w:fill="E6F4EA"/>
            <w:noWrap/>
            <w:vAlign w:val="center"/>
            <w:hideMark/>
          </w:tcPr>
          <w:p w14:paraId="08EEA81D" w14:textId="3DD2E4C7" w:rsidR="00F56AEE" w:rsidRPr="00CB50FD" w:rsidRDefault="00F56AEE" w:rsidP="00F56AEE">
            <w:pPr>
              <w:jc w:val="right"/>
              <w:rPr>
                <w:b/>
                <w:bCs/>
                <w:color w:val="1A5C2E"/>
                <w:sz w:val="16"/>
                <w:szCs w:val="16"/>
              </w:rPr>
            </w:pPr>
            <w:r>
              <w:rPr>
                <w:b/>
                <w:bCs/>
                <w:color w:val="1A5C2E"/>
                <w:sz w:val="16"/>
                <w:szCs w:val="16"/>
              </w:rPr>
              <w:t>2,995</w:t>
            </w:r>
          </w:p>
        </w:tc>
        <w:tc>
          <w:tcPr>
            <w:tcW w:w="579" w:type="pct"/>
            <w:tcBorders>
              <w:top w:val="single" w:sz="4" w:space="0" w:color="CCCCCC"/>
              <w:left w:val="single" w:sz="4" w:space="0" w:color="CCCCCC"/>
              <w:bottom w:val="single" w:sz="4" w:space="0" w:color="CCCCCC"/>
              <w:right w:val="single" w:sz="4" w:space="0" w:color="CCCCCC"/>
            </w:tcBorders>
            <w:shd w:val="clear" w:color="EEF7F5" w:fill="CCDD82"/>
            <w:noWrap/>
            <w:vAlign w:val="center"/>
            <w:hideMark/>
          </w:tcPr>
          <w:p w14:paraId="46B41E20" w14:textId="271D745F" w:rsidR="00F56AEE" w:rsidRPr="006A640E" w:rsidRDefault="00F56AEE" w:rsidP="00F56AEE">
            <w:pPr>
              <w:jc w:val="center"/>
              <w:rPr>
                <w:rFonts w:eastAsia="Times New Roman"/>
                <w:b/>
                <w:bCs/>
                <w:color w:val="1A5C2E"/>
                <w:sz w:val="16"/>
                <w:szCs w:val="16"/>
              </w:rPr>
            </w:pPr>
            <w:r>
              <w:rPr>
                <w:b/>
                <w:bCs/>
                <w:color w:val="1A5C2E"/>
                <w:sz w:val="16"/>
                <w:szCs w:val="16"/>
              </w:rPr>
              <w:t>-6.51%</w:t>
            </w:r>
          </w:p>
        </w:tc>
        <w:tc>
          <w:tcPr>
            <w:tcW w:w="663" w:type="pct"/>
            <w:tcBorders>
              <w:top w:val="nil"/>
              <w:left w:val="nil"/>
              <w:bottom w:val="single" w:sz="4" w:space="0" w:color="CCCCCC"/>
              <w:right w:val="single" w:sz="4" w:space="0" w:color="CCCCCC"/>
            </w:tcBorders>
            <w:shd w:val="clear" w:color="EEF7F5" w:fill="E6F4EA"/>
            <w:noWrap/>
            <w:vAlign w:val="center"/>
            <w:hideMark/>
          </w:tcPr>
          <w:p w14:paraId="06F4974E" w14:textId="77923C0A" w:rsidR="00F56AEE" w:rsidRPr="006A640E" w:rsidRDefault="00F56AEE" w:rsidP="00F56AEE">
            <w:pPr>
              <w:jc w:val="right"/>
              <w:rPr>
                <w:rFonts w:eastAsia="Times New Roman"/>
                <w:b/>
                <w:bCs/>
                <w:color w:val="1A5C2E"/>
                <w:sz w:val="16"/>
                <w:szCs w:val="16"/>
              </w:rPr>
            </w:pPr>
            <w:r>
              <w:rPr>
                <w:b/>
                <w:bCs/>
                <w:color w:val="1A5C2E"/>
                <w:sz w:val="16"/>
                <w:szCs w:val="16"/>
              </w:rPr>
              <w:t>1,415,347</w:t>
            </w:r>
          </w:p>
        </w:tc>
        <w:tc>
          <w:tcPr>
            <w:tcW w:w="495" w:type="pct"/>
            <w:tcBorders>
              <w:top w:val="single" w:sz="4" w:space="0" w:color="CCCCCC"/>
              <w:left w:val="single" w:sz="4" w:space="0" w:color="CCCCCC"/>
              <w:bottom w:val="single" w:sz="4" w:space="0" w:color="CCCCCC"/>
              <w:right w:val="single" w:sz="4" w:space="0" w:color="CCCCCC"/>
            </w:tcBorders>
            <w:shd w:val="clear" w:color="EEF7F5" w:fill="FCC37C"/>
            <w:noWrap/>
            <w:vAlign w:val="center"/>
            <w:hideMark/>
          </w:tcPr>
          <w:p w14:paraId="705D5177" w14:textId="3245A40B" w:rsidR="00F56AEE" w:rsidRPr="006A640E" w:rsidRDefault="00F56AEE" w:rsidP="00F56AEE">
            <w:pPr>
              <w:jc w:val="center"/>
              <w:rPr>
                <w:rFonts w:eastAsia="Times New Roman"/>
                <w:b/>
                <w:bCs/>
                <w:color w:val="1A5C2E"/>
                <w:sz w:val="16"/>
                <w:szCs w:val="16"/>
              </w:rPr>
            </w:pPr>
            <w:r>
              <w:rPr>
                <w:b/>
                <w:bCs/>
                <w:color w:val="1A5C2E"/>
                <w:sz w:val="16"/>
                <w:szCs w:val="16"/>
              </w:rPr>
              <w:t>+43%</w:t>
            </w:r>
          </w:p>
        </w:tc>
        <w:tc>
          <w:tcPr>
            <w:tcW w:w="478" w:type="pct"/>
            <w:tcBorders>
              <w:top w:val="nil"/>
              <w:left w:val="nil"/>
              <w:bottom w:val="single" w:sz="4" w:space="0" w:color="CCCCCC"/>
              <w:right w:val="single" w:sz="4" w:space="0" w:color="CCCCCC"/>
            </w:tcBorders>
            <w:shd w:val="clear" w:color="EEF7F5" w:fill="E6F4EA"/>
            <w:noWrap/>
            <w:vAlign w:val="center"/>
            <w:hideMark/>
          </w:tcPr>
          <w:p w14:paraId="470B4308" w14:textId="51F08E3D" w:rsidR="00F56AEE" w:rsidRPr="00CB50FD" w:rsidRDefault="00F56AEE" w:rsidP="00F56AEE">
            <w:pPr>
              <w:jc w:val="right"/>
              <w:rPr>
                <w:b/>
                <w:bCs/>
                <w:color w:val="1A5C2E"/>
                <w:sz w:val="16"/>
                <w:szCs w:val="16"/>
              </w:rPr>
            </w:pPr>
            <w:r>
              <w:rPr>
                <w:b/>
                <w:bCs/>
                <w:color w:val="1A5C2E"/>
                <w:sz w:val="16"/>
                <w:szCs w:val="16"/>
              </w:rPr>
              <w:t>67.79</w:t>
            </w:r>
          </w:p>
        </w:tc>
      </w:tr>
      <w:tr w:rsidR="00F56AEE" w:rsidRPr="006A640E" w14:paraId="58AF7BE3" w14:textId="77777777" w:rsidTr="00BA447A">
        <w:trPr>
          <w:trHeight w:val="315"/>
        </w:trPr>
        <w:tc>
          <w:tcPr>
            <w:tcW w:w="706" w:type="pct"/>
            <w:tcBorders>
              <w:top w:val="nil"/>
              <w:left w:val="single" w:sz="4" w:space="0" w:color="CCCCCC"/>
              <w:bottom w:val="single" w:sz="4" w:space="0" w:color="CCCCCC"/>
              <w:right w:val="single" w:sz="4" w:space="0" w:color="CCCCCC"/>
            </w:tcBorders>
            <w:shd w:val="clear" w:color="D6EDF0" w:fill="D6EAD9"/>
            <w:noWrap/>
            <w:vAlign w:val="center"/>
            <w:hideMark/>
          </w:tcPr>
          <w:p w14:paraId="1BBED806" w14:textId="14FB069E" w:rsidR="00F56AEE" w:rsidRPr="006A640E" w:rsidRDefault="00F56AEE" w:rsidP="00F56AEE">
            <w:pPr>
              <w:jc w:val="center"/>
              <w:rPr>
                <w:rFonts w:eastAsia="Times New Roman"/>
                <w:b/>
                <w:bCs/>
                <w:color w:val="1A5C2E"/>
                <w:sz w:val="16"/>
                <w:szCs w:val="16"/>
              </w:rPr>
            </w:pPr>
            <w:r>
              <w:rPr>
                <w:b/>
                <w:bCs/>
                <w:color w:val="1A5C2E"/>
                <w:sz w:val="16"/>
                <w:szCs w:val="16"/>
              </w:rPr>
              <w:t>SEPLAT</w:t>
            </w:r>
          </w:p>
        </w:tc>
        <w:tc>
          <w:tcPr>
            <w:tcW w:w="922" w:type="pct"/>
            <w:tcBorders>
              <w:top w:val="nil"/>
              <w:left w:val="nil"/>
              <w:bottom w:val="single" w:sz="4" w:space="0" w:color="CCCCCC"/>
              <w:right w:val="single" w:sz="4" w:space="0" w:color="CCCCCC"/>
            </w:tcBorders>
            <w:shd w:val="clear" w:color="D6EDF0" w:fill="D6EAD9"/>
            <w:noWrap/>
            <w:vAlign w:val="center"/>
            <w:hideMark/>
          </w:tcPr>
          <w:p w14:paraId="03722B49" w14:textId="2484150A" w:rsidR="00F56AEE" w:rsidRPr="006A640E" w:rsidRDefault="00F56AEE" w:rsidP="00F56AEE">
            <w:pPr>
              <w:rPr>
                <w:rFonts w:eastAsia="Times New Roman"/>
                <w:b/>
                <w:bCs/>
                <w:color w:val="1A5C2E"/>
                <w:sz w:val="16"/>
                <w:szCs w:val="16"/>
              </w:rPr>
            </w:pPr>
            <w:r>
              <w:rPr>
                <w:b/>
                <w:bCs/>
                <w:color w:val="1A5C2E"/>
                <w:sz w:val="16"/>
                <w:szCs w:val="16"/>
              </w:rPr>
              <w:t>Seplat Energy</w:t>
            </w:r>
          </w:p>
        </w:tc>
        <w:tc>
          <w:tcPr>
            <w:tcW w:w="578" w:type="pct"/>
            <w:tcBorders>
              <w:top w:val="nil"/>
              <w:left w:val="nil"/>
              <w:bottom w:val="single" w:sz="4" w:space="0" w:color="CCCCCC"/>
              <w:right w:val="single" w:sz="4" w:space="0" w:color="CCCCCC"/>
            </w:tcBorders>
            <w:shd w:val="clear" w:color="D6EDF0" w:fill="D6EAD9"/>
            <w:noWrap/>
            <w:vAlign w:val="center"/>
            <w:hideMark/>
          </w:tcPr>
          <w:p w14:paraId="4DF33F79" w14:textId="68CC9C21" w:rsidR="00F56AEE" w:rsidRPr="00CB50FD" w:rsidRDefault="00F56AEE" w:rsidP="00F56AEE">
            <w:pPr>
              <w:jc w:val="right"/>
              <w:rPr>
                <w:b/>
                <w:bCs/>
                <w:color w:val="1A5C2E"/>
                <w:sz w:val="16"/>
                <w:szCs w:val="16"/>
              </w:rPr>
            </w:pPr>
            <w:r>
              <w:rPr>
                <w:b/>
                <w:bCs/>
                <w:color w:val="1A5C2E"/>
                <w:sz w:val="16"/>
                <w:szCs w:val="16"/>
              </w:rPr>
              <w:t>14,908</w:t>
            </w:r>
          </w:p>
        </w:tc>
        <w:tc>
          <w:tcPr>
            <w:tcW w:w="579" w:type="pct"/>
            <w:tcBorders>
              <w:top w:val="nil"/>
              <w:left w:val="nil"/>
              <w:bottom w:val="single" w:sz="4" w:space="0" w:color="CCCCCC"/>
              <w:right w:val="single" w:sz="4" w:space="0" w:color="CCCCCC"/>
            </w:tcBorders>
            <w:shd w:val="clear" w:color="D6EDF0" w:fill="D6EAD9"/>
            <w:noWrap/>
            <w:vAlign w:val="center"/>
            <w:hideMark/>
          </w:tcPr>
          <w:p w14:paraId="07D6E864" w14:textId="548024AE" w:rsidR="00F56AEE" w:rsidRPr="00CB50FD" w:rsidRDefault="00F56AEE" w:rsidP="00F56AEE">
            <w:pPr>
              <w:jc w:val="right"/>
              <w:rPr>
                <w:b/>
                <w:bCs/>
                <w:color w:val="1A5C2E"/>
                <w:sz w:val="16"/>
                <w:szCs w:val="16"/>
              </w:rPr>
            </w:pPr>
            <w:r>
              <w:rPr>
                <w:b/>
                <w:bCs/>
                <w:color w:val="1A5C2E"/>
                <w:sz w:val="16"/>
                <w:szCs w:val="16"/>
              </w:rPr>
              <w:t>13,553</w:t>
            </w:r>
          </w:p>
        </w:tc>
        <w:tc>
          <w:tcPr>
            <w:tcW w:w="579" w:type="pct"/>
            <w:tcBorders>
              <w:top w:val="single" w:sz="4" w:space="0" w:color="CCCCCC"/>
              <w:left w:val="single" w:sz="4" w:space="0" w:color="CCCCCC"/>
              <w:bottom w:val="single" w:sz="4" w:space="0" w:color="CCCCCC"/>
              <w:right w:val="single" w:sz="4" w:space="0" w:color="CCCCCC"/>
            </w:tcBorders>
            <w:shd w:val="clear" w:color="D6EDF0" w:fill="FEEB84"/>
            <w:noWrap/>
            <w:vAlign w:val="center"/>
            <w:hideMark/>
          </w:tcPr>
          <w:p w14:paraId="5A9DF93A" w14:textId="120C394E" w:rsidR="00F56AEE" w:rsidRPr="006A640E" w:rsidRDefault="00F56AEE" w:rsidP="00F56AEE">
            <w:pPr>
              <w:jc w:val="center"/>
              <w:rPr>
                <w:rFonts w:eastAsia="Times New Roman"/>
                <w:b/>
                <w:bCs/>
                <w:color w:val="1A5C2E"/>
                <w:sz w:val="16"/>
                <w:szCs w:val="16"/>
              </w:rPr>
            </w:pPr>
            <w:r>
              <w:rPr>
                <w:b/>
                <w:bCs/>
                <w:color w:val="1A5C2E"/>
                <w:sz w:val="16"/>
                <w:szCs w:val="16"/>
              </w:rPr>
              <w:t>+10.00%</w:t>
            </w:r>
          </w:p>
        </w:tc>
        <w:tc>
          <w:tcPr>
            <w:tcW w:w="663" w:type="pct"/>
            <w:tcBorders>
              <w:top w:val="nil"/>
              <w:left w:val="nil"/>
              <w:bottom w:val="single" w:sz="4" w:space="0" w:color="CCCCCC"/>
              <w:right w:val="single" w:sz="4" w:space="0" w:color="CCCCCC"/>
            </w:tcBorders>
            <w:shd w:val="clear" w:color="D6EDF0" w:fill="D6EAD9"/>
            <w:noWrap/>
            <w:vAlign w:val="center"/>
            <w:hideMark/>
          </w:tcPr>
          <w:p w14:paraId="796F090C" w14:textId="4E5B87B6" w:rsidR="00F56AEE" w:rsidRPr="006A640E" w:rsidRDefault="00F56AEE" w:rsidP="00F56AEE">
            <w:pPr>
              <w:jc w:val="right"/>
              <w:rPr>
                <w:rFonts w:eastAsia="Times New Roman"/>
                <w:b/>
                <w:bCs/>
                <w:color w:val="1A5C2E"/>
                <w:sz w:val="16"/>
                <w:szCs w:val="16"/>
              </w:rPr>
            </w:pPr>
            <w:r>
              <w:rPr>
                <w:b/>
                <w:bCs/>
                <w:color w:val="1A5C2E"/>
                <w:sz w:val="16"/>
                <w:szCs w:val="16"/>
              </w:rPr>
              <w:t>396,067</w:t>
            </w:r>
          </w:p>
        </w:tc>
        <w:tc>
          <w:tcPr>
            <w:tcW w:w="495" w:type="pct"/>
            <w:tcBorders>
              <w:top w:val="single" w:sz="4" w:space="0" w:color="CCCCCC"/>
              <w:left w:val="single" w:sz="4" w:space="0" w:color="CCCCCC"/>
              <w:bottom w:val="single" w:sz="4" w:space="0" w:color="CCCCCC"/>
              <w:right w:val="single" w:sz="4" w:space="0" w:color="CCCCCC"/>
            </w:tcBorders>
            <w:shd w:val="clear" w:color="D6EDF0" w:fill="D2DE82"/>
            <w:noWrap/>
            <w:vAlign w:val="center"/>
            <w:hideMark/>
          </w:tcPr>
          <w:p w14:paraId="33BB0F8A" w14:textId="3FEF3EC7" w:rsidR="00F56AEE" w:rsidRPr="006A640E" w:rsidRDefault="00F56AEE" w:rsidP="00F56AEE">
            <w:pPr>
              <w:jc w:val="center"/>
              <w:rPr>
                <w:rFonts w:eastAsia="Times New Roman"/>
                <w:b/>
                <w:bCs/>
                <w:color w:val="1A5C2E"/>
                <w:sz w:val="16"/>
                <w:szCs w:val="16"/>
              </w:rPr>
            </w:pPr>
            <w:r>
              <w:rPr>
                <w:b/>
                <w:bCs/>
                <w:color w:val="1A5C2E"/>
                <w:sz w:val="16"/>
                <w:szCs w:val="16"/>
              </w:rPr>
              <w:t>+166%</w:t>
            </w:r>
          </w:p>
        </w:tc>
        <w:tc>
          <w:tcPr>
            <w:tcW w:w="478" w:type="pct"/>
            <w:tcBorders>
              <w:top w:val="nil"/>
              <w:left w:val="nil"/>
              <w:bottom w:val="single" w:sz="4" w:space="0" w:color="CCCCCC"/>
              <w:right w:val="single" w:sz="4" w:space="0" w:color="CCCCCC"/>
            </w:tcBorders>
            <w:shd w:val="clear" w:color="D6EDF0" w:fill="D6EAD9"/>
            <w:noWrap/>
            <w:vAlign w:val="center"/>
            <w:hideMark/>
          </w:tcPr>
          <w:p w14:paraId="2A4FF67A" w14:textId="65534D0A" w:rsidR="00F56AEE" w:rsidRPr="00CB50FD" w:rsidRDefault="00F56AEE" w:rsidP="00F56AEE">
            <w:pPr>
              <w:jc w:val="right"/>
              <w:rPr>
                <w:b/>
                <w:bCs/>
                <w:color w:val="1A5C2E"/>
                <w:sz w:val="16"/>
                <w:szCs w:val="16"/>
              </w:rPr>
            </w:pPr>
            <w:r>
              <w:rPr>
                <w:b/>
                <w:bCs/>
                <w:color w:val="1A5C2E"/>
                <w:sz w:val="16"/>
                <w:szCs w:val="16"/>
              </w:rPr>
              <w:t>70.09</w:t>
            </w:r>
          </w:p>
        </w:tc>
      </w:tr>
    </w:tbl>
    <w:p w14:paraId="3BAF168E" w14:textId="73A5194F" w:rsidR="00974479" w:rsidRPr="004E1B03" w:rsidRDefault="00974479" w:rsidP="00974479">
      <w:pPr>
        <w:spacing w:before="180" w:after="80"/>
      </w:pPr>
      <w:r>
        <w:rPr>
          <w:b/>
          <w:bCs/>
          <w:color w:val="1A5C4E"/>
          <w:sz w:val="22"/>
          <w:szCs w:val="22"/>
        </w:rPr>
        <w:t>Market Movers Commentary</w:t>
      </w:r>
    </w:p>
    <w:p w14:paraId="3EE1AAC6" w14:textId="77777777" w:rsidR="004851E6" w:rsidRDefault="004851E6" w:rsidP="004851E6">
      <w:pPr>
        <w:pStyle w:val="ListParagraph"/>
        <w:numPr>
          <w:ilvl w:val="0"/>
          <w:numId w:val="7"/>
        </w:numPr>
        <w:spacing w:before="120" w:after="120"/>
      </w:pPr>
      <w:r>
        <w:t xml:space="preserve">Large caps lagged. Seplat Energy was the segment's only gainer at </w:t>
      </w:r>
      <w:r>
        <w:rPr>
          <w:b/>
          <w:color w:val="00B050"/>
        </w:rPr>
        <w:t>▲</w:t>
      </w:r>
      <w:r>
        <w:t xml:space="preserve">10.00% to ₦14,908 on a 70.1x P/E and </w:t>
      </w:r>
      <w:r>
        <w:rPr>
          <w:b/>
          <w:color w:val="00B050"/>
        </w:rPr>
        <w:t>▲</w:t>
      </w:r>
      <w:r>
        <w:t xml:space="preserve">166% YTD, leaving financials to carry the drag: First HoldCo </w:t>
      </w:r>
      <w:r>
        <w:rPr>
          <w:b/>
          <w:color w:val="EE0000"/>
        </w:rPr>
        <w:t>▼</w:t>
      </w:r>
      <w:r>
        <w:t xml:space="preserve">9.30% to ₦136 and Access Holdings </w:t>
      </w:r>
      <w:r>
        <w:rPr>
          <w:b/>
          <w:color w:val="EE0000"/>
        </w:rPr>
        <w:t>▼</w:t>
      </w:r>
      <w:r>
        <w:t xml:space="preserve">6.67% to ₦28, both underperforming the Banking Index at </w:t>
      </w:r>
      <w:r>
        <w:rPr>
          <w:b/>
          <w:color w:val="EE0000"/>
        </w:rPr>
        <w:t>▼</w:t>
      </w:r>
      <w:r>
        <w:t>4.07%.</w:t>
      </w:r>
    </w:p>
    <w:p w14:paraId="190B223E" w14:textId="77777777" w:rsidR="004851E6" w:rsidRDefault="004851E6" w:rsidP="004851E6">
      <w:pPr>
        <w:pStyle w:val="ListParagraph"/>
        <w:numPr>
          <w:ilvl w:val="0"/>
          <w:numId w:val="7"/>
        </w:numPr>
        <w:spacing w:before="120" w:after="120"/>
      </w:pPr>
      <w:r>
        <w:t xml:space="preserve">Valuation dispersion is extreme. Zenith Bank trades at 9.4x against </w:t>
      </w:r>
      <w:r>
        <w:rPr>
          <w:b/>
          <w:color w:val="00B050"/>
        </w:rPr>
        <w:t>▲</w:t>
      </w:r>
      <w:r>
        <w:t xml:space="preserve">93% YTD and Access at 10.3x, while Nestlé at 67.8x fell </w:t>
      </w:r>
      <w:r>
        <w:rPr>
          <w:b/>
          <w:color w:val="EE0000"/>
        </w:rPr>
        <w:t>▼</w:t>
      </w:r>
      <w:r>
        <w:t>6.51%. Four names closed flat, including MTN Nigeria and Dangote Cement.</w:t>
      </w:r>
    </w:p>
    <w:p w14:paraId="1691D8D3" w14:textId="758A4A30" w:rsidR="00631ED0" w:rsidRPr="004851E6" w:rsidRDefault="004851E6" w:rsidP="004851E6">
      <w:pPr>
        <w:pStyle w:val="ListParagraph"/>
        <w:numPr>
          <w:ilvl w:val="0"/>
          <w:numId w:val="7"/>
        </w:numPr>
        <w:spacing w:before="120" w:after="120"/>
      </w:pPr>
      <w:r>
        <w:rPr>
          <w:color w:val="000000"/>
        </w:rPr>
        <w:t>NM denotes a P/E above 100x, which reflects a depressed trailing earnings base and is not economically meaningful. MTN Nigeria and Dangote Cement are shown as NM; the underlying NGX file reports 79,707.2x and 1,644.1x respectively.</w:t>
      </w:r>
    </w:p>
    <w:p w14:paraId="7437CDB9" w14:textId="77777777" w:rsidR="00631ED0" w:rsidRDefault="00631ED0">
      <w:pPr>
        <w:rPr>
          <w:color w:val="444444"/>
        </w:rPr>
      </w:pPr>
      <w:r>
        <w:rPr>
          <w:color w:val="444444"/>
        </w:rPr>
        <w:br w:type="page"/>
      </w:r>
    </w:p>
    <w:p w14:paraId="1BDC1F74" w14:textId="77777777" w:rsidR="00631ED0" w:rsidRPr="00BB4BAD" w:rsidRDefault="00631ED0" w:rsidP="00631ED0">
      <w:pPr>
        <w:spacing w:before="180" w:after="80"/>
        <w:rPr>
          <w:b/>
          <w:bCs/>
          <w:color w:val="0C3512" w:themeColor="accent3" w:themeShade="80"/>
          <w:sz w:val="22"/>
          <w:szCs w:val="22"/>
        </w:rPr>
      </w:pPr>
      <w:r>
        <w:rPr>
          <w:b/>
          <w:bCs/>
          <w:color w:val="0C3512" w:themeColor="accent3" w:themeShade="80"/>
          <w:sz w:val="22"/>
          <w:szCs w:val="22"/>
        </w:rPr>
        <w:lastRenderedPageBreak/>
        <w:t>NGX Large Cap: Derived Market Capitalisation, YTD Performance and Sector</w:t>
      </w:r>
    </w:p>
    <w:p w14:paraId="2C2ABF26" w14:textId="3F31CD87" w:rsidR="004851E6" w:rsidRPr="004851E6" w:rsidRDefault="004851E6" w:rsidP="004851E6">
      <w:pPr>
        <w:spacing w:before="180" w:after="80"/>
        <w:rPr>
          <w:noProof/>
        </w:rPr>
      </w:pPr>
      <w:r>
        <w:rPr>
          <w:noProof/>
        </w:rPr>
        <w:drawing>
          <wp:inline distT="0" distB="0" distL="0" distR="0" wp14:anchorId="4F9898CD" wp14:editId="671B8111">
            <wp:extent cx="6172200" cy="4402455"/>
            <wp:effectExtent l="0" t="0" r="0" b="0"/>
            <wp:docPr id="358314515" name="Picture 3" descr="The diagram is a bar chart comparing the share counts of various telecom, industrial, consumer goods, oil and gas, and banking companies, with different colors indicating gains or losses since January 1.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4515" name="Picture 3" descr="The diagram is a bar chart comparing the share counts of various telecom, industrial, consumer goods, oil and gas, and banking companies, with different colors indicating gains or losses since January 1.  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4402455"/>
                    </a:xfrm>
                    <a:prstGeom prst="rect">
                      <a:avLst/>
                    </a:prstGeom>
                    <a:noFill/>
                    <a:ln>
                      <a:noFill/>
                    </a:ln>
                  </pic:spPr>
                </pic:pic>
              </a:graphicData>
            </a:graphic>
          </wp:inline>
        </w:drawing>
      </w:r>
    </w:p>
    <w:p w14:paraId="74B5BFB7" w14:textId="159737D8" w:rsidR="00D74DC4" w:rsidRDefault="00D74DC4" w:rsidP="00D74DC4">
      <w:pPr>
        <w:spacing w:before="180" w:after="80"/>
      </w:pPr>
      <w:r>
        <w:rPr>
          <w:b/>
          <w:bCs/>
          <w:color w:val="1A5C4E"/>
          <w:sz w:val="22"/>
          <w:szCs w:val="22"/>
        </w:rPr>
        <w:t>Market Movers Commentary</w:t>
      </w:r>
    </w:p>
    <w:p w14:paraId="28DDA2FD" w14:textId="77777777" w:rsidR="004851E6" w:rsidRPr="004851E6" w:rsidRDefault="004851E6" w:rsidP="004851E6">
      <w:pPr>
        <w:rPr>
          <w:color w:val="auto"/>
        </w:rPr>
      </w:pPr>
      <w:r>
        <w:t>Airtel Africa held ₦23.68tn, unchanged at ₦6,300.00 for a third consecutive week, and remains the most capitalised stock on the NGX by a ₦6.23tn margin. Dangote Cement retained second at ₦17.45tn, flat at ₦1,034.00 for a sixth consecutive week, while MTN Nigeria closed at ₦17.28tn, unchanged at ₦813.00, narrowing the gap to Dangote Cement to ₦0.17tn. Capitalisations are derived by applying 11 Sep 2026 closes to share counts implied by the NGX P/E file, other than Airtel, MTN, BUA Foods and GTCO, which are the published figures. The prior week's chart applied an MTN close of ₦808.00 while the NGX movers file reports ₦813.00 for 04 Sep, so the ₦0.11tn week on week change in MTN's capitalisation reflects that ₦5.00 difference in the prior-week base rather than a price move during the week.</w:t>
      </w:r>
    </w:p>
    <w:p w14:paraId="59C2997A" w14:textId="77777777" w:rsidR="004851E6" w:rsidRPr="004851E6" w:rsidRDefault="004851E6" w:rsidP="004851E6">
      <w:pPr>
        <w:rPr>
          <w:color w:val="auto"/>
        </w:rPr>
      </w:pPr>
    </w:p>
    <w:p w14:paraId="1986C7CC" w14:textId="77777777" w:rsidR="004851E6" w:rsidRPr="004851E6" w:rsidRDefault="004851E6" w:rsidP="004851E6">
      <w:pPr>
        <w:pStyle w:val="ListParagraph"/>
        <w:numPr>
          <w:ilvl w:val="0"/>
          <w:numId w:val="29"/>
        </w:numPr>
        <w:rPr>
          <w:color w:val="auto"/>
        </w:rPr>
      </w:pPr>
      <w:r>
        <w:rPr>
          <w:color w:val="auto"/>
        </w:rPr>
        <w:t>Telecoms (blue): Airtel Africa ₦23.68tn at ₦6,300.00 (</w:t>
      </w:r>
      <w:r>
        <w:rPr>
          <w:b/>
          <w:color w:val="00B050"/>
        </w:rPr>
        <w:t>▲</w:t>
      </w:r>
      <w:r>
        <w:rPr>
          <w:color w:val="auto"/>
        </w:rPr>
        <w:t xml:space="preserve"> +178% YTD), flat on 78,365 shares; MTNN ₦17.28tn at ₦813.00 (</w:t>
      </w:r>
      <w:r>
        <w:rPr>
          <w:b/>
          <w:color w:val="00B050"/>
        </w:rPr>
        <w:t>▲</w:t>
      </w:r>
      <w:r>
        <w:rPr>
          <w:color w:val="auto"/>
        </w:rPr>
        <w:t xml:space="preserve"> +59% YTD), flat on 12.37m shares and ₦10.14bn traded.</w:t>
      </w:r>
    </w:p>
    <w:p w14:paraId="62AB94DB" w14:textId="77777777" w:rsidR="004851E6" w:rsidRPr="004851E6" w:rsidRDefault="004851E6" w:rsidP="004851E6">
      <w:pPr>
        <w:rPr>
          <w:color w:val="auto"/>
        </w:rPr>
      </w:pPr>
    </w:p>
    <w:p w14:paraId="6B7A74CA" w14:textId="77777777" w:rsidR="004851E6" w:rsidRPr="004851E6" w:rsidRDefault="004851E6" w:rsidP="004851E6">
      <w:pPr>
        <w:pStyle w:val="ListParagraph"/>
        <w:numPr>
          <w:ilvl w:val="0"/>
          <w:numId w:val="29"/>
        </w:numPr>
        <w:rPr>
          <w:color w:val="auto"/>
        </w:rPr>
      </w:pPr>
      <w:r>
        <w:rPr>
          <w:color w:val="auto"/>
        </w:rPr>
        <w:t>Industrial (green): Dangote Cement ₦17.45tn, unchanged at ₦1,034.00 (</w:t>
      </w:r>
      <w:r>
        <w:rPr>
          <w:b/>
          <w:color w:val="00B050"/>
        </w:rPr>
        <w:t>▲</w:t>
      </w:r>
      <w:r>
        <w:rPr>
          <w:color w:val="auto"/>
        </w:rPr>
        <w:t xml:space="preserve"> +70% YTD) on 2.54m shares, against an Industrial Goods Index down </w:t>
      </w:r>
      <w:r>
        <w:rPr>
          <w:b/>
          <w:color w:val="EE0000"/>
        </w:rPr>
        <w:t>▼</w:t>
      </w:r>
      <w:r>
        <w:rPr>
          <w:color w:val="auto"/>
        </w:rPr>
        <w:t xml:space="preserve"> 3.36% WoW.</w:t>
      </w:r>
    </w:p>
    <w:p w14:paraId="53DF646A" w14:textId="77777777" w:rsidR="004851E6" w:rsidRPr="004851E6" w:rsidRDefault="004851E6" w:rsidP="004851E6">
      <w:pPr>
        <w:rPr>
          <w:color w:val="auto"/>
        </w:rPr>
      </w:pPr>
    </w:p>
    <w:p w14:paraId="3C1C1A3D" w14:textId="77777777" w:rsidR="004851E6" w:rsidRPr="004851E6" w:rsidRDefault="004851E6" w:rsidP="004851E6">
      <w:pPr>
        <w:pStyle w:val="ListParagraph"/>
        <w:numPr>
          <w:ilvl w:val="0"/>
          <w:numId w:val="29"/>
        </w:numPr>
        <w:rPr>
          <w:color w:val="auto"/>
        </w:rPr>
      </w:pPr>
      <w:r>
        <w:rPr>
          <w:color w:val="auto"/>
        </w:rPr>
        <w:t xml:space="preserve">Consumer goods (pink): BUA Foods ₦13.69tn at ₦760.60, unchanged for a fourth week and still the only large cap negative YTD at </w:t>
      </w:r>
      <w:r>
        <w:rPr>
          <w:b/>
          <w:color w:val="EE0000"/>
        </w:rPr>
        <w:t>▼</w:t>
      </w:r>
      <w:r>
        <w:rPr>
          <w:color w:val="auto"/>
        </w:rPr>
        <w:t xml:space="preserve"> 5%. Nestlé ₦2.22tn at ₦2,800.00 (</w:t>
      </w:r>
      <w:r>
        <w:rPr>
          <w:b/>
          <w:color w:val="EE0000"/>
        </w:rPr>
        <w:t>▼</w:t>
      </w:r>
      <w:r>
        <w:rPr>
          <w:color w:val="auto"/>
        </w:rPr>
        <w:t xml:space="preserve"> 6.51%, 67.8x), lagging the Consumer Goods Index at </w:t>
      </w:r>
      <w:r>
        <w:rPr>
          <w:b/>
          <w:color w:val="EE0000"/>
        </w:rPr>
        <w:t>▼</w:t>
      </w:r>
      <w:r>
        <w:rPr>
          <w:color w:val="auto"/>
        </w:rPr>
        <w:t xml:space="preserve"> 2.55%.</w:t>
      </w:r>
    </w:p>
    <w:p w14:paraId="1D2766EF" w14:textId="77777777" w:rsidR="004851E6" w:rsidRPr="004851E6" w:rsidRDefault="004851E6" w:rsidP="004851E6">
      <w:pPr>
        <w:rPr>
          <w:color w:val="auto"/>
        </w:rPr>
      </w:pPr>
    </w:p>
    <w:p w14:paraId="0BA4B153" w14:textId="77777777" w:rsidR="004851E6" w:rsidRPr="004851E6" w:rsidRDefault="004851E6" w:rsidP="004851E6">
      <w:pPr>
        <w:pStyle w:val="ListParagraph"/>
        <w:numPr>
          <w:ilvl w:val="0"/>
          <w:numId w:val="29"/>
        </w:numPr>
        <w:rPr>
          <w:color w:val="auto"/>
        </w:rPr>
      </w:pPr>
      <w:r>
        <w:rPr>
          <w:color w:val="auto"/>
        </w:rPr>
        <w:t xml:space="preserve">Oil and gas (amber): Seplat ₦8.94tn at ₦14,907.80 after a second </w:t>
      </w:r>
      <w:r>
        <w:rPr>
          <w:b/>
          <w:color w:val="00B050"/>
        </w:rPr>
        <w:t>▲</w:t>
      </w:r>
      <w:r>
        <w:rPr>
          <w:color w:val="auto"/>
        </w:rPr>
        <w:t xml:space="preserve"> +10.00% limit up, adding ₦0.81tn of capitalisation on 396,067 shares (</w:t>
      </w:r>
      <w:r>
        <w:rPr>
          <w:b/>
          <w:color w:val="00B050"/>
        </w:rPr>
        <w:t>▲</w:t>
      </w:r>
      <w:r>
        <w:rPr>
          <w:color w:val="auto"/>
        </w:rPr>
        <w:t xml:space="preserve"> +166% YTD, 70.1x).</w:t>
      </w:r>
    </w:p>
    <w:p w14:paraId="4833701A" w14:textId="77777777" w:rsidR="004851E6" w:rsidRPr="004851E6" w:rsidRDefault="004851E6" w:rsidP="004851E6">
      <w:pPr>
        <w:rPr>
          <w:color w:val="auto"/>
        </w:rPr>
      </w:pPr>
    </w:p>
    <w:p w14:paraId="78608310" w14:textId="77777777" w:rsidR="004851E6" w:rsidRPr="004851E6" w:rsidRDefault="004851E6" w:rsidP="004851E6">
      <w:pPr>
        <w:pStyle w:val="ListParagraph"/>
        <w:numPr>
          <w:ilvl w:val="0"/>
          <w:numId w:val="29"/>
        </w:numPr>
        <w:rPr>
          <w:color w:val="auto"/>
        </w:rPr>
      </w:pPr>
      <w:r>
        <w:rPr>
          <w:color w:val="auto"/>
        </w:rPr>
        <w:lastRenderedPageBreak/>
        <w:t>Banking (purple): First HoldCo ₦6.41tn at ₦136.00 (</w:t>
      </w:r>
      <w:r>
        <w:rPr>
          <w:b/>
          <w:color w:val="EE0000"/>
        </w:rPr>
        <w:t>▼</w:t>
      </w:r>
      <w:r>
        <w:rPr>
          <w:color w:val="auto"/>
        </w:rPr>
        <w:t xml:space="preserve"> 9.30% WoW, </w:t>
      </w:r>
      <w:r>
        <w:rPr>
          <w:b/>
          <w:color w:val="00B050"/>
        </w:rPr>
        <w:t>▲</w:t>
      </w:r>
      <w:r>
        <w:rPr>
          <w:color w:val="auto"/>
        </w:rPr>
        <w:t xml:space="preserve"> +179% YTD, 58.4x); Zenith ₦5.19tn at ₦124.50 (</w:t>
      </w:r>
      <w:r>
        <w:rPr>
          <w:b/>
          <w:color w:val="EE0000"/>
        </w:rPr>
        <w:t>▼</w:t>
      </w:r>
      <w:r>
        <w:rPr>
          <w:color w:val="auto"/>
        </w:rPr>
        <w:t xml:space="preserve"> 3.19%, 9.4x); GTCO ₦4.75tn at ₦129.90 (</w:t>
      </w:r>
      <w:r>
        <w:rPr>
          <w:b/>
          <w:color w:val="EE0000"/>
        </w:rPr>
        <w:t>▼</w:t>
      </w:r>
      <w:r>
        <w:rPr>
          <w:color w:val="auto"/>
        </w:rPr>
        <w:t xml:space="preserve"> 2.11%, 18.3x); Access ₦1.49tn at ₦28.00 (</w:t>
      </w:r>
      <w:r>
        <w:rPr>
          <w:b/>
          <w:color w:val="EE0000"/>
        </w:rPr>
        <w:t>▼</w:t>
      </w:r>
      <w:r>
        <w:rPr>
          <w:color w:val="auto"/>
        </w:rPr>
        <w:t xml:space="preserve"> 6.67%, 10.3x).</w:t>
      </w:r>
    </w:p>
    <w:p w14:paraId="2990F30D" w14:textId="77777777" w:rsidR="004851E6" w:rsidRPr="004851E6" w:rsidRDefault="004851E6" w:rsidP="004851E6">
      <w:pPr>
        <w:rPr>
          <w:color w:val="auto"/>
        </w:rPr>
      </w:pPr>
    </w:p>
    <w:p w14:paraId="4B79D959" w14:textId="38C9057A" w:rsidR="000B07AB" w:rsidRPr="00CB50FD" w:rsidRDefault="004851E6" w:rsidP="004851E6">
      <w:pPr>
        <w:rPr>
          <w:color w:val="auto"/>
        </w:rPr>
      </w:pPr>
      <w:r>
        <w:t xml:space="preserve">Leadership narrowed sharply against last week. One of the ten names rose, four were flat and five fell, versus nine flat or higher a week ago, and aggregate capitalisation across the ten slipped ₦0.23tn to ₦101.10tn. The composition is the story: Seplat added ₦0.81tn and MTN ₦0.11tn, while the four banks shed a combined ₦1.00tn and Nestlé ₦0.15tn. First HoldCo alone accounted for ₦0.66tn of that, its </w:t>
      </w:r>
      <w:r>
        <w:rPr>
          <w:b/>
          <w:color w:val="EE0000"/>
        </w:rPr>
        <w:t>▼</w:t>
      </w:r>
      <w:r>
        <w:t xml:space="preserve"> 9.30% fall reversing the prior week's advance as investors appear to have raised liquidity ahead of the ₦2.15tn Dangote Refinery subscription opening 14 Sep. The valuation spread persists even after the selloff, First HoldCo at 58.4x against Zenith at 9.4x on the same NGX earnings basis. Airtel Africa's ₦23.68tn ranking rests on 78,365 shares traded for the week, so its index weight continues to outrun its weekly liquidity, and Seplat's ₦8.94tn now sits within ₦1.53tn of overtaking First HoldCo and Zenith combined on capitalisation while trading a fraction of their volume.</w:t>
      </w:r>
    </w:p>
    <w:p w14:paraId="1C9402B3" w14:textId="77777777" w:rsidR="00C06B25" w:rsidRPr="008A09F9" w:rsidRDefault="00CB3E7C" w:rsidP="006D1E78">
      <w:pPr>
        <w:shd w:val="clear" w:color="auto" w:fill="1A5C4E"/>
        <w:spacing w:before="280" w:after="120"/>
        <w:rPr>
          <w:b/>
          <w:bCs/>
          <w:color w:val="D6EDF0"/>
          <w:sz w:val="22"/>
          <w:szCs w:val="22"/>
        </w:rPr>
      </w:pPr>
      <w:r>
        <w:rPr>
          <w:b/>
          <w:bCs/>
          <w:color w:val="D6EDF0"/>
          <w:sz w:val="22"/>
          <w:szCs w:val="22"/>
        </w:rPr>
        <w:t>SECTION 6  |  NIGERIA — EARNINGS &amp; CORPORATE ACTIONS</w:t>
      </w:r>
    </w:p>
    <w:p w14:paraId="75385EEC" w14:textId="77777777" w:rsidR="00761FD2" w:rsidRDefault="00761FD2" w:rsidP="00761FD2">
      <w:pPr>
        <w:spacing w:before="60" w:after="80"/>
      </w:pPr>
      <w:r>
        <w:rPr>
          <w:b/>
          <w:bCs/>
          <w:color w:val="1A5C38"/>
          <w:sz w:val="22"/>
          <w:szCs w:val="22"/>
        </w:rPr>
        <w:t>Earnings Releases</w:t>
      </w:r>
    </w:p>
    <w:tbl>
      <w:tblPr>
        <w:tblW w:w="9776" w:type="dxa"/>
        <w:tblLayout w:type="fixed"/>
        <w:tblLook w:val="04A0" w:firstRow="1" w:lastRow="0" w:firstColumn="1" w:lastColumn="0" w:noHBand="0" w:noVBand="1"/>
      </w:tblPr>
      <w:tblGrid>
        <w:gridCol w:w="1129"/>
        <w:gridCol w:w="1134"/>
        <w:gridCol w:w="993"/>
        <w:gridCol w:w="992"/>
        <w:gridCol w:w="850"/>
        <w:gridCol w:w="4678"/>
      </w:tblGrid>
      <w:tr w:rsidR="009917D4" w:rsidRPr="00264EBF" w14:paraId="4E720751" w14:textId="77777777" w:rsidTr="009917D4">
        <w:trPr>
          <w:trHeight w:val="600"/>
        </w:trPr>
        <w:tc>
          <w:tcPr>
            <w:tcW w:w="1129" w:type="dxa"/>
            <w:tcBorders>
              <w:top w:val="single" w:sz="4" w:space="0" w:color="BFBFBF"/>
              <w:left w:val="single" w:sz="4" w:space="0" w:color="BFBFBF"/>
              <w:bottom w:val="single" w:sz="4" w:space="0" w:color="BFBFBF"/>
              <w:right w:val="single" w:sz="4" w:space="0" w:color="BFBFBF"/>
            </w:tcBorders>
            <w:shd w:val="clear" w:color="008080" w:fill="1F5C4D"/>
            <w:vAlign w:val="center"/>
            <w:hideMark/>
          </w:tcPr>
          <w:p w14:paraId="1E0CD9CD" w14:textId="77777777" w:rsidR="009917D4" w:rsidRPr="00264EBF" w:rsidRDefault="009917D4" w:rsidP="00264EBF">
            <w:pPr>
              <w:rPr>
                <w:rFonts w:eastAsia="Times New Roman"/>
                <w:b/>
                <w:bCs/>
                <w:color w:val="FFFFFF"/>
              </w:rPr>
            </w:pPr>
            <w:r>
              <w:rPr>
                <w:rFonts w:eastAsia="Times New Roman"/>
                <w:b/>
                <w:bCs/>
                <w:color w:val="FFFFFF"/>
              </w:rPr>
              <w:t>Company</w:t>
            </w:r>
          </w:p>
        </w:tc>
        <w:tc>
          <w:tcPr>
            <w:tcW w:w="1134" w:type="dxa"/>
            <w:tcBorders>
              <w:top w:val="single" w:sz="4" w:space="0" w:color="BFBFBF"/>
              <w:left w:val="nil"/>
              <w:bottom w:val="single" w:sz="4" w:space="0" w:color="BFBFBF"/>
              <w:right w:val="single" w:sz="4" w:space="0" w:color="BFBFBF"/>
            </w:tcBorders>
            <w:shd w:val="clear" w:color="008080" w:fill="1F5C4D"/>
            <w:vAlign w:val="center"/>
            <w:hideMark/>
          </w:tcPr>
          <w:p w14:paraId="6E0C5075" w14:textId="77777777" w:rsidR="009917D4" w:rsidRPr="00264EBF" w:rsidRDefault="009917D4" w:rsidP="00264EBF">
            <w:pPr>
              <w:rPr>
                <w:rFonts w:eastAsia="Times New Roman"/>
                <w:b/>
                <w:bCs/>
                <w:color w:val="FFFFFF"/>
              </w:rPr>
            </w:pPr>
            <w:r>
              <w:rPr>
                <w:rFonts w:eastAsia="Times New Roman"/>
                <w:b/>
                <w:bCs/>
                <w:color w:val="FFFFFF"/>
              </w:rPr>
              <w:t>Period</w:t>
            </w:r>
          </w:p>
        </w:tc>
        <w:tc>
          <w:tcPr>
            <w:tcW w:w="993" w:type="dxa"/>
            <w:tcBorders>
              <w:top w:val="single" w:sz="4" w:space="0" w:color="BFBFBF"/>
              <w:left w:val="nil"/>
              <w:bottom w:val="single" w:sz="4" w:space="0" w:color="BFBFBF"/>
              <w:right w:val="single" w:sz="4" w:space="0" w:color="BFBFBF"/>
            </w:tcBorders>
            <w:shd w:val="clear" w:color="008080" w:fill="1F5C4D"/>
            <w:vAlign w:val="center"/>
            <w:hideMark/>
          </w:tcPr>
          <w:p w14:paraId="6977812D" w14:textId="77777777" w:rsidR="009917D4" w:rsidRPr="00264EBF" w:rsidRDefault="009917D4" w:rsidP="00264EBF">
            <w:pPr>
              <w:rPr>
                <w:rFonts w:eastAsia="Times New Roman"/>
                <w:b/>
                <w:bCs/>
                <w:color w:val="FFFFFF"/>
              </w:rPr>
            </w:pPr>
            <w:r>
              <w:rPr>
                <w:rFonts w:eastAsia="Times New Roman"/>
                <w:b/>
                <w:bCs/>
                <w:color w:val="FFFFFF"/>
              </w:rPr>
              <w:t>Revenue (₦bn)</w:t>
            </w:r>
          </w:p>
        </w:tc>
        <w:tc>
          <w:tcPr>
            <w:tcW w:w="992" w:type="dxa"/>
            <w:tcBorders>
              <w:top w:val="single" w:sz="4" w:space="0" w:color="BFBFBF"/>
              <w:left w:val="nil"/>
              <w:bottom w:val="single" w:sz="4" w:space="0" w:color="BFBFBF"/>
              <w:right w:val="single" w:sz="4" w:space="0" w:color="BFBFBF"/>
            </w:tcBorders>
            <w:shd w:val="clear" w:color="008080" w:fill="1F5C4D"/>
            <w:vAlign w:val="center"/>
            <w:hideMark/>
          </w:tcPr>
          <w:p w14:paraId="28A3921C" w14:textId="77777777" w:rsidR="009917D4" w:rsidRPr="00264EBF" w:rsidRDefault="009917D4" w:rsidP="00264EBF">
            <w:pPr>
              <w:rPr>
                <w:rFonts w:eastAsia="Times New Roman"/>
                <w:b/>
                <w:bCs/>
                <w:color w:val="FFFFFF"/>
              </w:rPr>
            </w:pPr>
            <w:r>
              <w:rPr>
                <w:rFonts w:eastAsia="Times New Roman"/>
                <w:b/>
                <w:bCs/>
                <w:color w:val="FFFFFF"/>
              </w:rPr>
              <w:t>PAT (₦bn)</w:t>
            </w:r>
          </w:p>
        </w:tc>
        <w:tc>
          <w:tcPr>
            <w:tcW w:w="850" w:type="dxa"/>
            <w:tcBorders>
              <w:top w:val="single" w:sz="4" w:space="0" w:color="BFBFBF"/>
              <w:left w:val="nil"/>
              <w:bottom w:val="single" w:sz="4" w:space="0" w:color="BFBFBF"/>
              <w:right w:val="single" w:sz="4" w:space="0" w:color="BFBFBF"/>
            </w:tcBorders>
            <w:shd w:val="clear" w:color="008080" w:fill="1F5C4D"/>
            <w:vAlign w:val="center"/>
            <w:hideMark/>
          </w:tcPr>
          <w:p w14:paraId="26291231" w14:textId="77777777" w:rsidR="009917D4" w:rsidRPr="00264EBF" w:rsidRDefault="009917D4" w:rsidP="00264EBF">
            <w:pPr>
              <w:rPr>
                <w:rFonts w:eastAsia="Times New Roman"/>
                <w:b/>
                <w:bCs/>
                <w:color w:val="FFFFFF"/>
              </w:rPr>
            </w:pPr>
            <w:r>
              <w:rPr>
                <w:rFonts w:eastAsia="Times New Roman"/>
                <w:b/>
                <w:bCs/>
                <w:color w:val="FFFFFF"/>
              </w:rPr>
              <w:t>EPS (₦)</w:t>
            </w:r>
          </w:p>
        </w:tc>
        <w:tc>
          <w:tcPr>
            <w:tcW w:w="4678" w:type="dxa"/>
            <w:tcBorders>
              <w:top w:val="single" w:sz="4" w:space="0" w:color="BFBFBF"/>
              <w:left w:val="nil"/>
              <w:bottom w:val="single" w:sz="4" w:space="0" w:color="BFBFBF"/>
              <w:right w:val="single" w:sz="4" w:space="0" w:color="BFBFBF"/>
            </w:tcBorders>
            <w:shd w:val="clear" w:color="008080" w:fill="1F5C4D"/>
            <w:vAlign w:val="center"/>
            <w:hideMark/>
          </w:tcPr>
          <w:p w14:paraId="10ABA95C" w14:textId="77777777" w:rsidR="009917D4" w:rsidRPr="00264EBF" w:rsidRDefault="009917D4" w:rsidP="00264EBF">
            <w:pPr>
              <w:rPr>
                <w:rFonts w:eastAsia="Times New Roman"/>
                <w:b/>
                <w:bCs/>
                <w:color w:val="FFFFFF"/>
              </w:rPr>
            </w:pPr>
            <w:r>
              <w:rPr>
                <w:rFonts w:eastAsia="Times New Roman"/>
                <w:b/>
                <w:bCs/>
                <w:color w:val="FFFFFF"/>
              </w:rPr>
              <w:t>Analyst Comment</w:t>
            </w:r>
          </w:p>
        </w:tc>
      </w:tr>
      <w:tr w:rsidR="00057AA2" w:rsidRPr="00264EBF" w14:paraId="72246E5F" w14:textId="77777777" w:rsidTr="009917D4">
        <w:trPr>
          <w:trHeight w:val="465"/>
        </w:trPr>
        <w:tc>
          <w:tcPr>
            <w:tcW w:w="1129" w:type="dxa"/>
            <w:tcBorders>
              <w:top w:val="nil"/>
              <w:left w:val="single" w:sz="4" w:space="0" w:color="BFBFBF"/>
              <w:bottom w:val="single" w:sz="4" w:space="0" w:color="BFBFBF"/>
              <w:right w:val="single" w:sz="4" w:space="0" w:color="BFBFBF"/>
            </w:tcBorders>
            <w:hideMark/>
          </w:tcPr>
          <w:p w14:paraId="38595CB7" w14:textId="24C36FAD" w:rsidR="00057AA2" w:rsidRPr="00264EBF" w:rsidRDefault="00057AA2" w:rsidP="00057AA2">
            <w:pPr>
              <w:rPr>
                <w:rFonts w:eastAsia="Times New Roman"/>
                <w:color w:val="auto"/>
                <w:sz w:val="18"/>
                <w:szCs w:val="18"/>
              </w:rPr>
            </w:pPr>
            <w:r>
              <w:rPr>
                <w:sz w:val="18"/>
                <w:szCs w:val="18"/>
              </w:rPr>
              <w:t>PZ Cussons Nigeria</w:t>
            </w:r>
          </w:p>
        </w:tc>
        <w:tc>
          <w:tcPr>
            <w:tcW w:w="1134" w:type="dxa"/>
            <w:tcBorders>
              <w:top w:val="nil"/>
              <w:left w:val="nil"/>
              <w:bottom w:val="single" w:sz="4" w:space="0" w:color="BFBFBF"/>
              <w:right w:val="single" w:sz="4" w:space="0" w:color="BFBFBF"/>
            </w:tcBorders>
            <w:noWrap/>
            <w:hideMark/>
          </w:tcPr>
          <w:p w14:paraId="5746B65D" w14:textId="2B5AA7EC" w:rsidR="00057AA2" w:rsidRPr="00CB50FD" w:rsidRDefault="00057AA2" w:rsidP="00057AA2">
            <w:pPr>
              <w:rPr>
                <w:sz w:val="18"/>
                <w:szCs w:val="18"/>
              </w:rPr>
            </w:pPr>
            <w:r>
              <w:rPr>
                <w:sz w:val="18"/>
                <w:szCs w:val="18"/>
              </w:rPr>
              <w:t>FY2026 audited (YE 31 May 2026)</w:t>
            </w:r>
          </w:p>
        </w:tc>
        <w:tc>
          <w:tcPr>
            <w:tcW w:w="993" w:type="dxa"/>
            <w:tcBorders>
              <w:top w:val="nil"/>
              <w:left w:val="nil"/>
              <w:bottom w:val="single" w:sz="4" w:space="0" w:color="BFBFBF"/>
              <w:right w:val="single" w:sz="4" w:space="0" w:color="BFBFBF"/>
            </w:tcBorders>
            <w:noWrap/>
            <w:hideMark/>
          </w:tcPr>
          <w:p w14:paraId="4ECEFE7A" w14:textId="2FE7E583" w:rsidR="00057AA2" w:rsidRPr="00264EBF" w:rsidRDefault="00057AA2" w:rsidP="00057AA2">
            <w:pPr>
              <w:jc w:val="right"/>
              <w:rPr>
                <w:rFonts w:eastAsia="Times New Roman"/>
                <w:color w:val="auto"/>
                <w:sz w:val="18"/>
                <w:szCs w:val="18"/>
              </w:rPr>
            </w:pPr>
            <w:r>
              <w:rPr>
                <w:sz w:val="18"/>
                <w:szCs w:val="18"/>
              </w:rPr>
              <w:t>260.46</w:t>
            </w:r>
          </w:p>
        </w:tc>
        <w:tc>
          <w:tcPr>
            <w:tcW w:w="992" w:type="dxa"/>
            <w:tcBorders>
              <w:top w:val="nil"/>
              <w:left w:val="nil"/>
              <w:bottom w:val="single" w:sz="4" w:space="0" w:color="BFBFBF"/>
              <w:right w:val="single" w:sz="4" w:space="0" w:color="BFBFBF"/>
            </w:tcBorders>
            <w:noWrap/>
            <w:hideMark/>
          </w:tcPr>
          <w:p w14:paraId="76056F59" w14:textId="73A35164" w:rsidR="00057AA2" w:rsidRPr="00264EBF" w:rsidRDefault="00057AA2" w:rsidP="00057AA2">
            <w:pPr>
              <w:jc w:val="right"/>
              <w:rPr>
                <w:rFonts w:eastAsia="Times New Roman"/>
                <w:color w:val="auto"/>
                <w:sz w:val="18"/>
                <w:szCs w:val="18"/>
              </w:rPr>
            </w:pPr>
            <w:r>
              <w:rPr>
                <w:sz w:val="18"/>
                <w:szCs w:val="18"/>
              </w:rPr>
              <w:t>45.17</w:t>
            </w:r>
          </w:p>
        </w:tc>
        <w:tc>
          <w:tcPr>
            <w:tcW w:w="850" w:type="dxa"/>
            <w:tcBorders>
              <w:top w:val="nil"/>
              <w:left w:val="nil"/>
              <w:bottom w:val="single" w:sz="4" w:space="0" w:color="BFBFBF"/>
              <w:right w:val="single" w:sz="4" w:space="0" w:color="BFBFBF"/>
            </w:tcBorders>
            <w:noWrap/>
            <w:hideMark/>
          </w:tcPr>
          <w:p w14:paraId="498DB227" w14:textId="657F7D66" w:rsidR="00057AA2" w:rsidRPr="00264EBF" w:rsidRDefault="00057AA2" w:rsidP="00057AA2">
            <w:pPr>
              <w:jc w:val="right"/>
              <w:rPr>
                <w:rFonts w:eastAsia="Times New Roman"/>
                <w:color w:val="auto"/>
                <w:sz w:val="18"/>
                <w:szCs w:val="18"/>
              </w:rPr>
            </w:pPr>
            <w:r>
              <w:rPr>
                <w:sz w:val="18"/>
                <w:szCs w:val="18"/>
              </w:rPr>
              <w:t>10.87</w:t>
            </w:r>
          </w:p>
        </w:tc>
        <w:tc>
          <w:tcPr>
            <w:tcW w:w="4678" w:type="dxa"/>
            <w:tcBorders>
              <w:top w:val="nil"/>
              <w:left w:val="nil"/>
              <w:bottom w:val="single" w:sz="4" w:space="0" w:color="BFBFBF"/>
              <w:right w:val="single" w:sz="4" w:space="0" w:color="BFBFBF"/>
            </w:tcBorders>
            <w:hideMark/>
          </w:tcPr>
          <w:p w14:paraId="5BF84FB8" w14:textId="3573BAC0" w:rsidR="00057AA2" w:rsidRPr="003C178D" w:rsidRDefault="00057AA2" w:rsidP="00057AA2">
            <w:pPr>
              <w:rPr>
                <w:rFonts w:eastAsia="Times New Roman"/>
                <w:color w:val="auto"/>
                <w:sz w:val="18"/>
                <w:szCs w:val="18"/>
              </w:rPr>
            </w:pPr>
            <w:r>
              <w:rPr>
                <w:color w:val="auto"/>
                <w:sz w:val="18"/>
                <w:szCs w:val="18"/>
              </w:rPr>
              <w:t>Audited full year. Revenue up 22% YoY from ₦212.63bn. PBT up 364.08% to ₦77.32bn. PAT up 348.7% from ₦10.07bn. EPS ₦10.87 from ₦2.32. Equity swings positive to ₦66.64bn from negative ₦17.34bn. First dividend since 2022 at ₦2.50, total payout ₦9.93bn. Analyst estimate: excluding the identified non-recurring asset disposal gain and applying the reported 41.6% effective tax rate, adjusted PAT is approximately ₦22.6bn and adjusted EPS approximately ₦5.20.</w:t>
            </w:r>
          </w:p>
        </w:tc>
      </w:tr>
      <w:tr w:rsidR="00057AA2" w:rsidRPr="00264EBF" w14:paraId="7DCE9571" w14:textId="77777777" w:rsidTr="009917D4">
        <w:trPr>
          <w:trHeight w:val="285"/>
        </w:trPr>
        <w:tc>
          <w:tcPr>
            <w:tcW w:w="1129" w:type="dxa"/>
            <w:tcBorders>
              <w:top w:val="nil"/>
              <w:left w:val="single" w:sz="4" w:space="0" w:color="BFBFBF"/>
              <w:bottom w:val="single" w:sz="4" w:space="0" w:color="BFBFBF"/>
              <w:right w:val="single" w:sz="4" w:space="0" w:color="BFBFBF"/>
            </w:tcBorders>
            <w:hideMark/>
          </w:tcPr>
          <w:p w14:paraId="7AAB3662" w14:textId="55811A39" w:rsidR="00057AA2" w:rsidRPr="00264EBF" w:rsidRDefault="00057AA2" w:rsidP="00057AA2">
            <w:pPr>
              <w:rPr>
                <w:rFonts w:eastAsia="Times New Roman"/>
                <w:color w:val="auto"/>
                <w:sz w:val="18"/>
                <w:szCs w:val="18"/>
              </w:rPr>
            </w:pPr>
            <w:r>
              <w:rPr>
                <w:sz w:val="18"/>
                <w:szCs w:val="18"/>
              </w:rPr>
              <w:t>Nigeria REIT</w:t>
            </w:r>
          </w:p>
        </w:tc>
        <w:tc>
          <w:tcPr>
            <w:tcW w:w="1134" w:type="dxa"/>
            <w:tcBorders>
              <w:top w:val="nil"/>
              <w:left w:val="nil"/>
              <w:bottom w:val="single" w:sz="4" w:space="0" w:color="BFBFBF"/>
              <w:right w:val="single" w:sz="4" w:space="0" w:color="BFBFBF"/>
            </w:tcBorders>
            <w:noWrap/>
            <w:hideMark/>
          </w:tcPr>
          <w:p w14:paraId="155241D1" w14:textId="7AAA03DC" w:rsidR="00057AA2" w:rsidRPr="00CB50FD" w:rsidRDefault="00057AA2" w:rsidP="00057AA2">
            <w:pPr>
              <w:rPr>
                <w:sz w:val="18"/>
                <w:szCs w:val="18"/>
              </w:rPr>
            </w:pPr>
            <w:r>
              <w:rPr>
                <w:sz w:val="18"/>
                <w:szCs w:val="18"/>
              </w:rPr>
              <w:t>H1 2026</w:t>
            </w:r>
          </w:p>
        </w:tc>
        <w:tc>
          <w:tcPr>
            <w:tcW w:w="993" w:type="dxa"/>
            <w:tcBorders>
              <w:top w:val="nil"/>
              <w:left w:val="nil"/>
              <w:bottom w:val="single" w:sz="4" w:space="0" w:color="BFBFBF"/>
              <w:right w:val="single" w:sz="4" w:space="0" w:color="BFBFBF"/>
            </w:tcBorders>
            <w:noWrap/>
            <w:hideMark/>
          </w:tcPr>
          <w:p w14:paraId="0FB3BE47" w14:textId="5D8778F6" w:rsidR="00057AA2" w:rsidRPr="00264EBF" w:rsidRDefault="00057AA2" w:rsidP="00057AA2">
            <w:pPr>
              <w:jc w:val="right"/>
              <w:rPr>
                <w:rFonts w:eastAsia="Times New Roman"/>
                <w:color w:val="auto"/>
                <w:sz w:val="18"/>
                <w:szCs w:val="18"/>
              </w:rPr>
            </w:pPr>
            <w:r>
              <w:rPr>
                <w:sz w:val="18"/>
                <w:szCs w:val="18"/>
              </w:rPr>
              <w:t>7.97</w:t>
            </w:r>
          </w:p>
        </w:tc>
        <w:tc>
          <w:tcPr>
            <w:tcW w:w="992" w:type="dxa"/>
            <w:tcBorders>
              <w:top w:val="nil"/>
              <w:left w:val="nil"/>
              <w:bottom w:val="single" w:sz="4" w:space="0" w:color="BFBFBF"/>
              <w:right w:val="single" w:sz="4" w:space="0" w:color="BFBFBF"/>
            </w:tcBorders>
            <w:noWrap/>
            <w:hideMark/>
          </w:tcPr>
          <w:p w14:paraId="7D976AFA" w14:textId="595489A3" w:rsidR="00057AA2" w:rsidRPr="00264EBF" w:rsidRDefault="00057AA2" w:rsidP="00057AA2">
            <w:pPr>
              <w:jc w:val="right"/>
              <w:rPr>
                <w:rFonts w:eastAsia="Times New Roman"/>
                <w:color w:val="auto"/>
                <w:sz w:val="18"/>
                <w:szCs w:val="18"/>
              </w:rPr>
            </w:pPr>
            <w:r>
              <w:rPr>
                <w:sz w:val="18"/>
                <w:szCs w:val="18"/>
              </w:rPr>
              <w:t>6.05</w:t>
            </w:r>
          </w:p>
        </w:tc>
        <w:tc>
          <w:tcPr>
            <w:tcW w:w="850" w:type="dxa"/>
            <w:tcBorders>
              <w:top w:val="nil"/>
              <w:left w:val="nil"/>
              <w:bottom w:val="single" w:sz="4" w:space="0" w:color="BFBFBF"/>
              <w:right w:val="single" w:sz="4" w:space="0" w:color="BFBFBF"/>
            </w:tcBorders>
            <w:noWrap/>
            <w:hideMark/>
          </w:tcPr>
          <w:p w14:paraId="34EFFA13" w14:textId="4828F2E6" w:rsidR="00057AA2" w:rsidRPr="00264EBF" w:rsidRDefault="00057AA2" w:rsidP="00057AA2">
            <w:pPr>
              <w:jc w:val="right"/>
              <w:rPr>
                <w:rFonts w:eastAsia="Times New Roman"/>
                <w:color w:val="auto"/>
                <w:sz w:val="18"/>
                <w:szCs w:val="18"/>
              </w:rPr>
            </w:pPr>
            <w:r>
              <w:rPr>
                <w:color w:val="auto"/>
                <w:sz w:val="18"/>
                <w:szCs w:val="18"/>
              </w:rPr>
              <w:t>N/A</w:t>
            </w:r>
          </w:p>
        </w:tc>
        <w:tc>
          <w:tcPr>
            <w:tcW w:w="4678" w:type="dxa"/>
            <w:tcBorders>
              <w:top w:val="nil"/>
              <w:left w:val="nil"/>
              <w:bottom w:val="single" w:sz="4" w:space="0" w:color="BFBFBF"/>
              <w:right w:val="single" w:sz="4" w:space="0" w:color="BFBFBF"/>
            </w:tcBorders>
            <w:hideMark/>
          </w:tcPr>
          <w:p w14:paraId="75596B1D" w14:textId="71A1092E" w:rsidR="00057AA2" w:rsidRPr="003C178D" w:rsidRDefault="00057AA2" w:rsidP="00057AA2">
            <w:pPr>
              <w:rPr>
                <w:rFonts w:eastAsia="Times New Roman"/>
                <w:color w:val="auto"/>
                <w:sz w:val="18"/>
                <w:szCs w:val="18"/>
              </w:rPr>
            </w:pPr>
            <w:r>
              <w:rPr>
                <w:color w:val="auto"/>
                <w:sz w:val="18"/>
                <w:szCs w:val="18"/>
              </w:rPr>
              <w:t>Total income up 357.26% YoY to ₦7.97bn from ₦1.74bn. PBT and PAT both ₦6.05bn, up 328.17% from ₦1.41bn. Operating expenses up 481.87% to ₦1.92bn, growing faster than income. Total assets ₦215.83bn, up 9.55% from Dec 2025. Distribution ₦1.72 per unit. Revenue not separately disclosed.</w:t>
            </w:r>
          </w:p>
        </w:tc>
      </w:tr>
      <w:tr w:rsidR="00057AA2" w:rsidRPr="00264EBF" w14:paraId="5D91BE32" w14:textId="77777777" w:rsidTr="009917D4">
        <w:trPr>
          <w:trHeight w:val="465"/>
        </w:trPr>
        <w:tc>
          <w:tcPr>
            <w:tcW w:w="1129" w:type="dxa"/>
            <w:tcBorders>
              <w:top w:val="nil"/>
              <w:left w:val="single" w:sz="4" w:space="0" w:color="BFBFBF"/>
              <w:bottom w:val="single" w:sz="4" w:space="0" w:color="BFBFBF"/>
              <w:right w:val="single" w:sz="4" w:space="0" w:color="BFBFBF"/>
            </w:tcBorders>
            <w:hideMark/>
          </w:tcPr>
          <w:p w14:paraId="79481DF7" w14:textId="36513373" w:rsidR="00057AA2" w:rsidRPr="00264EBF" w:rsidRDefault="00057AA2" w:rsidP="00057AA2">
            <w:pPr>
              <w:rPr>
                <w:rFonts w:eastAsia="Times New Roman"/>
                <w:color w:val="auto"/>
                <w:sz w:val="18"/>
                <w:szCs w:val="18"/>
              </w:rPr>
            </w:pPr>
            <w:r>
              <w:rPr>
                <w:sz w:val="18"/>
                <w:szCs w:val="18"/>
              </w:rPr>
              <w:t>Red Star Express</w:t>
            </w:r>
          </w:p>
        </w:tc>
        <w:tc>
          <w:tcPr>
            <w:tcW w:w="1134" w:type="dxa"/>
            <w:tcBorders>
              <w:top w:val="nil"/>
              <w:left w:val="nil"/>
              <w:bottom w:val="single" w:sz="4" w:space="0" w:color="BFBFBF"/>
              <w:right w:val="single" w:sz="4" w:space="0" w:color="BFBFBF"/>
            </w:tcBorders>
            <w:noWrap/>
            <w:hideMark/>
          </w:tcPr>
          <w:p w14:paraId="5EB27EB2" w14:textId="103C5AB9" w:rsidR="00057AA2" w:rsidRPr="00CB50FD" w:rsidRDefault="00057AA2" w:rsidP="00057AA2">
            <w:pPr>
              <w:rPr>
                <w:sz w:val="18"/>
                <w:szCs w:val="18"/>
              </w:rPr>
            </w:pPr>
            <w:r>
              <w:rPr>
                <w:sz w:val="18"/>
                <w:szCs w:val="18"/>
              </w:rPr>
              <w:t>FY2026 (YE 31 Mar 2026)</w:t>
            </w:r>
          </w:p>
        </w:tc>
        <w:tc>
          <w:tcPr>
            <w:tcW w:w="993" w:type="dxa"/>
            <w:tcBorders>
              <w:top w:val="nil"/>
              <w:left w:val="nil"/>
              <w:bottom w:val="single" w:sz="4" w:space="0" w:color="BFBFBF"/>
              <w:right w:val="single" w:sz="4" w:space="0" w:color="BFBFBF"/>
            </w:tcBorders>
            <w:noWrap/>
            <w:hideMark/>
          </w:tcPr>
          <w:p w14:paraId="00B35726" w14:textId="6C9ED226" w:rsidR="00057AA2" w:rsidRPr="00264EBF" w:rsidRDefault="00057AA2" w:rsidP="00057AA2">
            <w:pPr>
              <w:jc w:val="right"/>
              <w:rPr>
                <w:rFonts w:eastAsia="Times New Roman"/>
                <w:color w:val="auto"/>
                <w:sz w:val="18"/>
                <w:szCs w:val="18"/>
              </w:rPr>
            </w:pPr>
            <w:r>
              <w:rPr>
                <w:sz w:val="18"/>
                <w:szCs w:val="18"/>
              </w:rPr>
              <w:t>23.49</w:t>
            </w:r>
          </w:p>
        </w:tc>
        <w:tc>
          <w:tcPr>
            <w:tcW w:w="992" w:type="dxa"/>
            <w:tcBorders>
              <w:top w:val="nil"/>
              <w:left w:val="nil"/>
              <w:bottom w:val="single" w:sz="4" w:space="0" w:color="BFBFBF"/>
              <w:right w:val="single" w:sz="4" w:space="0" w:color="BFBFBF"/>
            </w:tcBorders>
            <w:noWrap/>
            <w:hideMark/>
          </w:tcPr>
          <w:p w14:paraId="7B22F02B" w14:textId="6D853B8B" w:rsidR="00057AA2" w:rsidRPr="00264EBF" w:rsidRDefault="00057AA2" w:rsidP="00057AA2">
            <w:pPr>
              <w:jc w:val="right"/>
              <w:rPr>
                <w:rFonts w:eastAsia="Times New Roman"/>
                <w:color w:val="auto"/>
                <w:sz w:val="18"/>
                <w:szCs w:val="18"/>
              </w:rPr>
            </w:pPr>
            <w:r>
              <w:rPr>
                <w:sz w:val="18"/>
                <w:szCs w:val="18"/>
              </w:rPr>
              <w:t>0.585</w:t>
            </w:r>
          </w:p>
        </w:tc>
        <w:tc>
          <w:tcPr>
            <w:tcW w:w="850" w:type="dxa"/>
            <w:tcBorders>
              <w:top w:val="nil"/>
              <w:left w:val="nil"/>
              <w:bottom w:val="single" w:sz="4" w:space="0" w:color="BFBFBF"/>
              <w:right w:val="single" w:sz="4" w:space="0" w:color="BFBFBF"/>
            </w:tcBorders>
            <w:noWrap/>
            <w:hideMark/>
          </w:tcPr>
          <w:p w14:paraId="066497A3" w14:textId="5756C6EA" w:rsidR="00057AA2" w:rsidRPr="00264EBF" w:rsidRDefault="00057AA2" w:rsidP="00057AA2">
            <w:pPr>
              <w:jc w:val="right"/>
              <w:rPr>
                <w:rFonts w:eastAsia="Times New Roman"/>
                <w:color w:val="auto"/>
                <w:sz w:val="18"/>
                <w:szCs w:val="18"/>
              </w:rPr>
            </w:pPr>
            <w:r>
              <w:rPr>
                <w:sz w:val="18"/>
                <w:szCs w:val="18"/>
              </w:rPr>
              <w:t>0.61</w:t>
            </w:r>
          </w:p>
        </w:tc>
        <w:tc>
          <w:tcPr>
            <w:tcW w:w="4678" w:type="dxa"/>
            <w:tcBorders>
              <w:top w:val="nil"/>
              <w:left w:val="nil"/>
              <w:bottom w:val="single" w:sz="4" w:space="0" w:color="BFBFBF"/>
              <w:right w:val="single" w:sz="4" w:space="0" w:color="BFBFBF"/>
            </w:tcBorders>
            <w:hideMark/>
          </w:tcPr>
          <w:p w14:paraId="5C1A0A86" w14:textId="7655E65A" w:rsidR="00057AA2" w:rsidRPr="003C178D" w:rsidRDefault="00057AA2" w:rsidP="00057AA2">
            <w:pPr>
              <w:rPr>
                <w:rFonts w:eastAsia="Times New Roman"/>
                <w:color w:val="auto"/>
                <w:sz w:val="18"/>
                <w:szCs w:val="18"/>
              </w:rPr>
            </w:pPr>
            <w:r>
              <w:rPr>
                <w:color w:val="auto"/>
                <w:sz w:val="18"/>
                <w:szCs w:val="18"/>
              </w:rPr>
              <w:t>Revenue up 8.47% YoY from ₦21.66bn. PAT up 7.09% from ₦547m. Retained earnings ₦3.15bn, up 9.16%. EPS ₦0.61 from ₦0.57. Final DPS ₦0.45.</w:t>
            </w:r>
          </w:p>
        </w:tc>
      </w:tr>
    </w:tbl>
    <w:p w14:paraId="4A1223D7" w14:textId="77777777" w:rsidR="007E341C" w:rsidRDefault="007E341C" w:rsidP="008A09F9">
      <w:pPr>
        <w:spacing w:before="60" w:after="80"/>
        <w:rPr>
          <w:b/>
          <w:bCs/>
          <w:color w:val="1A5C38"/>
          <w:sz w:val="22"/>
          <w:szCs w:val="22"/>
        </w:rPr>
      </w:pPr>
    </w:p>
    <w:p w14:paraId="06893FE9" w14:textId="34F5C127" w:rsidR="00C06B25" w:rsidRPr="008A09F9" w:rsidRDefault="00CB3E7C" w:rsidP="008A09F9">
      <w:pPr>
        <w:spacing w:before="60" w:after="80"/>
        <w:rPr>
          <w:b/>
          <w:bCs/>
          <w:color w:val="1A5C38"/>
          <w:sz w:val="22"/>
          <w:szCs w:val="22"/>
        </w:rPr>
      </w:pPr>
      <w:r>
        <w:rPr>
          <w:b/>
          <w:bCs/>
          <w:color w:val="1A5C38"/>
          <w:sz w:val="22"/>
          <w:szCs w:val="22"/>
        </w:rPr>
        <w:t>Dividend Announcements</w:t>
      </w:r>
    </w:p>
    <w:tbl>
      <w:tblPr>
        <w:tblW w:w="5000" w:type="pct"/>
        <w:tblLook w:val="04A0" w:firstRow="1" w:lastRow="0" w:firstColumn="1" w:lastColumn="0" w:noHBand="0" w:noVBand="1"/>
      </w:tblPr>
      <w:tblGrid>
        <w:gridCol w:w="3236"/>
        <w:gridCol w:w="1967"/>
        <w:gridCol w:w="1842"/>
        <w:gridCol w:w="1428"/>
        <w:gridCol w:w="1237"/>
      </w:tblGrid>
      <w:tr w:rsidR="009917D4" w:rsidRPr="009917D4" w14:paraId="75F1D3C8" w14:textId="77777777" w:rsidTr="00BB4BAD">
        <w:trPr>
          <w:trHeight w:val="600"/>
        </w:trPr>
        <w:tc>
          <w:tcPr>
            <w:tcW w:w="1737" w:type="pct"/>
            <w:tcBorders>
              <w:top w:val="single" w:sz="4" w:space="0" w:color="BFBFBF"/>
              <w:left w:val="single" w:sz="4" w:space="0" w:color="BFBFBF"/>
              <w:bottom w:val="single" w:sz="4" w:space="0" w:color="BFBFBF"/>
              <w:right w:val="single" w:sz="4" w:space="0" w:color="BFBFBF"/>
            </w:tcBorders>
            <w:shd w:val="clear" w:color="008080" w:fill="1F5C4D"/>
            <w:vAlign w:val="center"/>
            <w:hideMark/>
          </w:tcPr>
          <w:p w14:paraId="00D70374" w14:textId="77777777" w:rsidR="009917D4" w:rsidRPr="009917D4" w:rsidRDefault="009917D4" w:rsidP="009917D4">
            <w:pPr>
              <w:rPr>
                <w:rFonts w:eastAsia="Times New Roman"/>
                <w:b/>
                <w:bCs/>
                <w:color w:val="FFFFFF"/>
              </w:rPr>
            </w:pPr>
            <w:r>
              <w:rPr>
                <w:rFonts w:eastAsia="Times New Roman"/>
                <w:b/>
                <w:bCs/>
                <w:color w:val="FFFFFF"/>
              </w:rPr>
              <w:t>Company</w:t>
            </w:r>
          </w:p>
        </w:tc>
        <w:tc>
          <w:tcPr>
            <w:tcW w:w="804" w:type="pct"/>
            <w:tcBorders>
              <w:top w:val="single" w:sz="4" w:space="0" w:color="BFBFBF"/>
              <w:left w:val="nil"/>
              <w:bottom w:val="single" w:sz="4" w:space="0" w:color="BFBFBF"/>
              <w:right w:val="single" w:sz="4" w:space="0" w:color="BFBFBF"/>
            </w:tcBorders>
            <w:shd w:val="clear" w:color="008080" w:fill="1F5C4D"/>
            <w:vAlign w:val="center"/>
            <w:hideMark/>
          </w:tcPr>
          <w:p w14:paraId="53AC2A25" w14:textId="77777777" w:rsidR="009917D4" w:rsidRPr="009917D4" w:rsidRDefault="009917D4" w:rsidP="009917D4">
            <w:pPr>
              <w:rPr>
                <w:rFonts w:eastAsia="Times New Roman"/>
                <w:b/>
                <w:bCs/>
                <w:color w:val="FFFFFF"/>
              </w:rPr>
            </w:pPr>
            <w:r>
              <w:rPr>
                <w:rFonts w:eastAsia="Times New Roman"/>
                <w:b/>
                <w:bCs/>
                <w:color w:val="FFFFFF"/>
              </w:rPr>
              <w:t>Type</w:t>
            </w:r>
          </w:p>
        </w:tc>
        <w:tc>
          <w:tcPr>
            <w:tcW w:w="1019" w:type="pct"/>
            <w:tcBorders>
              <w:top w:val="single" w:sz="4" w:space="0" w:color="BFBFBF"/>
              <w:left w:val="nil"/>
              <w:bottom w:val="single" w:sz="4" w:space="0" w:color="BFBFBF"/>
              <w:right w:val="single" w:sz="4" w:space="0" w:color="BFBFBF"/>
            </w:tcBorders>
            <w:shd w:val="clear" w:color="008080" w:fill="1F5C4D"/>
            <w:vAlign w:val="center"/>
            <w:hideMark/>
          </w:tcPr>
          <w:p w14:paraId="0ED99F58" w14:textId="77777777" w:rsidR="009917D4" w:rsidRPr="009917D4" w:rsidRDefault="009917D4" w:rsidP="009917D4">
            <w:pPr>
              <w:rPr>
                <w:rFonts w:eastAsia="Times New Roman"/>
                <w:b/>
                <w:bCs/>
                <w:color w:val="FFFFFF"/>
              </w:rPr>
            </w:pPr>
            <w:r>
              <w:rPr>
                <w:rFonts w:eastAsia="Times New Roman"/>
                <w:b/>
                <w:bCs/>
                <w:color w:val="FFFFFF"/>
              </w:rPr>
              <w:t>DPS (₦)</w:t>
            </w:r>
          </w:p>
        </w:tc>
        <w:tc>
          <w:tcPr>
            <w:tcW w:w="735" w:type="pct"/>
            <w:tcBorders>
              <w:top w:val="single" w:sz="4" w:space="0" w:color="BFBFBF"/>
              <w:left w:val="nil"/>
              <w:bottom w:val="single" w:sz="4" w:space="0" w:color="BFBFBF"/>
              <w:right w:val="single" w:sz="4" w:space="0" w:color="BFBFBF"/>
            </w:tcBorders>
            <w:shd w:val="clear" w:color="008080" w:fill="1F5C4D"/>
            <w:vAlign w:val="center"/>
            <w:hideMark/>
          </w:tcPr>
          <w:p w14:paraId="4DC2A000" w14:textId="77777777" w:rsidR="009917D4" w:rsidRPr="009917D4" w:rsidRDefault="009917D4" w:rsidP="009917D4">
            <w:pPr>
              <w:rPr>
                <w:rFonts w:eastAsia="Times New Roman"/>
                <w:b/>
                <w:bCs/>
                <w:color w:val="FFFFFF"/>
              </w:rPr>
            </w:pPr>
            <w:r>
              <w:rPr>
                <w:rFonts w:eastAsia="Times New Roman"/>
                <w:b/>
                <w:bCs/>
                <w:color w:val="FFFFFF"/>
              </w:rPr>
              <w:t>Qualification Date</w:t>
            </w:r>
          </w:p>
        </w:tc>
        <w:tc>
          <w:tcPr>
            <w:tcW w:w="704" w:type="pct"/>
            <w:tcBorders>
              <w:top w:val="single" w:sz="4" w:space="0" w:color="BFBFBF"/>
              <w:left w:val="nil"/>
              <w:bottom w:val="single" w:sz="4" w:space="0" w:color="BFBFBF"/>
              <w:right w:val="single" w:sz="4" w:space="0" w:color="BFBFBF"/>
            </w:tcBorders>
            <w:shd w:val="clear" w:color="008080" w:fill="1F5C4D"/>
            <w:vAlign w:val="center"/>
            <w:hideMark/>
          </w:tcPr>
          <w:p w14:paraId="3E810035" w14:textId="77777777" w:rsidR="009917D4" w:rsidRPr="009917D4" w:rsidRDefault="009917D4" w:rsidP="009917D4">
            <w:pPr>
              <w:rPr>
                <w:rFonts w:eastAsia="Times New Roman"/>
                <w:b/>
                <w:bCs/>
                <w:color w:val="FFFFFF"/>
              </w:rPr>
            </w:pPr>
            <w:r>
              <w:rPr>
                <w:rFonts w:eastAsia="Times New Roman"/>
                <w:b/>
                <w:bCs/>
                <w:color w:val="FFFFFF"/>
              </w:rPr>
              <w:t>Payment Date</w:t>
            </w:r>
          </w:p>
        </w:tc>
      </w:tr>
      <w:tr w:rsidR="00057AA2" w:rsidRPr="009917D4" w14:paraId="151199E6" w14:textId="77777777" w:rsidTr="00BB4BAD">
        <w:trPr>
          <w:trHeight w:val="285"/>
        </w:trPr>
        <w:tc>
          <w:tcPr>
            <w:tcW w:w="1737" w:type="pct"/>
            <w:tcBorders>
              <w:top w:val="nil"/>
              <w:left w:val="single" w:sz="4" w:space="0" w:color="BFBFBF"/>
              <w:bottom w:val="single" w:sz="4" w:space="0" w:color="BFBFBF"/>
              <w:right w:val="single" w:sz="4" w:space="0" w:color="BFBFBF"/>
            </w:tcBorders>
            <w:hideMark/>
          </w:tcPr>
          <w:p w14:paraId="6AE4C629" w14:textId="65DFF3E6" w:rsidR="00057AA2" w:rsidRPr="009917D4" w:rsidRDefault="00057AA2" w:rsidP="00057AA2">
            <w:pPr>
              <w:rPr>
                <w:rFonts w:eastAsia="Times New Roman"/>
                <w:color w:val="auto"/>
                <w:sz w:val="18"/>
                <w:szCs w:val="18"/>
              </w:rPr>
            </w:pPr>
            <w:r>
              <w:rPr>
                <w:sz w:val="18"/>
                <w:szCs w:val="18"/>
              </w:rPr>
              <w:t>PZ Cussons Nigeria</w:t>
            </w:r>
          </w:p>
        </w:tc>
        <w:tc>
          <w:tcPr>
            <w:tcW w:w="804" w:type="pct"/>
            <w:tcBorders>
              <w:top w:val="nil"/>
              <w:left w:val="nil"/>
              <w:bottom w:val="single" w:sz="4" w:space="0" w:color="BFBFBF"/>
              <w:right w:val="single" w:sz="4" w:space="0" w:color="BFBFBF"/>
            </w:tcBorders>
            <w:noWrap/>
            <w:hideMark/>
          </w:tcPr>
          <w:p w14:paraId="6593035C" w14:textId="23BFB326" w:rsidR="00057AA2" w:rsidRPr="009917D4" w:rsidRDefault="00057AA2" w:rsidP="00057AA2">
            <w:pPr>
              <w:rPr>
                <w:rFonts w:eastAsia="Times New Roman"/>
                <w:color w:val="auto"/>
                <w:sz w:val="18"/>
                <w:szCs w:val="18"/>
              </w:rPr>
            </w:pPr>
            <w:r>
              <w:rPr>
                <w:sz w:val="18"/>
                <w:szCs w:val="18"/>
              </w:rPr>
              <w:t>Final (FY26)</w:t>
            </w:r>
          </w:p>
        </w:tc>
        <w:tc>
          <w:tcPr>
            <w:tcW w:w="1019" w:type="pct"/>
            <w:tcBorders>
              <w:top w:val="nil"/>
              <w:left w:val="nil"/>
              <w:bottom w:val="single" w:sz="4" w:space="0" w:color="BFBFBF"/>
              <w:right w:val="single" w:sz="4" w:space="0" w:color="BFBFBF"/>
            </w:tcBorders>
            <w:noWrap/>
            <w:hideMark/>
          </w:tcPr>
          <w:p w14:paraId="53F4D2FD" w14:textId="51AB351D" w:rsidR="00057AA2" w:rsidRPr="003C178D" w:rsidRDefault="00057AA2" w:rsidP="00057AA2">
            <w:pPr>
              <w:rPr>
                <w:rFonts w:eastAsia="Times New Roman"/>
                <w:color w:val="auto"/>
                <w:sz w:val="18"/>
                <w:szCs w:val="18"/>
              </w:rPr>
            </w:pPr>
            <w:r>
              <w:rPr>
                <w:color w:val="auto"/>
                <w:sz w:val="18"/>
                <w:szCs w:val="18"/>
              </w:rPr>
              <w:t>2.50</w:t>
            </w:r>
          </w:p>
        </w:tc>
        <w:tc>
          <w:tcPr>
            <w:tcW w:w="735" w:type="pct"/>
            <w:tcBorders>
              <w:top w:val="nil"/>
              <w:left w:val="nil"/>
              <w:bottom w:val="single" w:sz="4" w:space="0" w:color="BFBFBF"/>
              <w:right w:val="single" w:sz="4" w:space="0" w:color="BFBFBF"/>
            </w:tcBorders>
            <w:noWrap/>
            <w:hideMark/>
          </w:tcPr>
          <w:p w14:paraId="724F0355" w14:textId="0CCA2D45" w:rsidR="00057AA2" w:rsidRPr="003C178D" w:rsidRDefault="00057AA2" w:rsidP="00057AA2">
            <w:pPr>
              <w:rPr>
                <w:rFonts w:eastAsia="Times New Roman"/>
                <w:color w:val="auto"/>
                <w:sz w:val="18"/>
                <w:szCs w:val="18"/>
              </w:rPr>
            </w:pPr>
            <w:r>
              <w:rPr>
                <w:color w:val="auto"/>
                <w:sz w:val="18"/>
                <w:szCs w:val="18"/>
              </w:rPr>
              <w:t>09 Oct 2026</w:t>
            </w:r>
          </w:p>
        </w:tc>
        <w:tc>
          <w:tcPr>
            <w:tcW w:w="704" w:type="pct"/>
            <w:tcBorders>
              <w:top w:val="nil"/>
              <w:left w:val="nil"/>
              <w:bottom w:val="single" w:sz="4" w:space="0" w:color="BFBFBF"/>
              <w:right w:val="single" w:sz="4" w:space="0" w:color="BFBFBF"/>
            </w:tcBorders>
            <w:noWrap/>
            <w:hideMark/>
          </w:tcPr>
          <w:p w14:paraId="5C3FC266" w14:textId="3D4090B2" w:rsidR="00057AA2" w:rsidRPr="003C178D" w:rsidRDefault="00057AA2" w:rsidP="00057AA2">
            <w:pPr>
              <w:rPr>
                <w:rFonts w:eastAsia="Times New Roman"/>
                <w:color w:val="auto"/>
                <w:sz w:val="18"/>
                <w:szCs w:val="18"/>
              </w:rPr>
            </w:pPr>
            <w:r>
              <w:rPr>
                <w:color w:val="auto"/>
                <w:sz w:val="18"/>
                <w:szCs w:val="18"/>
              </w:rPr>
              <w:t>30 Oct 2026</w:t>
            </w:r>
          </w:p>
        </w:tc>
      </w:tr>
      <w:tr w:rsidR="00057AA2" w:rsidRPr="009917D4" w14:paraId="4DC0646E" w14:textId="77777777" w:rsidTr="00BB4BAD">
        <w:trPr>
          <w:trHeight w:val="285"/>
        </w:trPr>
        <w:tc>
          <w:tcPr>
            <w:tcW w:w="1737" w:type="pct"/>
            <w:tcBorders>
              <w:top w:val="nil"/>
              <w:left w:val="single" w:sz="4" w:space="0" w:color="BFBFBF"/>
              <w:bottom w:val="single" w:sz="4" w:space="0" w:color="BFBFBF"/>
              <w:right w:val="single" w:sz="4" w:space="0" w:color="BFBFBF"/>
            </w:tcBorders>
            <w:hideMark/>
          </w:tcPr>
          <w:p w14:paraId="5F49D409" w14:textId="099476B3" w:rsidR="00057AA2" w:rsidRPr="009917D4" w:rsidRDefault="00057AA2" w:rsidP="00057AA2">
            <w:pPr>
              <w:rPr>
                <w:rFonts w:eastAsia="Times New Roman"/>
                <w:color w:val="auto"/>
                <w:sz w:val="18"/>
                <w:szCs w:val="18"/>
              </w:rPr>
            </w:pPr>
            <w:r>
              <w:rPr>
                <w:sz w:val="18"/>
                <w:szCs w:val="18"/>
              </w:rPr>
              <w:t>The Initiates Plc (TIP)</w:t>
            </w:r>
          </w:p>
        </w:tc>
        <w:tc>
          <w:tcPr>
            <w:tcW w:w="804" w:type="pct"/>
            <w:tcBorders>
              <w:top w:val="nil"/>
              <w:left w:val="nil"/>
              <w:bottom w:val="single" w:sz="4" w:space="0" w:color="BFBFBF"/>
              <w:right w:val="single" w:sz="4" w:space="0" w:color="BFBFBF"/>
            </w:tcBorders>
            <w:noWrap/>
            <w:hideMark/>
          </w:tcPr>
          <w:p w14:paraId="2E58420D" w14:textId="03E899B1" w:rsidR="00057AA2" w:rsidRPr="009917D4" w:rsidRDefault="00057AA2" w:rsidP="00057AA2">
            <w:pPr>
              <w:rPr>
                <w:rFonts w:eastAsia="Times New Roman"/>
                <w:color w:val="auto"/>
                <w:sz w:val="18"/>
                <w:szCs w:val="18"/>
              </w:rPr>
            </w:pPr>
            <w:r>
              <w:rPr>
                <w:sz w:val="18"/>
                <w:szCs w:val="18"/>
              </w:rPr>
              <w:t>Interim (H1 2026)</w:t>
            </w:r>
          </w:p>
        </w:tc>
        <w:tc>
          <w:tcPr>
            <w:tcW w:w="1019" w:type="pct"/>
            <w:tcBorders>
              <w:top w:val="nil"/>
              <w:left w:val="nil"/>
              <w:bottom w:val="single" w:sz="4" w:space="0" w:color="BFBFBF"/>
              <w:right w:val="single" w:sz="4" w:space="0" w:color="BFBFBF"/>
            </w:tcBorders>
            <w:noWrap/>
            <w:hideMark/>
          </w:tcPr>
          <w:p w14:paraId="0AEAABF7" w14:textId="3AC08D9F" w:rsidR="00057AA2" w:rsidRPr="003C178D" w:rsidRDefault="00057AA2" w:rsidP="00057AA2">
            <w:pPr>
              <w:rPr>
                <w:rFonts w:eastAsia="Times New Roman"/>
                <w:color w:val="auto"/>
                <w:sz w:val="18"/>
                <w:szCs w:val="18"/>
              </w:rPr>
            </w:pPr>
            <w:r>
              <w:rPr>
                <w:color w:val="auto"/>
                <w:sz w:val="18"/>
                <w:szCs w:val="18"/>
              </w:rPr>
              <w:t>0.20</w:t>
            </w:r>
          </w:p>
        </w:tc>
        <w:tc>
          <w:tcPr>
            <w:tcW w:w="735" w:type="pct"/>
            <w:tcBorders>
              <w:top w:val="nil"/>
              <w:left w:val="nil"/>
              <w:bottom w:val="single" w:sz="4" w:space="0" w:color="BFBFBF"/>
              <w:right w:val="single" w:sz="4" w:space="0" w:color="BFBFBF"/>
            </w:tcBorders>
            <w:noWrap/>
            <w:hideMark/>
          </w:tcPr>
          <w:p w14:paraId="67D3E1E5" w14:textId="673E1EAA" w:rsidR="00057AA2" w:rsidRPr="003C178D" w:rsidRDefault="00057AA2" w:rsidP="00057AA2">
            <w:pPr>
              <w:rPr>
                <w:rFonts w:eastAsia="Times New Roman"/>
                <w:color w:val="auto"/>
                <w:sz w:val="18"/>
                <w:szCs w:val="18"/>
              </w:rPr>
            </w:pPr>
            <w:r>
              <w:rPr>
                <w:color w:val="auto"/>
                <w:sz w:val="18"/>
                <w:szCs w:val="18"/>
              </w:rPr>
              <w:t>10 Aug 2026</w:t>
            </w:r>
          </w:p>
        </w:tc>
        <w:tc>
          <w:tcPr>
            <w:tcW w:w="704" w:type="pct"/>
            <w:tcBorders>
              <w:top w:val="nil"/>
              <w:left w:val="nil"/>
              <w:bottom w:val="single" w:sz="4" w:space="0" w:color="BFBFBF"/>
              <w:right w:val="single" w:sz="4" w:space="0" w:color="BFBFBF"/>
            </w:tcBorders>
            <w:noWrap/>
            <w:hideMark/>
          </w:tcPr>
          <w:p w14:paraId="468DECC0" w14:textId="79ABCD74" w:rsidR="00057AA2" w:rsidRPr="003C178D" w:rsidRDefault="00057AA2" w:rsidP="00057AA2">
            <w:pPr>
              <w:rPr>
                <w:rFonts w:eastAsia="Times New Roman"/>
                <w:color w:val="auto"/>
                <w:sz w:val="18"/>
                <w:szCs w:val="18"/>
              </w:rPr>
            </w:pPr>
            <w:r>
              <w:rPr>
                <w:color w:val="auto"/>
                <w:sz w:val="18"/>
                <w:szCs w:val="18"/>
              </w:rPr>
              <w:t>31 Aug 2026</w:t>
            </w:r>
          </w:p>
        </w:tc>
      </w:tr>
      <w:tr w:rsidR="00057AA2" w:rsidRPr="009917D4" w14:paraId="2A5A4888" w14:textId="77777777" w:rsidTr="00BB4BAD">
        <w:trPr>
          <w:trHeight w:val="285"/>
        </w:trPr>
        <w:tc>
          <w:tcPr>
            <w:tcW w:w="1737" w:type="pct"/>
            <w:tcBorders>
              <w:top w:val="nil"/>
              <w:left w:val="single" w:sz="4" w:space="0" w:color="BFBFBF"/>
              <w:bottom w:val="single" w:sz="4" w:space="0" w:color="BFBFBF"/>
              <w:right w:val="single" w:sz="4" w:space="0" w:color="BFBFBF"/>
            </w:tcBorders>
            <w:hideMark/>
          </w:tcPr>
          <w:p w14:paraId="2142A010" w14:textId="478DE07E" w:rsidR="00057AA2" w:rsidRPr="009917D4" w:rsidRDefault="00057AA2" w:rsidP="00057AA2">
            <w:pPr>
              <w:rPr>
                <w:rFonts w:eastAsia="Times New Roman"/>
                <w:color w:val="auto"/>
                <w:sz w:val="18"/>
                <w:szCs w:val="18"/>
              </w:rPr>
            </w:pPr>
            <w:r>
              <w:rPr>
                <w:sz w:val="18"/>
                <w:szCs w:val="18"/>
              </w:rPr>
              <w:t>Red Star Express</w:t>
            </w:r>
          </w:p>
        </w:tc>
        <w:tc>
          <w:tcPr>
            <w:tcW w:w="804" w:type="pct"/>
            <w:tcBorders>
              <w:top w:val="nil"/>
              <w:left w:val="nil"/>
              <w:bottom w:val="single" w:sz="4" w:space="0" w:color="BFBFBF"/>
              <w:right w:val="single" w:sz="4" w:space="0" w:color="BFBFBF"/>
            </w:tcBorders>
            <w:noWrap/>
            <w:hideMark/>
          </w:tcPr>
          <w:p w14:paraId="140346C7" w14:textId="39C77579" w:rsidR="00057AA2" w:rsidRPr="009917D4" w:rsidRDefault="00057AA2" w:rsidP="00057AA2">
            <w:pPr>
              <w:rPr>
                <w:rFonts w:eastAsia="Times New Roman"/>
                <w:color w:val="auto"/>
                <w:sz w:val="18"/>
                <w:szCs w:val="18"/>
              </w:rPr>
            </w:pPr>
            <w:r>
              <w:rPr>
                <w:sz w:val="18"/>
                <w:szCs w:val="18"/>
              </w:rPr>
              <w:t>Final (FY Mar-26)</w:t>
            </w:r>
          </w:p>
        </w:tc>
        <w:tc>
          <w:tcPr>
            <w:tcW w:w="1019" w:type="pct"/>
            <w:tcBorders>
              <w:top w:val="nil"/>
              <w:left w:val="nil"/>
              <w:bottom w:val="single" w:sz="4" w:space="0" w:color="BFBFBF"/>
              <w:right w:val="single" w:sz="4" w:space="0" w:color="BFBFBF"/>
            </w:tcBorders>
            <w:noWrap/>
            <w:hideMark/>
          </w:tcPr>
          <w:p w14:paraId="5CBF0646" w14:textId="77C19A41" w:rsidR="00057AA2" w:rsidRPr="003C178D" w:rsidRDefault="00057AA2" w:rsidP="00057AA2">
            <w:pPr>
              <w:rPr>
                <w:rFonts w:eastAsia="Times New Roman"/>
                <w:color w:val="auto"/>
                <w:sz w:val="18"/>
                <w:szCs w:val="18"/>
              </w:rPr>
            </w:pPr>
            <w:r>
              <w:rPr>
                <w:color w:val="auto"/>
                <w:sz w:val="18"/>
                <w:szCs w:val="18"/>
              </w:rPr>
              <w:t>0.45</w:t>
            </w:r>
          </w:p>
        </w:tc>
        <w:tc>
          <w:tcPr>
            <w:tcW w:w="735" w:type="pct"/>
            <w:tcBorders>
              <w:top w:val="nil"/>
              <w:left w:val="nil"/>
              <w:bottom w:val="single" w:sz="4" w:space="0" w:color="BFBFBF"/>
              <w:right w:val="single" w:sz="4" w:space="0" w:color="BFBFBF"/>
            </w:tcBorders>
            <w:noWrap/>
            <w:hideMark/>
          </w:tcPr>
          <w:p w14:paraId="27609E4C" w14:textId="2C67AB29" w:rsidR="00057AA2" w:rsidRPr="003C178D" w:rsidRDefault="00057AA2" w:rsidP="00057AA2">
            <w:pPr>
              <w:rPr>
                <w:rFonts w:eastAsia="Times New Roman"/>
                <w:color w:val="auto"/>
                <w:sz w:val="18"/>
                <w:szCs w:val="18"/>
              </w:rPr>
            </w:pPr>
            <w:r>
              <w:rPr>
                <w:color w:val="auto"/>
                <w:sz w:val="18"/>
                <w:szCs w:val="18"/>
              </w:rPr>
              <w:t>01 Sep 2026</w:t>
            </w:r>
          </w:p>
        </w:tc>
        <w:tc>
          <w:tcPr>
            <w:tcW w:w="704" w:type="pct"/>
            <w:tcBorders>
              <w:top w:val="nil"/>
              <w:left w:val="nil"/>
              <w:bottom w:val="single" w:sz="4" w:space="0" w:color="BFBFBF"/>
              <w:right w:val="single" w:sz="4" w:space="0" w:color="BFBFBF"/>
            </w:tcBorders>
            <w:noWrap/>
            <w:hideMark/>
          </w:tcPr>
          <w:p w14:paraId="40A58E8B" w14:textId="3ECC2271" w:rsidR="00057AA2" w:rsidRPr="003C178D" w:rsidRDefault="00057AA2" w:rsidP="00057AA2">
            <w:pPr>
              <w:rPr>
                <w:rFonts w:eastAsia="Times New Roman"/>
                <w:color w:val="auto"/>
                <w:sz w:val="18"/>
                <w:szCs w:val="18"/>
              </w:rPr>
            </w:pPr>
            <w:r>
              <w:rPr>
                <w:color w:val="auto"/>
                <w:sz w:val="18"/>
                <w:szCs w:val="18"/>
              </w:rPr>
              <w:t>18 Sep 2026</w:t>
            </w:r>
          </w:p>
        </w:tc>
      </w:tr>
      <w:tr w:rsidR="00057AA2" w:rsidRPr="009917D4" w14:paraId="1B619D4C" w14:textId="77777777" w:rsidTr="00BB4BAD">
        <w:trPr>
          <w:trHeight w:val="285"/>
        </w:trPr>
        <w:tc>
          <w:tcPr>
            <w:tcW w:w="1737" w:type="pct"/>
            <w:tcBorders>
              <w:top w:val="nil"/>
              <w:left w:val="single" w:sz="4" w:space="0" w:color="BFBFBF"/>
              <w:bottom w:val="single" w:sz="4" w:space="0" w:color="BFBFBF"/>
              <w:right w:val="single" w:sz="4" w:space="0" w:color="BFBFBF"/>
            </w:tcBorders>
            <w:hideMark/>
          </w:tcPr>
          <w:p w14:paraId="649D61AB" w14:textId="4361A75E" w:rsidR="00057AA2" w:rsidRPr="009917D4" w:rsidRDefault="00057AA2" w:rsidP="00057AA2">
            <w:pPr>
              <w:rPr>
                <w:rFonts w:eastAsia="Times New Roman"/>
                <w:color w:val="auto"/>
                <w:sz w:val="18"/>
                <w:szCs w:val="18"/>
              </w:rPr>
            </w:pPr>
            <w:r>
              <w:rPr>
                <w:sz w:val="18"/>
                <w:szCs w:val="18"/>
              </w:rPr>
              <w:t>Nigeria REIT</w:t>
            </w:r>
          </w:p>
        </w:tc>
        <w:tc>
          <w:tcPr>
            <w:tcW w:w="804" w:type="pct"/>
            <w:tcBorders>
              <w:top w:val="nil"/>
              <w:left w:val="nil"/>
              <w:bottom w:val="single" w:sz="4" w:space="0" w:color="BFBFBF"/>
              <w:right w:val="single" w:sz="4" w:space="0" w:color="BFBFBF"/>
            </w:tcBorders>
            <w:noWrap/>
            <w:hideMark/>
          </w:tcPr>
          <w:p w14:paraId="04B8DC47" w14:textId="0ED6B1C8" w:rsidR="00057AA2" w:rsidRPr="009917D4" w:rsidRDefault="00057AA2" w:rsidP="00057AA2">
            <w:pPr>
              <w:rPr>
                <w:rFonts w:eastAsia="Times New Roman"/>
                <w:color w:val="auto"/>
                <w:sz w:val="18"/>
                <w:szCs w:val="18"/>
              </w:rPr>
            </w:pPr>
            <w:r>
              <w:rPr>
                <w:sz w:val="18"/>
                <w:szCs w:val="18"/>
              </w:rPr>
              <w:t>Distribution (H1 2026)</w:t>
            </w:r>
          </w:p>
        </w:tc>
        <w:tc>
          <w:tcPr>
            <w:tcW w:w="1019" w:type="pct"/>
            <w:tcBorders>
              <w:top w:val="nil"/>
              <w:left w:val="nil"/>
              <w:bottom w:val="single" w:sz="4" w:space="0" w:color="BFBFBF"/>
              <w:right w:val="single" w:sz="4" w:space="0" w:color="BFBFBF"/>
            </w:tcBorders>
            <w:noWrap/>
            <w:hideMark/>
          </w:tcPr>
          <w:p w14:paraId="42E74CA3" w14:textId="04BA4624" w:rsidR="00057AA2" w:rsidRPr="003C178D" w:rsidRDefault="00057AA2" w:rsidP="00057AA2">
            <w:pPr>
              <w:rPr>
                <w:rFonts w:eastAsia="Times New Roman"/>
                <w:color w:val="auto"/>
                <w:sz w:val="18"/>
                <w:szCs w:val="18"/>
              </w:rPr>
            </w:pPr>
            <w:r>
              <w:rPr>
                <w:color w:val="auto"/>
                <w:sz w:val="18"/>
                <w:szCs w:val="18"/>
              </w:rPr>
              <w:t>1.72</w:t>
            </w:r>
          </w:p>
        </w:tc>
        <w:tc>
          <w:tcPr>
            <w:tcW w:w="735" w:type="pct"/>
            <w:tcBorders>
              <w:top w:val="nil"/>
              <w:left w:val="nil"/>
              <w:bottom w:val="single" w:sz="4" w:space="0" w:color="BFBFBF"/>
              <w:right w:val="single" w:sz="4" w:space="0" w:color="BFBFBF"/>
            </w:tcBorders>
            <w:noWrap/>
            <w:hideMark/>
          </w:tcPr>
          <w:p w14:paraId="3E73CF93" w14:textId="159B6E1D" w:rsidR="00057AA2" w:rsidRPr="003C178D" w:rsidRDefault="00057AA2" w:rsidP="00057AA2">
            <w:pPr>
              <w:rPr>
                <w:rFonts w:eastAsia="Times New Roman"/>
                <w:color w:val="auto"/>
                <w:sz w:val="18"/>
                <w:szCs w:val="18"/>
              </w:rPr>
            </w:pPr>
            <w:r>
              <w:rPr>
                <w:color w:val="auto"/>
                <w:sz w:val="18"/>
                <w:szCs w:val="18"/>
              </w:rPr>
              <w:t>29 Jul 2026</w:t>
            </w:r>
          </w:p>
        </w:tc>
        <w:tc>
          <w:tcPr>
            <w:tcW w:w="704" w:type="pct"/>
            <w:tcBorders>
              <w:top w:val="nil"/>
              <w:left w:val="nil"/>
              <w:bottom w:val="single" w:sz="4" w:space="0" w:color="BFBFBF"/>
              <w:right w:val="single" w:sz="4" w:space="0" w:color="BFBFBF"/>
            </w:tcBorders>
            <w:noWrap/>
            <w:hideMark/>
          </w:tcPr>
          <w:p w14:paraId="7BEF0361" w14:textId="4534117F" w:rsidR="00057AA2" w:rsidRPr="003C178D" w:rsidRDefault="00057AA2" w:rsidP="00057AA2">
            <w:pPr>
              <w:rPr>
                <w:rFonts w:eastAsia="Times New Roman"/>
                <w:color w:val="auto"/>
                <w:sz w:val="18"/>
                <w:szCs w:val="18"/>
              </w:rPr>
            </w:pPr>
            <w:r>
              <w:rPr>
                <w:color w:val="auto"/>
                <w:sz w:val="18"/>
                <w:szCs w:val="18"/>
              </w:rPr>
              <w:t>08 Sep 2026</w:t>
            </w:r>
          </w:p>
        </w:tc>
      </w:tr>
      <w:tr w:rsidR="00057AA2" w:rsidRPr="00901E06" w14:paraId="286B3FB4" w14:textId="77777777" w:rsidTr="00BB4BAD">
        <w:trPr>
          <w:trHeight w:val="465"/>
        </w:trPr>
        <w:tc>
          <w:tcPr>
            <w:tcW w:w="1737" w:type="pct"/>
            <w:tcBorders>
              <w:top w:val="nil"/>
              <w:left w:val="single" w:sz="4" w:space="0" w:color="BFBFBF"/>
              <w:bottom w:val="single" w:sz="4" w:space="0" w:color="BFBFBF"/>
              <w:right w:val="single" w:sz="4" w:space="0" w:color="BFBFBF"/>
            </w:tcBorders>
            <w:hideMark/>
          </w:tcPr>
          <w:p w14:paraId="0ADC263C" w14:textId="28DA44A1" w:rsidR="00057AA2" w:rsidRPr="00901E06" w:rsidRDefault="00057AA2" w:rsidP="00057AA2">
            <w:pPr>
              <w:rPr>
                <w:rFonts w:eastAsia="Times New Roman"/>
                <w:color w:val="3A3A3A" w:themeColor="background2" w:themeShade="40"/>
                <w:sz w:val="18"/>
                <w:szCs w:val="18"/>
              </w:rPr>
            </w:pPr>
            <w:r>
              <w:rPr>
                <w:sz w:val="18"/>
                <w:szCs w:val="18"/>
              </w:rPr>
              <w:t>UPDC REIT</w:t>
            </w:r>
          </w:p>
        </w:tc>
        <w:tc>
          <w:tcPr>
            <w:tcW w:w="804" w:type="pct"/>
            <w:tcBorders>
              <w:top w:val="nil"/>
              <w:left w:val="nil"/>
              <w:bottom w:val="single" w:sz="4" w:space="0" w:color="BFBFBF"/>
              <w:right w:val="single" w:sz="4" w:space="0" w:color="BFBFBF"/>
            </w:tcBorders>
            <w:noWrap/>
            <w:hideMark/>
          </w:tcPr>
          <w:p w14:paraId="3AB3730F" w14:textId="65633EC7" w:rsidR="00057AA2" w:rsidRPr="00901E06" w:rsidRDefault="00057AA2" w:rsidP="00057AA2">
            <w:pPr>
              <w:rPr>
                <w:rFonts w:eastAsia="Times New Roman"/>
                <w:color w:val="3A3A3A" w:themeColor="background2" w:themeShade="40"/>
                <w:sz w:val="18"/>
                <w:szCs w:val="18"/>
              </w:rPr>
            </w:pPr>
            <w:r>
              <w:rPr>
                <w:sz w:val="18"/>
                <w:szCs w:val="18"/>
              </w:rPr>
              <w:t>Interim distribution</w:t>
            </w:r>
          </w:p>
        </w:tc>
        <w:tc>
          <w:tcPr>
            <w:tcW w:w="1019" w:type="pct"/>
            <w:tcBorders>
              <w:top w:val="nil"/>
              <w:left w:val="nil"/>
              <w:bottom w:val="single" w:sz="4" w:space="0" w:color="BFBFBF"/>
              <w:right w:val="single" w:sz="4" w:space="0" w:color="BFBFBF"/>
            </w:tcBorders>
            <w:noWrap/>
            <w:hideMark/>
          </w:tcPr>
          <w:p w14:paraId="1151E72F" w14:textId="71225024" w:rsidR="00057AA2" w:rsidRPr="003C178D" w:rsidRDefault="00057AA2" w:rsidP="00057AA2">
            <w:pPr>
              <w:rPr>
                <w:rFonts w:eastAsia="Times New Roman"/>
                <w:color w:val="auto"/>
                <w:sz w:val="18"/>
                <w:szCs w:val="18"/>
              </w:rPr>
            </w:pPr>
            <w:r>
              <w:rPr>
                <w:color w:val="auto"/>
                <w:sz w:val="18"/>
                <w:szCs w:val="18"/>
              </w:rPr>
              <w:t>0.40</w:t>
            </w:r>
          </w:p>
        </w:tc>
        <w:tc>
          <w:tcPr>
            <w:tcW w:w="735" w:type="pct"/>
            <w:tcBorders>
              <w:top w:val="nil"/>
              <w:left w:val="nil"/>
              <w:bottom w:val="single" w:sz="4" w:space="0" w:color="BFBFBF"/>
              <w:right w:val="single" w:sz="4" w:space="0" w:color="BFBFBF"/>
            </w:tcBorders>
            <w:noWrap/>
            <w:hideMark/>
          </w:tcPr>
          <w:p w14:paraId="0E1EBCA9" w14:textId="036C2C6D" w:rsidR="00057AA2" w:rsidRPr="003C178D" w:rsidRDefault="00057AA2" w:rsidP="00057AA2">
            <w:pPr>
              <w:rPr>
                <w:rFonts w:eastAsia="Times New Roman"/>
                <w:color w:val="auto"/>
                <w:sz w:val="18"/>
                <w:szCs w:val="18"/>
              </w:rPr>
            </w:pPr>
            <w:r>
              <w:rPr>
                <w:color w:val="auto"/>
                <w:sz w:val="18"/>
                <w:szCs w:val="18"/>
              </w:rPr>
              <w:t>28 Aug 2026</w:t>
            </w:r>
          </w:p>
        </w:tc>
        <w:tc>
          <w:tcPr>
            <w:tcW w:w="704" w:type="pct"/>
            <w:tcBorders>
              <w:top w:val="nil"/>
              <w:left w:val="nil"/>
              <w:bottom w:val="single" w:sz="4" w:space="0" w:color="BFBFBF"/>
              <w:right w:val="single" w:sz="4" w:space="0" w:color="BFBFBF"/>
            </w:tcBorders>
            <w:noWrap/>
            <w:hideMark/>
          </w:tcPr>
          <w:p w14:paraId="4C3856EA" w14:textId="24B59791" w:rsidR="00057AA2" w:rsidRPr="003C178D" w:rsidRDefault="00057AA2" w:rsidP="00057AA2">
            <w:pPr>
              <w:rPr>
                <w:rFonts w:eastAsia="Times New Roman"/>
                <w:color w:val="auto"/>
                <w:sz w:val="18"/>
                <w:szCs w:val="18"/>
              </w:rPr>
            </w:pPr>
            <w:r>
              <w:rPr>
                <w:color w:val="auto"/>
                <w:sz w:val="18"/>
                <w:szCs w:val="18"/>
              </w:rPr>
              <w:t>04 Sep 2026</w:t>
            </w:r>
          </w:p>
        </w:tc>
      </w:tr>
      <w:tr w:rsidR="00057AA2" w:rsidRPr="009917D4" w14:paraId="77F0448C" w14:textId="77777777" w:rsidTr="00BB4BAD">
        <w:trPr>
          <w:trHeight w:val="285"/>
        </w:trPr>
        <w:tc>
          <w:tcPr>
            <w:tcW w:w="1737" w:type="pct"/>
            <w:tcBorders>
              <w:top w:val="nil"/>
              <w:left w:val="single" w:sz="4" w:space="0" w:color="BFBFBF"/>
              <w:bottom w:val="single" w:sz="4" w:space="0" w:color="BFBFBF"/>
              <w:right w:val="single" w:sz="4" w:space="0" w:color="BFBFBF"/>
            </w:tcBorders>
            <w:hideMark/>
          </w:tcPr>
          <w:p w14:paraId="3577970F" w14:textId="22BFE342" w:rsidR="00057AA2" w:rsidRPr="009917D4" w:rsidRDefault="00057AA2" w:rsidP="00057AA2">
            <w:pPr>
              <w:rPr>
                <w:rFonts w:eastAsia="Times New Roman"/>
                <w:color w:val="auto"/>
                <w:sz w:val="18"/>
                <w:szCs w:val="18"/>
              </w:rPr>
            </w:pPr>
            <w:r>
              <w:rPr>
                <w:sz w:val="18"/>
                <w:szCs w:val="18"/>
              </w:rPr>
              <w:t>Learn Africa Plc</w:t>
            </w:r>
          </w:p>
        </w:tc>
        <w:tc>
          <w:tcPr>
            <w:tcW w:w="804" w:type="pct"/>
            <w:tcBorders>
              <w:top w:val="nil"/>
              <w:left w:val="nil"/>
              <w:bottom w:val="single" w:sz="4" w:space="0" w:color="BFBFBF"/>
              <w:right w:val="single" w:sz="4" w:space="0" w:color="BFBFBF"/>
            </w:tcBorders>
            <w:noWrap/>
            <w:hideMark/>
          </w:tcPr>
          <w:p w14:paraId="47EAFCE8" w14:textId="2183B5B2" w:rsidR="00057AA2" w:rsidRPr="009917D4" w:rsidRDefault="00057AA2" w:rsidP="00057AA2">
            <w:pPr>
              <w:rPr>
                <w:rFonts w:eastAsia="Times New Roman"/>
                <w:color w:val="auto"/>
                <w:sz w:val="18"/>
                <w:szCs w:val="18"/>
              </w:rPr>
            </w:pPr>
            <w:r>
              <w:rPr>
                <w:sz w:val="18"/>
                <w:szCs w:val="18"/>
              </w:rPr>
              <w:t>Final</w:t>
            </w:r>
          </w:p>
        </w:tc>
        <w:tc>
          <w:tcPr>
            <w:tcW w:w="1019" w:type="pct"/>
            <w:tcBorders>
              <w:top w:val="nil"/>
              <w:left w:val="nil"/>
              <w:bottom w:val="single" w:sz="4" w:space="0" w:color="BFBFBF"/>
              <w:right w:val="single" w:sz="4" w:space="0" w:color="BFBFBF"/>
            </w:tcBorders>
            <w:noWrap/>
            <w:hideMark/>
          </w:tcPr>
          <w:p w14:paraId="1CF51DAF" w14:textId="6C35485C" w:rsidR="00057AA2" w:rsidRPr="003C178D" w:rsidRDefault="00AF380C" w:rsidP="00057AA2">
            <w:pPr>
              <w:rPr>
                <w:rFonts w:eastAsia="Times New Roman"/>
                <w:color w:val="auto"/>
                <w:sz w:val="18"/>
                <w:szCs w:val="18"/>
              </w:rPr>
            </w:pPr>
            <w:r>
              <w:rPr>
                <w:color w:val="auto"/>
                <w:sz w:val="18"/>
                <w:szCs w:val="18"/>
              </w:rPr>
              <w:t>0.35</w:t>
            </w:r>
          </w:p>
        </w:tc>
        <w:tc>
          <w:tcPr>
            <w:tcW w:w="735" w:type="pct"/>
            <w:tcBorders>
              <w:top w:val="nil"/>
              <w:left w:val="nil"/>
              <w:bottom w:val="single" w:sz="4" w:space="0" w:color="BFBFBF"/>
              <w:right w:val="single" w:sz="4" w:space="0" w:color="BFBFBF"/>
            </w:tcBorders>
            <w:noWrap/>
            <w:hideMark/>
          </w:tcPr>
          <w:p w14:paraId="02808E68" w14:textId="5DB768E6" w:rsidR="00057AA2" w:rsidRPr="003C178D" w:rsidRDefault="00AF380C" w:rsidP="00057AA2">
            <w:pPr>
              <w:rPr>
                <w:rFonts w:eastAsia="Times New Roman"/>
                <w:color w:val="auto"/>
                <w:sz w:val="18"/>
                <w:szCs w:val="18"/>
              </w:rPr>
            </w:pPr>
            <w:r>
              <w:rPr>
                <w:color w:val="auto"/>
                <w:sz w:val="18"/>
                <w:szCs w:val="18"/>
              </w:rPr>
              <w:t>11 Sep 2026</w:t>
            </w:r>
          </w:p>
        </w:tc>
        <w:tc>
          <w:tcPr>
            <w:tcW w:w="704" w:type="pct"/>
            <w:tcBorders>
              <w:top w:val="nil"/>
              <w:left w:val="nil"/>
              <w:bottom w:val="single" w:sz="4" w:space="0" w:color="BFBFBF"/>
              <w:right w:val="single" w:sz="4" w:space="0" w:color="BFBFBF"/>
            </w:tcBorders>
            <w:noWrap/>
            <w:hideMark/>
          </w:tcPr>
          <w:p w14:paraId="18E3D85E" w14:textId="6C53C072" w:rsidR="00057AA2" w:rsidRPr="003C178D" w:rsidRDefault="00AF380C" w:rsidP="00057AA2">
            <w:pPr>
              <w:rPr>
                <w:rFonts w:eastAsia="Times New Roman"/>
                <w:color w:val="auto"/>
                <w:sz w:val="18"/>
                <w:szCs w:val="18"/>
              </w:rPr>
            </w:pPr>
            <w:r>
              <w:rPr>
                <w:color w:val="auto"/>
                <w:sz w:val="18"/>
                <w:szCs w:val="18"/>
              </w:rPr>
              <w:t>25 Sep 2026</w:t>
            </w:r>
          </w:p>
        </w:tc>
      </w:tr>
    </w:tbl>
    <w:p w14:paraId="1AEE5443" w14:textId="77777777" w:rsidR="009917D4" w:rsidRDefault="009917D4" w:rsidP="008A09F9">
      <w:pPr>
        <w:spacing w:before="60" w:after="80"/>
        <w:rPr>
          <w:b/>
          <w:bCs/>
          <w:color w:val="1A5C38"/>
          <w:sz w:val="22"/>
          <w:szCs w:val="22"/>
        </w:rPr>
      </w:pPr>
    </w:p>
    <w:p w14:paraId="6611487C" w14:textId="77777777" w:rsidR="003C178D" w:rsidRDefault="003C178D">
      <w:pPr>
        <w:rPr>
          <w:b/>
          <w:bCs/>
          <w:color w:val="1A5C38"/>
          <w:sz w:val="22"/>
          <w:szCs w:val="22"/>
        </w:rPr>
      </w:pPr>
      <w:r>
        <w:rPr>
          <w:b/>
          <w:bCs/>
          <w:color w:val="1A5C38"/>
          <w:sz w:val="22"/>
          <w:szCs w:val="22"/>
        </w:rPr>
        <w:br w:type="page"/>
      </w:r>
    </w:p>
    <w:p w14:paraId="2CFF7E0B" w14:textId="2418CA30" w:rsidR="00C06B25" w:rsidRPr="008A09F9" w:rsidRDefault="00CB3E7C" w:rsidP="008A09F9">
      <w:pPr>
        <w:spacing w:before="60" w:after="80"/>
        <w:rPr>
          <w:b/>
          <w:bCs/>
          <w:color w:val="1A5C38"/>
          <w:sz w:val="22"/>
          <w:szCs w:val="22"/>
        </w:rPr>
      </w:pPr>
      <w:r>
        <w:rPr>
          <w:b/>
          <w:bCs/>
          <w:color w:val="1A5C38"/>
          <w:sz w:val="22"/>
          <w:szCs w:val="22"/>
        </w:rPr>
        <w:lastRenderedPageBreak/>
        <w:t>AGMs, Rights Issues &amp; Other Corporate Events</w:t>
      </w:r>
    </w:p>
    <w:tbl>
      <w:tblPr>
        <w:tblW w:w="0" w:type="auto"/>
        <w:tblLayout w:type="fixed"/>
        <w:tblLook w:val="04A0" w:firstRow="1" w:lastRow="0" w:firstColumn="1" w:lastColumn="0" w:noHBand="0" w:noVBand="1"/>
      </w:tblPr>
      <w:tblGrid>
        <w:gridCol w:w="1522"/>
        <w:gridCol w:w="1407"/>
        <w:gridCol w:w="1319"/>
        <w:gridCol w:w="5462"/>
      </w:tblGrid>
      <w:tr w:rsidR="009917D4" w:rsidRPr="009917D4" w14:paraId="3924D918" w14:textId="77777777" w:rsidTr="009917D4">
        <w:trPr>
          <w:trHeight w:val="600"/>
        </w:trPr>
        <w:tc>
          <w:tcPr>
            <w:tcW w:w="1522" w:type="dxa"/>
            <w:tcBorders>
              <w:top w:val="single" w:sz="4" w:space="0" w:color="BFBFBF"/>
              <w:left w:val="single" w:sz="4" w:space="0" w:color="BFBFBF"/>
              <w:bottom w:val="single" w:sz="4" w:space="0" w:color="BFBFBF"/>
              <w:right w:val="single" w:sz="4" w:space="0" w:color="BFBFBF"/>
            </w:tcBorders>
            <w:shd w:val="clear" w:color="008080" w:fill="1F5C4D"/>
            <w:vAlign w:val="center"/>
            <w:hideMark/>
          </w:tcPr>
          <w:p w14:paraId="2FD33D42" w14:textId="77777777" w:rsidR="009917D4" w:rsidRPr="009917D4" w:rsidRDefault="009917D4" w:rsidP="009917D4">
            <w:pPr>
              <w:rPr>
                <w:rFonts w:eastAsia="Times New Roman"/>
                <w:b/>
                <w:bCs/>
                <w:color w:val="FFFFFF"/>
              </w:rPr>
            </w:pPr>
            <w:r>
              <w:rPr>
                <w:rFonts w:eastAsia="Times New Roman"/>
                <w:b/>
                <w:bCs/>
                <w:color w:val="FFFFFF"/>
              </w:rPr>
              <w:t>Company / Body</w:t>
            </w:r>
          </w:p>
        </w:tc>
        <w:tc>
          <w:tcPr>
            <w:tcW w:w="1407" w:type="dxa"/>
            <w:tcBorders>
              <w:top w:val="single" w:sz="4" w:space="0" w:color="BFBFBF"/>
              <w:left w:val="nil"/>
              <w:bottom w:val="single" w:sz="4" w:space="0" w:color="BFBFBF"/>
              <w:right w:val="single" w:sz="4" w:space="0" w:color="BFBFBF"/>
            </w:tcBorders>
            <w:shd w:val="clear" w:color="008080" w:fill="1F5C4D"/>
            <w:vAlign w:val="center"/>
            <w:hideMark/>
          </w:tcPr>
          <w:p w14:paraId="55E1DC40" w14:textId="77777777" w:rsidR="009917D4" w:rsidRPr="009917D4" w:rsidRDefault="009917D4" w:rsidP="009917D4">
            <w:pPr>
              <w:rPr>
                <w:rFonts w:eastAsia="Times New Roman"/>
                <w:b/>
                <w:bCs/>
                <w:color w:val="FFFFFF"/>
              </w:rPr>
            </w:pPr>
            <w:r>
              <w:rPr>
                <w:rFonts w:eastAsia="Times New Roman"/>
                <w:b/>
                <w:bCs/>
                <w:color w:val="FFFFFF"/>
              </w:rPr>
              <w:t>Event Type</w:t>
            </w:r>
          </w:p>
        </w:tc>
        <w:tc>
          <w:tcPr>
            <w:tcW w:w="1319" w:type="dxa"/>
            <w:tcBorders>
              <w:top w:val="single" w:sz="4" w:space="0" w:color="BFBFBF"/>
              <w:left w:val="nil"/>
              <w:bottom w:val="single" w:sz="4" w:space="0" w:color="BFBFBF"/>
              <w:right w:val="single" w:sz="4" w:space="0" w:color="BFBFBF"/>
            </w:tcBorders>
            <w:shd w:val="clear" w:color="008080" w:fill="1F5C4D"/>
            <w:vAlign w:val="center"/>
            <w:hideMark/>
          </w:tcPr>
          <w:p w14:paraId="54CB63D5" w14:textId="77777777" w:rsidR="009917D4" w:rsidRPr="009917D4" w:rsidRDefault="009917D4" w:rsidP="009917D4">
            <w:pPr>
              <w:rPr>
                <w:rFonts w:eastAsia="Times New Roman"/>
                <w:b/>
                <w:bCs/>
                <w:color w:val="FFFFFF"/>
              </w:rPr>
            </w:pPr>
            <w:r>
              <w:rPr>
                <w:rFonts w:eastAsia="Times New Roman"/>
                <w:b/>
                <w:bCs/>
                <w:color w:val="FFFFFF"/>
              </w:rPr>
              <w:t>Date</w:t>
            </w:r>
          </w:p>
        </w:tc>
        <w:tc>
          <w:tcPr>
            <w:tcW w:w="5462" w:type="dxa"/>
            <w:tcBorders>
              <w:top w:val="single" w:sz="4" w:space="0" w:color="BFBFBF"/>
              <w:left w:val="nil"/>
              <w:bottom w:val="single" w:sz="4" w:space="0" w:color="BFBFBF"/>
              <w:right w:val="single" w:sz="4" w:space="0" w:color="BFBFBF"/>
            </w:tcBorders>
            <w:shd w:val="clear" w:color="008080" w:fill="1F5C4D"/>
            <w:vAlign w:val="center"/>
            <w:hideMark/>
          </w:tcPr>
          <w:p w14:paraId="19C1C164" w14:textId="77777777" w:rsidR="009917D4" w:rsidRPr="009917D4" w:rsidRDefault="009917D4" w:rsidP="009917D4">
            <w:pPr>
              <w:rPr>
                <w:rFonts w:eastAsia="Times New Roman"/>
                <w:b/>
                <w:bCs/>
                <w:color w:val="FFFFFF"/>
              </w:rPr>
            </w:pPr>
            <w:r>
              <w:rPr>
                <w:rFonts w:eastAsia="Times New Roman"/>
                <w:b/>
                <w:bCs/>
                <w:color w:val="FFFFFF"/>
              </w:rPr>
              <w:t>Key Details</w:t>
            </w:r>
          </w:p>
        </w:tc>
      </w:tr>
      <w:tr w:rsidR="00057AA2" w:rsidRPr="009917D4" w14:paraId="41B9A69C" w14:textId="77777777" w:rsidTr="009917D4">
        <w:trPr>
          <w:trHeight w:val="698"/>
        </w:trPr>
        <w:tc>
          <w:tcPr>
            <w:tcW w:w="1522" w:type="dxa"/>
            <w:tcBorders>
              <w:top w:val="nil"/>
              <w:left w:val="single" w:sz="4" w:space="0" w:color="BFBFBF"/>
              <w:bottom w:val="single" w:sz="4" w:space="0" w:color="BFBFBF"/>
              <w:right w:val="single" w:sz="4" w:space="0" w:color="BFBFBF"/>
            </w:tcBorders>
            <w:hideMark/>
          </w:tcPr>
          <w:p w14:paraId="3C6BFA5A" w14:textId="409EA2CC" w:rsidR="00057AA2" w:rsidRPr="00E464F8" w:rsidRDefault="00057AA2" w:rsidP="00057AA2">
            <w:pPr>
              <w:rPr>
                <w:rFonts w:eastAsia="Times New Roman"/>
                <w:color w:val="auto"/>
                <w:sz w:val="18"/>
                <w:szCs w:val="18"/>
              </w:rPr>
            </w:pPr>
            <w:r>
              <w:rPr>
                <w:color w:val="000000"/>
                <w:sz w:val="18"/>
                <w:szCs w:val="18"/>
              </w:rPr>
              <w:t>Dangote Cement Plc</w:t>
            </w:r>
          </w:p>
        </w:tc>
        <w:tc>
          <w:tcPr>
            <w:tcW w:w="1407" w:type="dxa"/>
            <w:tcBorders>
              <w:top w:val="nil"/>
              <w:left w:val="nil"/>
              <w:bottom w:val="single" w:sz="4" w:space="0" w:color="BFBFBF"/>
              <w:right w:val="single" w:sz="4" w:space="0" w:color="BFBFBF"/>
            </w:tcBorders>
            <w:hideMark/>
          </w:tcPr>
          <w:p w14:paraId="15703187" w14:textId="24BB248C" w:rsidR="00057AA2" w:rsidRPr="00E464F8" w:rsidRDefault="00057AA2" w:rsidP="00057AA2">
            <w:pPr>
              <w:rPr>
                <w:rFonts w:eastAsia="Times New Roman"/>
                <w:color w:val="auto"/>
                <w:sz w:val="18"/>
                <w:szCs w:val="18"/>
              </w:rPr>
            </w:pPr>
            <w:r>
              <w:rPr>
                <w:color w:val="000000"/>
                <w:sz w:val="18"/>
                <w:szCs w:val="18"/>
              </w:rPr>
              <w:t>Capital Markets Day</w:t>
            </w:r>
          </w:p>
        </w:tc>
        <w:tc>
          <w:tcPr>
            <w:tcW w:w="1319" w:type="dxa"/>
            <w:tcBorders>
              <w:top w:val="nil"/>
              <w:left w:val="nil"/>
              <w:bottom w:val="single" w:sz="4" w:space="0" w:color="BFBFBF"/>
              <w:right w:val="single" w:sz="4" w:space="0" w:color="BFBFBF"/>
            </w:tcBorders>
            <w:noWrap/>
            <w:hideMark/>
          </w:tcPr>
          <w:p w14:paraId="0C28D1ED" w14:textId="52B5CE86" w:rsidR="00057AA2" w:rsidRPr="00E464F8" w:rsidRDefault="00057AA2" w:rsidP="00057AA2">
            <w:pPr>
              <w:rPr>
                <w:rFonts w:eastAsia="Times New Roman"/>
                <w:color w:val="auto"/>
                <w:sz w:val="18"/>
                <w:szCs w:val="18"/>
              </w:rPr>
            </w:pPr>
            <w:r>
              <w:rPr>
                <w:color w:val="auto"/>
                <w:sz w:val="18"/>
                <w:szCs w:val="18"/>
              </w:rPr>
              <w:t>21 Sep 2026</w:t>
            </w:r>
          </w:p>
        </w:tc>
        <w:tc>
          <w:tcPr>
            <w:tcW w:w="5462" w:type="dxa"/>
            <w:tcBorders>
              <w:top w:val="nil"/>
              <w:left w:val="nil"/>
              <w:bottom w:val="single" w:sz="4" w:space="0" w:color="BFBFBF"/>
              <w:right w:val="single" w:sz="4" w:space="0" w:color="BFBFBF"/>
            </w:tcBorders>
            <w:hideMark/>
          </w:tcPr>
          <w:p w14:paraId="150A2853" w14:textId="391427E4" w:rsidR="00057AA2" w:rsidRPr="00E464F8" w:rsidRDefault="00057AA2" w:rsidP="00057AA2">
            <w:pPr>
              <w:rPr>
                <w:rFonts w:eastAsia="Times New Roman"/>
                <w:color w:val="auto"/>
                <w:sz w:val="18"/>
                <w:szCs w:val="18"/>
              </w:rPr>
            </w:pPr>
            <w:r>
              <w:rPr>
                <w:color w:val="auto"/>
                <w:sz w:val="18"/>
                <w:szCs w:val="18"/>
              </w:rPr>
              <w:t>New this week: Capital Markets Day in London following shareholder approval of the proposed secondary listing on the London Stock Exchange. Management will update investors on strategy, operations and priorities; presentation materials to follow.</w:t>
            </w:r>
          </w:p>
        </w:tc>
      </w:tr>
      <w:tr w:rsidR="00057AA2" w:rsidRPr="009917D4" w14:paraId="4213364E" w14:textId="77777777" w:rsidTr="009917D4">
        <w:trPr>
          <w:trHeight w:val="285"/>
        </w:trPr>
        <w:tc>
          <w:tcPr>
            <w:tcW w:w="1522" w:type="dxa"/>
            <w:tcBorders>
              <w:top w:val="nil"/>
              <w:left w:val="single" w:sz="4" w:space="0" w:color="BFBFBF"/>
              <w:bottom w:val="single" w:sz="4" w:space="0" w:color="BFBFBF"/>
              <w:right w:val="single" w:sz="4" w:space="0" w:color="BFBFBF"/>
            </w:tcBorders>
            <w:hideMark/>
          </w:tcPr>
          <w:p w14:paraId="5A487C5D" w14:textId="3CBECF57" w:rsidR="00057AA2" w:rsidRPr="00E464F8" w:rsidRDefault="00057AA2" w:rsidP="00057AA2">
            <w:pPr>
              <w:rPr>
                <w:rFonts w:eastAsia="Times New Roman"/>
                <w:color w:val="auto"/>
                <w:sz w:val="18"/>
                <w:szCs w:val="18"/>
              </w:rPr>
            </w:pPr>
            <w:r>
              <w:rPr>
                <w:color w:val="000000"/>
                <w:sz w:val="18"/>
                <w:szCs w:val="18"/>
              </w:rPr>
              <w:t>Dangote Petroleum Refinery &amp; Petrochemicals</w:t>
            </w:r>
          </w:p>
        </w:tc>
        <w:tc>
          <w:tcPr>
            <w:tcW w:w="1407" w:type="dxa"/>
            <w:tcBorders>
              <w:top w:val="nil"/>
              <w:left w:val="nil"/>
              <w:bottom w:val="single" w:sz="4" w:space="0" w:color="BFBFBF"/>
              <w:right w:val="single" w:sz="4" w:space="0" w:color="BFBFBF"/>
            </w:tcBorders>
            <w:hideMark/>
          </w:tcPr>
          <w:p w14:paraId="29D7D51A" w14:textId="1D7C8989" w:rsidR="00057AA2" w:rsidRPr="00E464F8" w:rsidRDefault="004851E6" w:rsidP="00057AA2">
            <w:pPr>
              <w:rPr>
                <w:rFonts w:eastAsia="Times New Roman"/>
                <w:color w:val="auto"/>
                <w:sz w:val="18"/>
                <w:szCs w:val="18"/>
              </w:rPr>
            </w:pPr>
            <w:r>
              <w:rPr>
                <w:color w:val="000000"/>
                <w:sz w:val="18"/>
                <w:szCs w:val="18"/>
              </w:rPr>
              <w:t>Prospectus / offer open</w:t>
            </w:r>
          </w:p>
        </w:tc>
        <w:tc>
          <w:tcPr>
            <w:tcW w:w="1319" w:type="dxa"/>
            <w:tcBorders>
              <w:top w:val="nil"/>
              <w:left w:val="nil"/>
              <w:bottom w:val="single" w:sz="4" w:space="0" w:color="BFBFBF"/>
              <w:right w:val="single" w:sz="4" w:space="0" w:color="BFBFBF"/>
            </w:tcBorders>
            <w:noWrap/>
            <w:hideMark/>
          </w:tcPr>
          <w:p w14:paraId="58170DB3" w14:textId="38C529C9" w:rsidR="00057AA2" w:rsidRPr="00E464F8" w:rsidRDefault="00057AA2" w:rsidP="00057AA2">
            <w:pPr>
              <w:rPr>
                <w:rFonts w:eastAsia="Times New Roman"/>
                <w:color w:val="auto"/>
                <w:sz w:val="18"/>
                <w:szCs w:val="18"/>
              </w:rPr>
            </w:pPr>
            <w:r>
              <w:rPr>
                <w:color w:val="auto"/>
                <w:sz w:val="18"/>
                <w:szCs w:val="18"/>
              </w:rPr>
              <w:t>07 Sep 2026</w:t>
            </w:r>
          </w:p>
        </w:tc>
        <w:tc>
          <w:tcPr>
            <w:tcW w:w="5462" w:type="dxa"/>
            <w:tcBorders>
              <w:top w:val="nil"/>
              <w:left w:val="nil"/>
              <w:bottom w:val="single" w:sz="4" w:space="0" w:color="BFBFBF"/>
              <w:right w:val="single" w:sz="4" w:space="0" w:color="BFBFBF"/>
            </w:tcBorders>
            <w:hideMark/>
          </w:tcPr>
          <w:p w14:paraId="07758245" w14:textId="675331D8" w:rsidR="00057AA2" w:rsidRPr="00E464F8" w:rsidRDefault="00AF380C" w:rsidP="00057AA2">
            <w:pPr>
              <w:rPr>
                <w:rFonts w:eastAsia="Times New Roman"/>
                <w:color w:val="auto"/>
                <w:sz w:val="18"/>
                <w:szCs w:val="18"/>
              </w:rPr>
            </w:pPr>
            <w:r>
              <w:rPr>
                <w:color w:val="auto"/>
                <w:sz w:val="18"/>
                <w:szCs w:val="18"/>
              </w:rPr>
              <w:t>Offer prospectus released 07 Sep 2026; subscription window opened 14 Sep 2026. 4.1bn new ordinary shares at ₦525, minimum 10 shares (₦5,250), offer open to 13 Oct 2026. Subscriptions above the minimum run in multiples of 50 shares; up to 30% additional stock issuable on oversubscription, subject to regulatory approval. SEC registered 120.13bn existing shares alongside the new issue. H1 2026 net income $1.82bn against a FY2025 loss of $476m. Implied valuation ₦65.22tn (approximately $49bn) at the ₦1,319.54 prospectus reference rate. Aliko Dangote holds 92.3%, diluting to approximately 89.25%. NGX trading expected November 2026. [CHECK: prior file row carries ₦525 price, 4.1bn shares, ₦2.15tn gross and a 15% greenshoe; the prospectus figure is up to 30%. Prior row also cites ₦2.15tn approximately $1.63bn, consistent]</w:t>
            </w:r>
          </w:p>
        </w:tc>
      </w:tr>
      <w:tr w:rsidR="00AF380C" w:rsidRPr="00AF380C" w14:paraId="35E85720" w14:textId="77777777" w:rsidTr="008B27C8">
        <w:trPr>
          <w:trHeight w:val="930"/>
        </w:trPr>
        <w:tc>
          <w:tcPr>
            <w:tcW w:w="1522" w:type="dxa"/>
            <w:tcBorders>
              <w:top w:val="nil"/>
              <w:left w:val="single" w:sz="4" w:space="0" w:color="BFBFBF"/>
              <w:bottom w:val="single" w:sz="4" w:space="0" w:color="BFBFBF"/>
              <w:right w:val="single" w:sz="4" w:space="0" w:color="BFBFBF"/>
            </w:tcBorders>
          </w:tcPr>
          <w:p w14:paraId="09FF51F8" w14:textId="616B408C" w:rsidR="00AF380C" w:rsidRPr="00E464F8" w:rsidRDefault="00AF380C" w:rsidP="00AF380C">
            <w:pPr>
              <w:rPr>
                <w:color w:val="000000"/>
                <w:sz w:val="18"/>
                <w:szCs w:val="18"/>
              </w:rPr>
            </w:pPr>
            <w:r>
              <w:rPr>
                <w:color w:val="000000"/>
                <w:sz w:val="18"/>
                <w:szCs w:val="18"/>
              </w:rPr>
              <w:t>Dangote Sugar Refinery Plc</w:t>
            </w:r>
          </w:p>
        </w:tc>
        <w:tc>
          <w:tcPr>
            <w:tcW w:w="1407" w:type="dxa"/>
            <w:tcBorders>
              <w:top w:val="nil"/>
              <w:left w:val="nil"/>
              <w:bottom w:val="single" w:sz="4" w:space="0" w:color="BFBFBF"/>
              <w:right w:val="single" w:sz="4" w:space="0" w:color="BFBFBF"/>
            </w:tcBorders>
          </w:tcPr>
          <w:p w14:paraId="22F84720" w14:textId="6A982794" w:rsidR="00AF380C" w:rsidRPr="00E464F8" w:rsidRDefault="00AF380C" w:rsidP="00AF380C">
            <w:pPr>
              <w:rPr>
                <w:color w:val="000000"/>
                <w:sz w:val="18"/>
                <w:szCs w:val="18"/>
              </w:rPr>
            </w:pPr>
            <w:r>
              <w:rPr>
                <w:color w:val="000000"/>
                <w:sz w:val="18"/>
                <w:szCs w:val="18"/>
              </w:rPr>
              <w:t>Supplementary listing</w:t>
            </w:r>
          </w:p>
        </w:tc>
        <w:tc>
          <w:tcPr>
            <w:tcW w:w="1319" w:type="dxa"/>
            <w:tcBorders>
              <w:top w:val="nil"/>
              <w:left w:val="nil"/>
              <w:bottom w:val="single" w:sz="4" w:space="0" w:color="BFBFBF"/>
              <w:right w:val="single" w:sz="4" w:space="0" w:color="BFBFBF"/>
            </w:tcBorders>
            <w:noWrap/>
          </w:tcPr>
          <w:p w14:paraId="29CD5AA9" w14:textId="6A33481B" w:rsidR="00AF380C" w:rsidRPr="00AF380C" w:rsidRDefault="00AF380C" w:rsidP="00AF380C">
            <w:pPr>
              <w:rPr>
                <w:color w:val="000000"/>
                <w:sz w:val="18"/>
                <w:szCs w:val="18"/>
              </w:rPr>
            </w:pPr>
            <w:r>
              <w:rPr>
                <w:color w:val="000000"/>
                <w:sz w:val="18"/>
                <w:szCs w:val="18"/>
              </w:rPr>
              <w:t>07 Sep 2026</w:t>
            </w:r>
          </w:p>
        </w:tc>
        <w:tc>
          <w:tcPr>
            <w:tcW w:w="5462" w:type="dxa"/>
            <w:tcBorders>
              <w:top w:val="nil"/>
              <w:left w:val="nil"/>
              <w:bottom w:val="single" w:sz="4" w:space="0" w:color="BFBFBF"/>
              <w:right w:val="single" w:sz="4" w:space="0" w:color="BFBFBF"/>
            </w:tcBorders>
          </w:tcPr>
          <w:p w14:paraId="461BDC89" w14:textId="4C6230DD" w:rsidR="00AF380C" w:rsidRPr="00AF380C" w:rsidRDefault="00AF380C" w:rsidP="00AF380C">
            <w:pPr>
              <w:rPr>
                <w:color w:val="000000"/>
                <w:sz w:val="18"/>
                <w:szCs w:val="18"/>
              </w:rPr>
            </w:pPr>
            <w:r>
              <w:rPr>
                <w:color w:val="000000"/>
                <w:sz w:val="18"/>
                <w:szCs w:val="18"/>
              </w:rPr>
              <w:t>8,097,918,827 additional ordinary shares from the Rights Issue listed 07 Sep 2026, lifting total issued shares to 20,244,797,068</w:t>
            </w:r>
          </w:p>
        </w:tc>
      </w:tr>
      <w:tr w:rsidR="00057AA2" w:rsidRPr="009917D4" w14:paraId="179E18C1" w14:textId="77777777" w:rsidTr="008B27C8">
        <w:trPr>
          <w:trHeight w:val="930"/>
        </w:trPr>
        <w:tc>
          <w:tcPr>
            <w:tcW w:w="1522" w:type="dxa"/>
            <w:tcBorders>
              <w:top w:val="nil"/>
              <w:left w:val="single" w:sz="4" w:space="0" w:color="BFBFBF"/>
              <w:bottom w:val="single" w:sz="4" w:space="0" w:color="BFBFBF"/>
              <w:right w:val="single" w:sz="4" w:space="0" w:color="BFBFBF"/>
            </w:tcBorders>
            <w:hideMark/>
          </w:tcPr>
          <w:p w14:paraId="6CC19692" w14:textId="0AA79DAC" w:rsidR="00057AA2" w:rsidRPr="00E464F8" w:rsidRDefault="00057AA2" w:rsidP="00057AA2">
            <w:pPr>
              <w:rPr>
                <w:rFonts w:eastAsia="Times New Roman"/>
                <w:color w:val="auto"/>
                <w:sz w:val="18"/>
                <w:szCs w:val="18"/>
              </w:rPr>
            </w:pPr>
            <w:r>
              <w:rPr>
                <w:color w:val="000000"/>
                <w:sz w:val="18"/>
                <w:szCs w:val="18"/>
              </w:rPr>
              <w:t>Champion Breweries Plc</w:t>
            </w:r>
          </w:p>
        </w:tc>
        <w:tc>
          <w:tcPr>
            <w:tcW w:w="1407" w:type="dxa"/>
            <w:tcBorders>
              <w:top w:val="nil"/>
              <w:left w:val="nil"/>
              <w:bottom w:val="single" w:sz="4" w:space="0" w:color="BFBFBF"/>
              <w:right w:val="single" w:sz="4" w:space="0" w:color="BFBFBF"/>
            </w:tcBorders>
            <w:hideMark/>
          </w:tcPr>
          <w:p w14:paraId="59BA47F0" w14:textId="6E1DAF1B" w:rsidR="00057AA2" w:rsidRPr="00E464F8" w:rsidRDefault="00057AA2" w:rsidP="00057AA2">
            <w:pPr>
              <w:rPr>
                <w:rFonts w:eastAsia="Times New Roman"/>
                <w:color w:val="auto"/>
                <w:sz w:val="18"/>
                <w:szCs w:val="18"/>
              </w:rPr>
            </w:pPr>
            <w:r>
              <w:rPr>
                <w:color w:val="000000"/>
                <w:sz w:val="18"/>
                <w:szCs w:val="18"/>
              </w:rPr>
              <w:t>Leadership change</w:t>
            </w:r>
          </w:p>
        </w:tc>
        <w:tc>
          <w:tcPr>
            <w:tcW w:w="1319" w:type="dxa"/>
            <w:tcBorders>
              <w:top w:val="nil"/>
              <w:left w:val="nil"/>
              <w:bottom w:val="single" w:sz="4" w:space="0" w:color="BFBFBF"/>
              <w:right w:val="single" w:sz="4" w:space="0" w:color="BFBFBF"/>
            </w:tcBorders>
            <w:noWrap/>
            <w:hideMark/>
          </w:tcPr>
          <w:p w14:paraId="5A66A76A" w14:textId="67B6315A" w:rsidR="00057AA2" w:rsidRPr="00E464F8" w:rsidRDefault="00057AA2" w:rsidP="00057AA2">
            <w:pPr>
              <w:rPr>
                <w:rFonts w:eastAsia="Times New Roman"/>
                <w:color w:val="auto"/>
                <w:sz w:val="18"/>
                <w:szCs w:val="18"/>
              </w:rPr>
            </w:pPr>
            <w:r>
              <w:rPr>
                <w:color w:val="auto"/>
                <w:sz w:val="18"/>
                <w:szCs w:val="18"/>
              </w:rPr>
              <w:t>01 Sep 2026</w:t>
            </w:r>
          </w:p>
        </w:tc>
        <w:tc>
          <w:tcPr>
            <w:tcW w:w="5462" w:type="dxa"/>
            <w:tcBorders>
              <w:top w:val="nil"/>
              <w:left w:val="nil"/>
              <w:bottom w:val="single" w:sz="4" w:space="0" w:color="BFBFBF"/>
              <w:right w:val="single" w:sz="4" w:space="0" w:color="BFBFBF"/>
            </w:tcBorders>
            <w:hideMark/>
          </w:tcPr>
          <w:p w14:paraId="2F31768F" w14:textId="5CCCA3A3" w:rsidR="00057AA2" w:rsidRPr="00E464F8" w:rsidRDefault="00057AA2" w:rsidP="00057AA2">
            <w:pPr>
              <w:rPr>
                <w:rFonts w:eastAsia="Times New Roman"/>
                <w:color w:val="auto"/>
                <w:sz w:val="18"/>
                <w:szCs w:val="18"/>
              </w:rPr>
            </w:pPr>
            <w:r>
              <w:rPr>
                <w:color w:val="auto"/>
                <w:sz w:val="18"/>
                <w:szCs w:val="18"/>
              </w:rPr>
              <w:t>New this week: Malolan Sampath formally assumed office as Managing Director and CEO effective 01 Sep 2026, following his earlier appointment. Rasheed Adebiyi had served as Acting MD during the transition.</w:t>
            </w:r>
          </w:p>
        </w:tc>
      </w:tr>
      <w:tr w:rsidR="00057AA2" w:rsidRPr="009917D4" w14:paraId="224FCF4B" w14:textId="77777777" w:rsidTr="00AF380C">
        <w:trPr>
          <w:trHeight w:val="465"/>
        </w:trPr>
        <w:tc>
          <w:tcPr>
            <w:tcW w:w="1522" w:type="dxa"/>
            <w:tcBorders>
              <w:top w:val="nil"/>
              <w:left w:val="single" w:sz="4" w:space="0" w:color="BFBFBF"/>
              <w:bottom w:val="single" w:sz="4" w:space="0" w:color="BFBFBF"/>
              <w:right w:val="single" w:sz="4" w:space="0" w:color="BFBFBF"/>
            </w:tcBorders>
            <w:hideMark/>
          </w:tcPr>
          <w:p w14:paraId="27285E8F" w14:textId="102EF95A" w:rsidR="00057AA2" w:rsidRPr="00E464F8" w:rsidRDefault="00057AA2" w:rsidP="00057AA2">
            <w:pPr>
              <w:rPr>
                <w:rFonts w:eastAsia="Times New Roman"/>
                <w:color w:val="auto"/>
                <w:sz w:val="18"/>
                <w:szCs w:val="18"/>
              </w:rPr>
            </w:pPr>
            <w:r>
              <w:rPr>
                <w:color w:val="000000"/>
                <w:sz w:val="18"/>
                <w:szCs w:val="18"/>
              </w:rPr>
              <w:t>Seplat Energy Plc</w:t>
            </w:r>
          </w:p>
        </w:tc>
        <w:tc>
          <w:tcPr>
            <w:tcW w:w="1407" w:type="dxa"/>
            <w:tcBorders>
              <w:top w:val="nil"/>
              <w:left w:val="nil"/>
              <w:bottom w:val="single" w:sz="4" w:space="0" w:color="BFBFBF"/>
              <w:right w:val="single" w:sz="4" w:space="0" w:color="BFBFBF"/>
            </w:tcBorders>
            <w:hideMark/>
          </w:tcPr>
          <w:p w14:paraId="52C06180" w14:textId="038F5694" w:rsidR="00057AA2" w:rsidRPr="00E464F8" w:rsidRDefault="00057AA2" w:rsidP="00057AA2">
            <w:pPr>
              <w:rPr>
                <w:rFonts w:eastAsia="Times New Roman"/>
                <w:color w:val="auto"/>
                <w:sz w:val="18"/>
                <w:szCs w:val="18"/>
              </w:rPr>
            </w:pPr>
            <w:r>
              <w:rPr>
                <w:color w:val="000000"/>
                <w:sz w:val="18"/>
                <w:szCs w:val="18"/>
              </w:rPr>
              <w:t>Board succession and guidance</w:t>
            </w:r>
          </w:p>
        </w:tc>
        <w:tc>
          <w:tcPr>
            <w:tcW w:w="1319" w:type="dxa"/>
            <w:tcBorders>
              <w:top w:val="nil"/>
              <w:left w:val="nil"/>
              <w:bottom w:val="single" w:sz="4" w:space="0" w:color="BFBFBF"/>
              <w:right w:val="single" w:sz="4" w:space="0" w:color="BFBFBF"/>
            </w:tcBorders>
            <w:noWrap/>
            <w:hideMark/>
          </w:tcPr>
          <w:p w14:paraId="39694544" w14:textId="6C4D1DE6" w:rsidR="00057AA2" w:rsidRPr="00E464F8" w:rsidRDefault="00057AA2" w:rsidP="00057AA2">
            <w:pPr>
              <w:rPr>
                <w:rFonts w:eastAsia="Times New Roman"/>
                <w:color w:val="auto"/>
                <w:sz w:val="18"/>
                <w:szCs w:val="18"/>
              </w:rPr>
            </w:pPr>
            <w:r>
              <w:rPr>
                <w:color w:val="auto"/>
                <w:sz w:val="18"/>
                <w:szCs w:val="18"/>
              </w:rPr>
              <w:t>02 Sep 2026</w:t>
            </w:r>
          </w:p>
        </w:tc>
        <w:tc>
          <w:tcPr>
            <w:tcW w:w="5462" w:type="dxa"/>
            <w:tcBorders>
              <w:top w:val="nil"/>
              <w:left w:val="nil"/>
              <w:bottom w:val="single" w:sz="4" w:space="0" w:color="BFBFBF"/>
              <w:right w:val="single" w:sz="4" w:space="0" w:color="BFBFBF"/>
            </w:tcBorders>
            <w:hideMark/>
          </w:tcPr>
          <w:p w14:paraId="16930C69" w14:textId="208869EA" w:rsidR="00057AA2" w:rsidRPr="00E464F8" w:rsidRDefault="00057AA2" w:rsidP="00057AA2">
            <w:pPr>
              <w:rPr>
                <w:rFonts w:eastAsia="Times New Roman"/>
                <w:color w:val="auto"/>
                <w:sz w:val="18"/>
                <w:szCs w:val="18"/>
              </w:rPr>
            </w:pPr>
            <w:r>
              <w:rPr>
                <w:color w:val="auto"/>
                <w:sz w:val="18"/>
                <w:szCs w:val="18"/>
              </w:rPr>
              <w:t>New this week: Seplat confirmed that Tony Elumelu holds 20.07%, worth approximately $1.28bn, and becomes Chairman on 01 Jan 2027. Previously announced and reiterated: the target of at least $1bn of shareholder returns over 2026 to 2030 and 500,000 bpd of JV production.</w:t>
            </w:r>
          </w:p>
        </w:tc>
      </w:tr>
      <w:tr w:rsidR="00057AA2" w:rsidRPr="009917D4" w14:paraId="37F5DD67" w14:textId="77777777" w:rsidTr="00AF380C">
        <w:trPr>
          <w:trHeight w:val="285"/>
        </w:trPr>
        <w:tc>
          <w:tcPr>
            <w:tcW w:w="1522" w:type="dxa"/>
            <w:tcBorders>
              <w:top w:val="single" w:sz="4" w:space="0" w:color="BFBFBF"/>
              <w:left w:val="single" w:sz="4" w:space="0" w:color="BFBFBF"/>
              <w:bottom w:val="single" w:sz="4" w:space="0" w:color="BFBFBF"/>
              <w:right w:val="single" w:sz="4" w:space="0" w:color="BFBFBF"/>
            </w:tcBorders>
            <w:hideMark/>
          </w:tcPr>
          <w:p w14:paraId="6AD03E18" w14:textId="2F58705C" w:rsidR="00057AA2" w:rsidRPr="00E464F8" w:rsidRDefault="00057AA2" w:rsidP="00057AA2">
            <w:pPr>
              <w:rPr>
                <w:rFonts w:eastAsia="Times New Roman"/>
                <w:color w:val="auto"/>
                <w:sz w:val="18"/>
                <w:szCs w:val="18"/>
              </w:rPr>
            </w:pPr>
            <w:r>
              <w:rPr>
                <w:color w:val="000000"/>
                <w:sz w:val="18"/>
                <w:szCs w:val="18"/>
              </w:rPr>
              <w:t>Nigerian Exchange Group</w:t>
            </w:r>
          </w:p>
        </w:tc>
        <w:tc>
          <w:tcPr>
            <w:tcW w:w="1407" w:type="dxa"/>
            <w:tcBorders>
              <w:top w:val="single" w:sz="4" w:space="0" w:color="BFBFBF"/>
              <w:left w:val="nil"/>
              <w:bottom w:val="single" w:sz="4" w:space="0" w:color="BFBFBF"/>
              <w:right w:val="single" w:sz="4" w:space="0" w:color="BFBFBF"/>
            </w:tcBorders>
            <w:hideMark/>
          </w:tcPr>
          <w:p w14:paraId="51EB145B" w14:textId="6D417817" w:rsidR="00057AA2" w:rsidRPr="00E464F8" w:rsidRDefault="00057AA2" w:rsidP="00057AA2">
            <w:pPr>
              <w:rPr>
                <w:rFonts w:eastAsia="Times New Roman"/>
                <w:color w:val="auto"/>
                <w:sz w:val="18"/>
                <w:szCs w:val="18"/>
              </w:rPr>
            </w:pPr>
            <w:r>
              <w:rPr>
                <w:color w:val="000000"/>
                <w:sz w:val="18"/>
                <w:szCs w:val="18"/>
              </w:rPr>
              <w:t>Sustainability programme</w:t>
            </w:r>
          </w:p>
        </w:tc>
        <w:tc>
          <w:tcPr>
            <w:tcW w:w="1319" w:type="dxa"/>
            <w:tcBorders>
              <w:top w:val="single" w:sz="4" w:space="0" w:color="BFBFBF"/>
              <w:left w:val="nil"/>
              <w:bottom w:val="single" w:sz="4" w:space="0" w:color="BFBFBF"/>
              <w:right w:val="single" w:sz="4" w:space="0" w:color="BFBFBF"/>
            </w:tcBorders>
            <w:noWrap/>
            <w:hideMark/>
          </w:tcPr>
          <w:p w14:paraId="4278C7CB" w14:textId="042702CF" w:rsidR="00057AA2" w:rsidRPr="00E464F8" w:rsidRDefault="00057AA2" w:rsidP="00057AA2">
            <w:pPr>
              <w:rPr>
                <w:rFonts w:eastAsia="Times New Roman"/>
                <w:color w:val="auto"/>
                <w:sz w:val="18"/>
                <w:szCs w:val="18"/>
              </w:rPr>
            </w:pPr>
            <w:r>
              <w:rPr>
                <w:color w:val="auto"/>
                <w:sz w:val="18"/>
                <w:szCs w:val="18"/>
              </w:rPr>
              <w:t>04 Sep 2026</w:t>
            </w:r>
          </w:p>
        </w:tc>
        <w:tc>
          <w:tcPr>
            <w:tcW w:w="5462" w:type="dxa"/>
            <w:tcBorders>
              <w:top w:val="single" w:sz="4" w:space="0" w:color="BFBFBF"/>
              <w:left w:val="nil"/>
              <w:bottom w:val="single" w:sz="4" w:space="0" w:color="BFBFBF"/>
              <w:right w:val="single" w:sz="4" w:space="0" w:color="BFBFBF"/>
            </w:tcBorders>
            <w:hideMark/>
          </w:tcPr>
          <w:p w14:paraId="2E957D54" w14:textId="028D5E61" w:rsidR="00057AA2" w:rsidRPr="00E464F8" w:rsidRDefault="00057AA2" w:rsidP="00057AA2">
            <w:pPr>
              <w:rPr>
                <w:rFonts w:eastAsia="Times New Roman"/>
                <w:color w:val="auto"/>
                <w:sz w:val="18"/>
                <w:szCs w:val="18"/>
              </w:rPr>
            </w:pPr>
            <w:r>
              <w:rPr>
                <w:color w:val="auto"/>
                <w:sz w:val="18"/>
                <w:szCs w:val="18"/>
              </w:rPr>
              <w:t>N-Zero initiative commenced corporate climate baseline assessments. Baseline analysis concludes September, partner sessions October and November. Targets approximately 20,000 tCO2e of reduction or avoidance.</w:t>
            </w:r>
          </w:p>
        </w:tc>
      </w:tr>
      <w:tr w:rsidR="00057AA2" w:rsidRPr="009917D4" w14:paraId="424A68F6" w14:textId="77777777" w:rsidTr="00AF380C">
        <w:trPr>
          <w:trHeight w:val="465"/>
        </w:trPr>
        <w:tc>
          <w:tcPr>
            <w:tcW w:w="1522" w:type="dxa"/>
            <w:tcBorders>
              <w:top w:val="single" w:sz="4" w:space="0" w:color="BFBFBF"/>
              <w:left w:val="single" w:sz="4" w:space="0" w:color="BFBFBF"/>
              <w:bottom w:val="single" w:sz="4" w:space="0" w:color="BFBFBF"/>
              <w:right w:val="single" w:sz="4" w:space="0" w:color="BFBFBF"/>
            </w:tcBorders>
            <w:hideMark/>
          </w:tcPr>
          <w:p w14:paraId="6E3B82BF" w14:textId="012BAEB8" w:rsidR="00057AA2" w:rsidRPr="00E464F8" w:rsidRDefault="00057AA2" w:rsidP="00057AA2">
            <w:pPr>
              <w:rPr>
                <w:rFonts w:eastAsia="Times New Roman"/>
                <w:color w:val="auto"/>
                <w:sz w:val="18"/>
                <w:szCs w:val="18"/>
              </w:rPr>
            </w:pPr>
            <w:r>
              <w:rPr>
                <w:color w:val="000000"/>
                <w:sz w:val="18"/>
                <w:szCs w:val="18"/>
              </w:rPr>
              <w:t>Central Bank of Nigeria</w:t>
            </w:r>
          </w:p>
        </w:tc>
        <w:tc>
          <w:tcPr>
            <w:tcW w:w="1407" w:type="dxa"/>
            <w:tcBorders>
              <w:top w:val="single" w:sz="4" w:space="0" w:color="BFBFBF"/>
              <w:left w:val="nil"/>
              <w:bottom w:val="single" w:sz="4" w:space="0" w:color="BFBFBF"/>
              <w:right w:val="single" w:sz="4" w:space="0" w:color="BFBFBF"/>
            </w:tcBorders>
            <w:hideMark/>
          </w:tcPr>
          <w:p w14:paraId="7C13BA6A" w14:textId="6E6A1C4A" w:rsidR="00057AA2" w:rsidRPr="00E464F8" w:rsidRDefault="00057AA2" w:rsidP="00057AA2">
            <w:pPr>
              <w:rPr>
                <w:rFonts w:eastAsia="Times New Roman"/>
                <w:color w:val="auto"/>
                <w:sz w:val="18"/>
                <w:szCs w:val="18"/>
              </w:rPr>
            </w:pPr>
            <w:r>
              <w:rPr>
                <w:color w:val="000000"/>
                <w:sz w:val="18"/>
                <w:szCs w:val="18"/>
              </w:rPr>
              <w:t>Regulatory exposure draft</w:t>
            </w:r>
          </w:p>
        </w:tc>
        <w:tc>
          <w:tcPr>
            <w:tcW w:w="1319" w:type="dxa"/>
            <w:tcBorders>
              <w:top w:val="single" w:sz="4" w:space="0" w:color="BFBFBF"/>
              <w:left w:val="nil"/>
              <w:bottom w:val="single" w:sz="4" w:space="0" w:color="BFBFBF"/>
              <w:right w:val="single" w:sz="4" w:space="0" w:color="BFBFBF"/>
            </w:tcBorders>
            <w:noWrap/>
            <w:hideMark/>
          </w:tcPr>
          <w:p w14:paraId="1BE37D68" w14:textId="6EB6831E" w:rsidR="00057AA2" w:rsidRPr="00E464F8" w:rsidRDefault="00057AA2" w:rsidP="00057AA2">
            <w:pPr>
              <w:rPr>
                <w:rFonts w:eastAsia="Times New Roman"/>
                <w:color w:val="auto"/>
                <w:sz w:val="18"/>
                <w:szCs w:val="18"/>
              </w:rPr>
            </w:pPr>
            <w:r>
              <w:rPr>
                <w:color w:val="auto"/>
                <w:sz w:val="18"/>
                <w:szCs w:val="18"/>
              </w:rPr>
              <w:t>w/c 31 Aug 2026</w:t>
            </w:r>
          </w:p>
        </w:tc>
        <w:tc>
          <w:tcPr>
            <w:tcW w:w="5462" w:type="dxa"/>
            <w:tcBorders>
              <w:top w:val="single" w:sz="4" w:space="0" w:color="BFBFBF"/>
              <w:left w:val="nil"/>
              <w:bottom w:val="single" w:sz="4" w:space="0" w:color="BFBFBF"/>
              <w:right w:val="single" w:sz="4" w:space="0" w:color="BFBFBF"/>
            </w:tcBorders>
            <w:hideMark/>
          </w:tcPr>
          <w:p w14:paraId="014EACDE" w14:textId="6E6721F0" w:rsidR="00057AA2" w:rsidRPr="00E464F8" w:rsidRDefault="00057AA2" w:rsidP="00057AA2">
            <w:pPr>
              <w:rPr>
                <w:rFonts w:eastAsia="Times New Roman"/>
                <w:color w:val="auto"/>
                <w:sz w:val="18"/>
                <w:szCs w:val="18"/>
              </w:rPr>
            </w:pPr>
            <w:r>
              <w:rPr>
                <w:color w:val="auto"/>
                <w:sz w:val="18"/>
                <w:szCs w:val="18"/>
              </w:rPr>
              <w:t>Draft proposes financial holding companies maintain regulatory capital 20% above the combined minimum of all subsidiaries. Directly relevant to ACCESSCORP, FIRSTHOLDCO, GTCO and FCMB.</w:t>
            </w:r>
          </w:p>
        </w:tc>
      </w:tr>
      <w:tr w:rsidR="00057AA2" w:rsidRPr="009917D4" w14:paraId="4C67F498" w14:textId="77777777" w:rsidTr="00AF380C">
        <w:trPr>
          <w:trHeight w:val="285"/>
        </w:trPr>
        <w:tc>
          <w:tcPr>
            <w:tcW w:w="1522" w:type="dxa"/>
            <w:tcBorders>
              <w:top w:val="single" w:sz="4" w:space="0" w:color="BFBFBF"/>
              <w:left w:val="single" w:sz="4" w:space="0" w:color="BFBFBF"/>
              <w:bottom w:val="single" w:sz="4" w:space="0" w:color="BFBFBF"/>
              <w:right w:val="single" w:sz="4" w:space="0" w:color="BFBFBF"/>
            </w:tcBorders>
            <w:hideMark/>
          </w:tcPr>
          <w:p w14:paraId="3BA97491" w14:textId="2E19DDCA" w:rsidR="00057AA2" w:rsidRPr="00E464F8" w:rsidRDefault="00057AA2" w:rsidP="00057AA2">
            <w:pPr>
              <w:rPr>
                <w:rFonts w:eastAsia="Times New Roman"/>
                <w:color w:val="auto"/>
                <w:sz w:val="18"/>
                <w:szCs w:val="18"/>
              </w:rPr>
            </w:pPr>
            <w:r>
              <w:rPr>
                <w:color w:val="000000"/>
                <w:sz w:val="18"/>
                <w:szCs w:val="18"/>
              </w:rPr>
              <w:t>Transcorp Power Plc</w:t>
            </w:r>
          </w:p>
        </w:tc>
        <w:tc>
          <w:tcPr>
            <w:tcW w:w="1407" w:type="dxa"/>
            <w:tcBorders>
              <w:top w:val="single" w:sz="4" w:space="0" w:color="BFBFBF"/>
              <w:left w:val="nil"/>
              <w:bottom w:val="single" w:sz="4" w:space="0" w:color="BFBFBF"/>
              <w:right w:val="single" w:sz="4" w:space="0" w:color="BFBFBF"/>
            </w:tcBorders>
            <w:hideMark/>
          </w:tcPr>
          <w:p w14:paraId="6EE9C3C0" w14:textId="0AD1A6EA" w:rsidR="00057AA2" w:rsidRPr="00E464F8" w:rsidRDefault="00057AA2" w:rsidP="00057AA2">
            <w:pPr>
              <w:rPr>
                <w:rFonts w:eastAsia="Times New Roman"/>
                <w:color w:val="auto"/>
                <w:sz w:val="18"/>
                <w:szCs w:val="18"/>
              </w:rPr>
            </w:pPr>
            <w:r>
              <w:rPr>
                <w:color w:val="000000"/>
                <w:sz w:val="18"/>
                <w:szCs w:val="18"/>
              </w:rPr>
              <w:t>Board appointment</w:t>
            </w:r>
          </w:p>
        </w:tc>
        <w:tc>
          <w:tcPr>
            <w:tcW w:w="1319" w:type="dxa"/>
            <w:tcBorders>
              <w:top w:val="single" w:sz="4" w:space="0" w:color="BFBFBF"/>
              <w:left w:val="nil"/>
              <w:bottom w:val="single" w:sz="4" w:space="0" w:color="BFBFBF"/>
              <w:right w:val="single" w:sz="4" w:space="0" w:color="BFBFBF"/>
            </w:tcBorders>
            <w:noWrap/>
            <w:hideMark/>
          </w:tcPr>
          <w:p w14:paraId="19079E3B" w14:textId="30D52693" w:rsidR="00057AA2" w:rsidRPr="00E464F8" w:rsidRDefault="00057AA2" w:rsidP="00057AA2">
            <w:pPr>
              <w:rPr>
                <w:rFonts w:eastAsia="Times New Roman"/>
                <w:color w:val="auto"/>
                <w:sz w:val="18"/>
                <w:szCs w:val="18"/>
              </w:rPr>
            </w:pPr>
            <w:r>
              <w:rPr>
                <w:color w:val="auto"/>
                <w:sz w:val="18"/>
                <w:szCs w:val="18"/>
              </w:rPr>
              <w:t>02 Sep 2026</w:t>
            </w:r>
          </w:p>
        </w:tc>
        <w:tc>
          <w:tcPr>
            <w:tcW w:w="5462" w:type="dxa"/>
            <w:tcBorders>
              <w:top w:val="single" w:sz="4" w:space="0" w:color="BFBFBF"/>
              <w:left w:val="nil"/>
              <w:bottom w:val="single" w:sz="4" w:space="0" w:color="BFBFBF"/>
              <w:right w:val="single" w:sz="4" w:space="0" w:color="BFBFBF"/>
            </w:tcBorders>
            <w:hideMark/>
          </w:tcPr>
          <w:p w14:paraId="544DEC1D" w14:textId="336285C1" w:rsidR="00057AA2" w:rsidRPr="00E464F8" w:rsidRDefault="00057AA2" w:rsidP="00057AA2">
            <w:pPr>
              <w:rPr>
                <w:rFonts w:eastAsia="Times New Roman"/>
                <w:color w:val="auto"/>
                <w:sz w:val="18"/>
                <w:szCs w:val="18"/>
              </w:rPr>
            </w:pPr>
            <w:r>
              <w:rPr>
                <w:color w:val="auto"/>
                <w:sz w:val="18"/>
                <w:szCs w:val="18"/>
              </w:rPr>
              <w:t>New this week: proposed appointment of Maryam Bala Shehu as Independent Non-Executive Director, subject to approval by NERC.</w:t>
            </w:r>
          </w:p>
        </w:tc>
      </w:tr>
      <w:tr w:rsidR="00057AA2" w:rsidRPr="00AF380C" w14:paraId="4B09D51D" w14:textId="77777777" w:rsidTr="00AF380C">
        <w:trPr>
          <w:trHeight w:val="465"/>
        </w:trPr>
        <w:tc>
          <w:tcPr>
            <w:tcW w:w="1522" w:type="dxa"/>
            <w:tcBorders>
              <w:top w:val="single" w:sz="4" w:space="0" w:color="BFBFBF"/>
              <w:left w:val="single" w:sz="4" w:space="0" w:color="BFBFBF"/>
              <w:bottom w:val="single" w:sz="4" w:space="0" w:color="BFBFBF"/>
              <w:right w:val="single" w:sz="4" w:space="0" w:color="BFBFBF"/>
            </w:tcBorders>
            <w:hideMark/>
          </w:tcPr>
          <w:p w14:paraId="4B1F3FD0" w14:textId="7D01D67B" w:rsidR="00057AA2" w:rsidRPr="00AF380C" w:rsidRDefault="00057AA2" w:rsidP="00057AA2">
            <w:pPr>
              <w:rPr>
                <w:color w:val="000000"/>
                <w:sz w:val="18"/>
                <w:szCs w:val="18"/>
              </w:rPr>
            </w:pPr>
            <w:r>
              <w:rPr>
                <w:color w:val="000000"/>
                <w:sz w:val="18"/>
                <w:szCs w:val="18"/>
              </w:rPr>
              <w:t>PZ Cussons Nigeria Plc</w:t>
            </w:r>
          </w:p>
        </w:tc>
        <w:tc>
          <w:tcPr>
            <w:tcW w:w="1407" w:type="dxa"/>
            <w:tcBorders>
              <w:top w:val="single" w:sz="4" w:space="0" w:color="BFBFBF"/>
              <w:left w:val="single" w:sz="4" w:space="0" w:color="BFBFBF"/>
              <w:bottom w:val="single" w:sz="4" w:space="0" w:color="BFBFBF"/>
              <w:right w:val="single" w:sz="4" w:space="0" w:color="BFBFBF"/>
            </w:tcBorders>
            <w:hideMark/>
          </w:tcPr>
          <w:p w14:paraId="08DFEB2D" w14:textId="4A5A1DDA" w:rsidR="00057AA2" w:rsidRPr="00AF380C" w:rsidRDefault="00057AA2" w:rsidP="00057AA2">
            <w:pPr>
              <w:rPr>
                <w:color w:val="000000"/>
                <w:sz w:val="18"/>
                <w:szCs w:val="18"/>
              </w:rPr>
            </w:pPr>
            <w:r>
              <w:rPr>
                <w:color w:val="000000"/>
                <w:sz w:val="18"/>
                <w:szCs w:val="18"/>
              </w:rPr>
              <w:t>AGM / dividend</w:t>
            </w:r>
          </w:p>
        </w:tc>
        <w:tc>
          <w:tcPr>
            <w:tcW w:w="1319" w:type="dxa"/>
            <w:tcBorders>
              <w:top w:val="single" w:sz="4" w:space="0" w:color="BFBFBF"/>
              <w:left w:val="single" w:sz="4" w:space="0" w:color="BFBFBF"/>
              <w:bottom w:val="single" w:sz="4" w:space="0" w:color="BFBFBF"/>
              <w:right w:val="single" w:sz="4" w:space="0" w:color="BFBFBF"/>
            </w:tcBorders>
            <w:noWrap/>
            <w:hideMark/>
          </w:tcPr>
          <w:p w14:paraId="114DE44F" w14:textId="4690ABAD" w:rsidR="00057AA2" w:rsidRPr="00AF380C" w:rsidRDefault="00057AA2" w:rsidP="00057AA2">
            <w:pPr>
              <w:rPr>
                <w:color w:val="000000"/>
                <w:sz w:val="18"/>
                <w:szCs w:val="18"/>
              </w:rPr>
            </w:pPr>
            <w:r>
              <w:rPr>
                <w:color w:val="000000"/>
                <w:sz w:val="18"/>
                <w:szCs w:val="18"/>
              </w:rPr>
              <w:t>28 Oct 2026</w:t>
            </w:r>
          </w:p>
        </w:tc>
        <w:tc>
          <w:tcPr>
            <w:tcW w:w="5462" w:type="dxa"/>
            <w:tcBorders>
              <w:top w:val="single" w:sz="4" w:space="0" w:color="BFBFBF"/>
              <w:left w:val="single" w:sz="4" w:space="0" w:color="BFBFBF"/>
              <w:bottom w:val="single" w:sz="4" w:space="0" w:color="BFBFBF"/>
              <w:right w:val="single" w:sz="4" w:space="0" w:color="BFBFBF"/>
            </w:tcBorders>
            <w:hideMark/>
          </w:tcPr>
          <w:p w14:paraId="743C5EB2" w14:textId="03EC68D2" w:rsidR="00057AA2" w:rsidRPr="00AF380C" w:rsidRDefault="00057AA2" w:rsidP="00057AA2">
            <w:pPr>
              <w:rPr>
                <w:color w:val="000000"/>
                <w:sz w:val="18"/>
                <w:szCs w:val="18"/>
              </w:rPr>
            </w:pPr>
            <w:r>
              <w:rPr>
                <w:color w:val="000000"/>
                <w:sz w:val="18"/>
                <w:szCs w:val="18"/>
              </w:rPr>
              <w:t>New this week: FY2026 AGM scheduled for 28 Oct 2026; proposed ₦2.50 per share final dividend, subject to shareholder approval.</w:t>
            </w:r>
          </w:p>
        </w:tc>
      </w:tr>
      <w:tr w:rsidR="00AF380C" w:rsidRPr="00AF380C" w14:paraId="7E81FD61" w14:textId="77777777" w:rsidTr="00AF380C">
        <w:trPr>
          <w:trHeight w:val="465"/>
        </w:trPr>
        <w:tc>
          <w:tcPr>
            <w:tcW w:w="1522" w:type="dxa"/>
            <w:tcBorders>
              <w:top w:val="single" w:sz="4" w:space="0" w:color="BFBFBF"/>
              <w:left w:val="single" w:sz="4" w:space="0" w:color="BFBFBF"/>
              <w:bottom w:val="single" w:sz="4" w:space="0" w:color="BFBFBF"/>
              <w:right w:val="single" w:sz="4" w:space="0" w:color="BFBFBF"/>
            </w:tcBorders>
          </w:tcPr>
          <w:p w14:paraId="301AEFAB" w14:textId="2B09E705" w:rsidR="00AF380C" w:rsidRPr="00E464F8" w:rsidRDefault="00AF380C" w:rsidP="00AF380C">
            <w:pPr>
              <w:rPr>
                <w:color w:val="000000"/>
                <w:sz w:val="18"/>
                <w:szCs w:val="18"/>
              </w:rPr>
            </w:pPr>
            <w:r>
              <w:rPr>
                <w:color w:val="000000"/>
                <w:sz w:val="18"/>
                <w:szCs w:val="18"/>
              </w:rPr>
              <w:t>Debt Management Office</w:t>
            </w:r>
          </w:p>
        </w:tc>
        <w:tc>
          <w:tcPr>
            <w:tcW w:w="1407" w:type="dxa"/>
            <w:tcBorders>
              <w:top w:val="single" w:sz="4" w:space="0" w:color="BFBFBF"/>
              <w:left w:val="single" w:sz="4" w:space="0" w:color="BFBFBF"/>
              <w:bottom w:val="single" w:sz="4" w:space="0" w:color="BFBFBF"/>
              <w:right w:val="single" w:sz="4" w:space="0" w:color="BFBFBF"/>
            </w:tcBorders>
          </w:tcPr>
          <w:p w14:paraId="14694180" w14:textId="35F07B5E" w:rsidR="00AF380C" w:rsidRPr="00E464F8" w:rsidRDefault="00AF380C" w:rsidP="00AF380C">
            <w:pPr>
              <w:rPr>
                <w:color w:val="000000"/>
                <w:sz w:val="18"/>
                <w:szCs w:val="18"/>
              </w:rPr>
            </w:pPr>
            <w:r>
              <w:rPr>
                <w:color w:val="000000"/>
                <w:sz w:val="18"/>
                <w:szCs w:val="18"/>
              </w:rPr>
              <w:t>FGN Savings Bond listing</w:t>
            </w:r>
          </w:p>
        </w:tc>
        <w:tc>
          <w:tcPr>
            <w:tcW w:w="1319" w:type="dxa"/>
            <w:tcBorders>
              <w:top w:val="single" w:sz="4" w:space="0" w:color="BFBFBF"/>
              <w:left w:val="single" w:sz="4" w:space="0" w:color="BFBFBF"/>
              <w:bottom w:val="single" w:sz="4" w:space="0" w:color="BFBFBF"/>
              <w:right w:val="single" w:sz="4" w:space="0" w:color="BFBFBF"/>
            </w:tcBorders>
            <w:noWrap/>
          </w:tcPr>
          <w:p w14:paraId="25027ED4" w14:textId="65B982BD" w:rsidR="00AF380C" w:rsidRPr="00AF380C" w:rsidRDefault="00AF380C" w:rsidP="00AF380C">
            <w:pPr>
              <w:rPr>
                <w:color w:val="000000"/>
                <w:sz w:val="18"/>
                <w:szCs w:val="18"/>
              </w:rPr>
            </w:pPr>
            <w:r>
              <w:rPr>
                <w:color w:val="000000"/>
                <w:sz w:val="18"/>
                <w:szCs w:val="18"/>
              </w:rPr>
              <w:t>09 Sep 2026</w:t>
            </w:r>
          </w:p>
        </w:tc>
        <w:tc>
          <w:tcPr>
            <w:tcW w:w="5462" w:type="dxa"/>
            <w:tcBorders>
              <w:top w:val="single" w:sz="4" w:space="0" w:color="BFBFBF"/>
              <w:left w:val="single" w:sz="4" w:space="0" w:color="BFBFBF"/>
              <w:bottom w:val="single" w:sz="4" w:space="0" w:color="BFBFBF"/>
              <w:right w:val="single" w:sz="4" w:space="0" w:color="BFBFBF"/>
            </w:tcBorders>
          </w:tcPr>
          <w:p w14:paraId="6BC84EC0" w14:textId="18D97257" w:rsidR="00AF380C" w:rsidRPr="00AF380C" w:rsidRDefault="00AF380C" w:rsidP="00AF380C">
            <w:pPr>
              <w:rPr>
                <w:color w:val="000000"/>
                <w:sz w:val="18"/>
                <w:szCs w:val="18"/>
              </w:rPr>
            </w:pPr>
            <w:r>
              <w:rPr>
                <w:color w:val="000000"/>
                <w:sz w:val="18"/>
                <w:szCs w:val="18"/>
              </w:rPr>
              <w:t>August 2026 FGN Savings Bonds totalling ₦5.86bn listed 09 Sep 2026 across a 2 year instrument at a 13.963% coupon and a 3 year instrument at a 14.963% coupon</w:t>
            </w:r>
          </w:p>
        </w:tc>
      </w:tr>
      <w:tr w:rsidR="00AF380C" w:rsidRPr="00AF380C" w14:paraId="525C4C54" w14:textId="77777777" w:rsidTr="00AF380C">
        <w:trPr>
          <w:trHeight w:val="465"/>
        </w:trPr>
        <w:tc>
          <w:tcPr>
            <w:tcW w:w="1522" w:type="dxa"/>
            <w:tcBorders>
              <w:top w:val="single" w:sz="4" w:space="0" w:color="BFBFBF"/>
              <w:left w:val="single" w:sz="4" w:space="0" w:color="BFBFBF"/>
              <w:bottom w:val="single" w:sz="4" w:space="0" w:color="BFBFBF"/>
              <w:right w:val="single" w:sz="4" w:space="0" w:color="BFBFBF"/>
            </w:tcBorders>
          </w:tcPr>
          <w:p w14:paraId="1251A026" w14:textId="7159D446" w:rsidR="00AF380C" w:rsidRPr="00AF380C" w:rsidRDefault="00AF380C" w:rsidP="00AF380C">
            <w:pPr>
              <w:rPr>
                <w:color w:val="000000"/>
                <w:sz w:val="18"/>
                <w:szCs w:val="18"/>
              </w:rPr>
            </w:pPr>
            <w:r>
              <w:rPr>
                <w:color w:val="000000"/>
                <w:sz w:val="18"/>
                <w:szCs w:val="18"/>
              </w:rPr>
              <w:t>Nigerian Exchange (NGX)</w:t>
            </w:r>
          </w:p>
        </w:tc>
        <w:tc>
          <w:tcPr>
            <w:tcW w:w="1407" w:type="dxa"/>
            <w:tcBorders>
              <w:top w:val="single" w:sz="4" w:space="0" w:color="BFBFBF"/>
              <w:left w:val="single" w:sz="4" w:space="0" w:color="BFBFBF"/>
              <w:bottom w:val="single" w:sz="4" w:space="0" w:color="BFBFBF"/>
              <w:right w:val="single" w:sz="4" w:space="0" w:color="BFBFBF"/>
            </w:tcBorders>
          </w:tcPr>
          <w:p w14:paraId="60799371" w14:textId="1E31842F" w:rsidR="00AF380C" w:rsidRPr="00AF380C" w:rsidRDefault="00AF380C" w:rsidP="00AF380C">
            <w:pPr>
              <w:rPr>
                <w:color w:val="000000"/>
                <w:sz w:val="18"/>
                <w:szCs w:val="18"/>
              </w:rPr>
            </w:pPr>
            <w:r>
              <w:rPr>
                <w:color w:val="000000"/>
                <w:sz w:val="18"/>
                <w:szCs w:val="18"/>
              </w:rPr>
              <w:t>AGM season</w:t>
            </w:r>
          </w:p>
        </w:tc>
        <w:tc>
          <w:tcPr>
            <w:tcW w:w="1319" w:type="dxa"/>
            <w:tcBorders>
              <w:top w:val="single" w:sz="4" w:space="0" w:color="BFBFBF"/>
              <w:left w:val="single" w:sz="4" w:space="0" w:color="BFBFBF"/>
              <w:bottom w:val="single" w:sz="4" w:space="0" w:color="BFBFBF"/>
              <w:right w:val="single" w:sz="4" w:space="0" w:color="BFBFBF"/>
            </w:tcBorders>
            <w:noWrap/>
          </w:tcPr>
          <w:p w14:paraId="331A3463" w14:textId="6CA8B133" w:rsidR="00AF380C" w:rsidRPr="00AF380C" w:rsidRDefault="00AF380C" w:rsidP="00AF380C">
            <w:pPr>
              <w:rPr>
                <w:color w:val="000000"/>
                <w:sz w:val="18"/>
                <w:szCs w:val="18"/>
              </w:rPr>
            </w:pPr>
            <w:r>
              <w:rPr>
                <w:color w:val="000000"/>
                <w:sz w:val="18"/>
                <w:szCs w:val="18"/>
              </w:rPr>
              <w:t>14 to 30 Sep 2026</w:t>
            </w:r>
          </w:p>
        </w:tc>
        <w:tc>
          <w:tcPr>
            <w:tcW w:w="5462" w:type="dxa"/>
            <w:tcBorders>
              <w:top w:val="single" w:sz="4" w:space="0" w:color="BFBFBF"/>
              <w:left w:val="single" w:sz="4" w:space="0" w:color="BFBFBF"/>
              <w:bottom w:val="single" w:sz="4" w:space="0" w:color="BFBFBF"/>
              <w:right w:val="single" w:sz="4" w:space="0" w:color="BFBFBF"/>
            </w:tcBorders>
          </w:tcPr>
          <w:p w14:paraId="0F5887BE" w14:textId="1EA2DF3A" w:rsidR="00AF380C" w:rsidRPr="00AF380C" w:rsidRDefault="00AF380C" w:rsidP="00AF380C">
            <w:pPr>
              <w:rPr>
                <w:color w:val="000000"/>
                <w:sz w:val="18"/>
                <w:szCs w:val="18"/>
              </w:rPr>
            </w:pPr>
            <w:r>
              <w:rPr>
                <w:color w:val="000000"/>
                <w:sz w:val="18"/>
                <w:szCs w:val="18"/>
              </w:rPr>
              <w:t>X Compliance Report of 04 Sep 2026 lists 13 AGMs and one EGM between 14 and 30 Sep 2026, spanning insurance, agriculture, oil and gas, consumer goods, logistics, publishing, technology and manufacturing. Northern Nigeria Flour Mills opens the season 14 Sep in Kano; Presco 15 Sep virtual; Honeywell Flour Mills 16 Sep virtual; Oando 17 Sep virtual</w:t>
            </w:r>
          </w:p>
        </w:tc>
      </w:tr>
      <w:tr w:rsidR="00AF380C" w:rsidRPr="00AF380C" w14:paraId="19497A58" w14:textId="77777777" w:rsidTr="00AF380C">
        <w:trPr>
          <w:trHeight w:val="465"/>
        </w:trPr>
        <w:tc>
          <w:tcPr>
            <w:tcW w:w="1522" w:type="dxa"/>
            <w:tcBorders>
              <w:top w:val="single" w:sz="4" w:space="0" w:color="BFBFBF"/>
              <w:left w:val="single" w:sz="4" w:space="0" w:color="BFBFBF"/>
              <w:bottom w:val="single" w:sz="4" w:space="0" w:color="BFBFBF"/>
              <w:right w:val="single" w:sz="4" w:space="0" w:color="BFBFBF"/>
            </w:tcBorders>
          </w:tcPr>
          <w:p w14:paraId="2D89FE7F" w14:textId="695A648C" w:rsidR="00AF380C" w:rsidRPr="00AF380C" w:rsidRDefault="00AF380C" w:rsidP="00AF380C">
            <w:pPr>
              <w:rPr>
                <w:color w:val="000000"/>
                <w:sz w:val="18"/>
                <w:szCs w:val="18"/>
              </w:rPr>
            </w:pPr>
            <w:r>
              <w:rPr>
                <w:color w:val="000000"/>
                <w:sz w:val="18"/>
                <w:szCs w:val="18"/>
              </w:rPr>
              <w:t>Debt Management Office</w:t>
            </w:r>
          </w:p>
        </w:tc>
        <w:tc>
          <w:tcPr>
            <w:tcW w:w="1407" w:type="dxa"/>
            <w:tcBorders>
              <w:top w:val="single" w:sz="4" w:space="0" w:color="BFBFBF"/>
              <w:left w:val="single" w:sz="4" w:space="0" w:color="BFBFBF"/>
              <w:bottom w:val="single" w:sz="4" w:space="0" w:color="BFBFBF"/>
              <w:right w:val="single" w:sz="4" w:space="0" w:color="BFBFBF"/>
            </w:tcBorders>
          </w:tcPr>
          <w:p w14:paraId="21F51EB0" w14:textId="4BD03CB4" w:rsidR="00AF380C" w:rsidRPr="00AF380C" w:rsidRDefault="00AF380C" w:rsidP="00AF380C">
            <w:pPr>
              <w:rPr>
                <w:color w:val="000000"/>
                <w:sz w:val="18"/>
                <w:szCs w:val="18"/>
              </w:rPr>
            </w:pPr>
            <w:r>
              <w:rPr>
                <w:color w:val="000000"/>
                <w:sz w:val="18"/>
                <w:szCs w:val="18"/>
              </w:rPr>
              <w:t>Bond offer</w:t>
            </w:r>
          </w:p>
        </w:tc>
        <w:tc>
          <w:tcPr>
            <w:tcW w:w="1319" w:type="dxa"/>
            <w:tcBorders>
              <w:top w:val="single" w:sz="4" w:space="0" w:color="BFBFBF"/>
              <w:left w:val="single" w:sz="4" w:space="0" w:color="BFBFBF"/>
              <w:bottom w:val="single" w:sz="4" w:space="0" w:color="BFBFBF"/>
              <w:right w:val="single" w:sz="4" w:space="0" w:color="BFBFBF"/>
            </w:tcBorders>
            <w:noWrap/>
          </w:tcPr>
          <w:p w14:paraId="53A70387" w14:textId="0EB5AA2C" w:rsidR="00AF380C" w:rsidRPr="00AF380C" w:rsidRDefault="00AF380C" w:rsidP="00AF380C">
            <w:pPr>
              <w:rPr>
                <w:color w:val="000000"/>
                <w:sz w:val="18"/>
                <w:szCs w:val="18"/>
              </w:rPr>
            </w:pPr>
            <w:r>
              <w:rPr>
                <w:color w:val="000000"/>
                <w:sz w:val="18"/>
                <w:szCs w:val="18"/>
              </w:rPr>
              <w:t>13 Sep 2026</w:t>
            </w:r>
          </w:p>
        </w:tc>
        <w:tc>
          <w:tcPr>
            <w:tcW w:w="5462" w:type="dxa"/>
            <w:tcBorders>
              <w:top w:val="single" w:sz="4" w:space="0" w:color="BFBFBF"/>
              <w:left w:val="single" w:sz="4" w:space="0" w:color="BFBFBF"/>
              <w:bottom w:val="single" w:sz="4" w:space="0" w:color="BFBFBF"/>
              <w:right w:val="single" w:sz="4" w:space="0" w:color="BFBFBF"/>
            </w:tcBorders>
          </w:tcPr>
          <w:p w14:paraId="493F37B8" w14:textId="6A4E1939" w:rsidR="00AF380C" w:rsidRPr="00AF380C" w:rsidRDefault="00AF380C" w:rsidP="00AF380C">
            <w:pPr>
              <w:rPr>
                <w:color w:val="000000"/>
                <w:sz w:val="18"/>
                <w:szCs w:val="18"/>
              </w:rPr>
            </w:pPr>
            <w:r>
              <w:rPr>
                <w:color w:val="000000"/>
                <w:sz w:val="18"/>
                <w:szCs w:val="18"/>
              </w:rPr>
              <w:t>DMO returned to the 2038 bond with a fresh ₦600bn offer [DATA PENDING: coupon, auction date, allotment]</w:t>
            </w:r>
          </w:p>
        </w:tc>
      </w:tr>
    </w:tbl>
    <w:p w14:paraId="4C28DCFE" w14:textId="77777777" w:rsidR="003C178D" w:rsidRDefault="003C178D" w:rsidP="00057AA2">
      <w:pPr>
        <w:spacing w:before="180" w:after="80"/>
        <w:rPr>
          <w:b/>
          <w:bCs/>
          <w:color w:val="1A5C4E"/>
          <w:sz w:val="22"/>
          <w:szCs w:val="22"/>
        </w:rPr>
      </w:pPr>
    </w:p>
    <w:p w14:paraId="4606A4CB" w14:textId="56B2CC12" w:rsidR="00057AA2" w:rsidRDefault="00057AA2" w:rsidP="00057AA2">
      <w:pPr>
        <w:spacing w:before="180" w:after="80"/>
      </w:pPr>
      <w:r>
        <w:rPr>
          <w:b/>
          <w:bCs/>
          <w:color w:val="1A5C4E"/>
          <w:sz w:val="22"/>
          <w:szCs w:val="22"/>
        </w:rPr>
        <w:t>Earnings and Corporate Actions Commentary</w:t>
      </w:r>
    </w:p>
    <w:p w14:paraId="0F38BF5F" w14:textId="77777777" w:rsidR="00057AA2" w:rsidRPr="00057AA2" w:rsidRDefault="00057AA2" w:rsidP="00057AA2">
      <w:pPr>
        <w:spacing w:before="120" w:after="120"/>
        <w:rPr>
          <w:b/>
          <w:bCs/>
          <w:color w:val="000000" w:themeColor="text1"/>
        </w:rPr>
      </w:pPr>
      <w:r>
        <w:rPr>
          <w:b/>
          <w:bCs/>
          <w:color w:val="000000" w:themeColor="text1"/>
        </w:rPr>
        <w:t>Earnings</w:t>
      </w:r>
    </w:p>
    <w:p w14:paraId="2FEAE3C8" w14:textId="4B5DBC20" w:rsidR="00057AA2" w:rsidRPr="00057AA2" w:rsidRDefault="00AF380C" w:rsidP="00057AA2">
      <w:pPr>
        <w:pStyle w:val="ListParagraph"/>
        <w:numPr>
          <w:ilvl w:val="0"/>
          <w:numId w:val="11"/>
        </w:numPr>
        <w:spacing w:before="120" w:after="120"/>
        <w:rPr>
          <w:color w:val="auto"/>
        </w:rPr>
      </w:pPr>
      <w:r>
        <w:t xml:space="preserve">PZ Cussons Nigeria delivered the week's standout print. FY2026 audited revenue rose 22% YoY to ₦260.46bn from ₦212.63bn, PBT </w:t>
      </w:r>
      <w:r>
        <w:rPr>
          <w:b/>
          <w:color w:val="00B050"/>
        </w:rPr>
        <w:t>▲</w:t>
      </w:r>
      <w:r>
        <w:t xml:space="preserve">364.08% to ₦77.32bn and PAT </w:t>
      </w:r>
      <w:r>
        <w:rPr>
          <w:b/>
          <w:color w:val="00B050"/>
        </w:rPr>
        <w:t>▲</w:t>
      </w:r>
      <w:r>
        <w:t xml:space="preserve">348.7% to ₦45.17bn from ₦10.07bn, with EPS at ₦10.87 against ₦2.32. Equity swung positive to ₦66.64bn from negative ₦17.34bn. Excluding the identified non recurring asset disposal gain and applying the reported 41.6% effective tax rate, Equinox adjusted PAT is approximately ₦22.6bn and Equinox adjusted EPS approximately ₦5.20, roughly half the headline; both are Equinox estimates, not company reported figures. Nigeria REIT reported H1 2026 total income </w:t>
      </w:r>
      <w:r>
        <w:rPr>
          <w:b/>
          <w:color w:val="00B050"/>
        </w:rPr>
        <w:t>▲</w:t>
      </w:r>
      <w:r>
        <w:t>357.26% to ₦7.97bn, PBT and PAT both ₦6.05bn (</w:t>
      </w:r>
      <w:r>
        <w:rPr>
          <w:b/>
          <w:color w:val="00B050"/>
        </w:rPr>
        <w:t>▲</w:t>
      </w:r>
      <w:r>
        <w:t xml:space="preserve">328.17%), on total assets of ₦215.83bn, </w:t>
      </w:r>
      <w:r>
        <w:rPr>
          <w:b/>
          <w:color w:val="00B050"/>
        </w:rPr>
        <w:t>▲</w:t>
      </w:r>
      <w:r>
        <w:t xml:space="preserve">9.55% from Dec 2025. Operating expenses </w:t>
      </w:r>
      <w:r>
        <w:rPr>
          <w:b/>
          <w:color w:val="00B050"/>
        </w:rPr>
        <w:t>▲</w:t>
      </w:r>
      <w:r>
        <w:t xml:space="preserve">481.87% to ₦1.92bn outpaced income growth. Red Star Express FY2026 revenue </w:t>
      </w:r>
      <w:r>
        <w:rPr>
          <w:b/>
          <w:color w:val="00B050"/>
        </w:rPr>
        <w:t>▲</w:t>
      </w:r>
      <w:r>
        <w:t xml:space="preserve">8.47% to ₦23.49bn and PAT </w:t>
      </w:r>
      <w:r>
        <w:rPr>
          <w:b/>
          <w:color w:val="00B050"/>
        </w:rPr>
        <w:t>▲</w:t>
      </w:r>
      <w:r>
        <w:t>7.09% to ₦585m, EPS ₦0.61. No published consensus estimates are available for these three names.</w:t>
      </w:r>
    </w:p>
    <w:p w14:paraId="61313DA8" w14:textId="77777777" w:rsidR="00057AA2" w:rsidRPr="00057AA2" w:rsidRDefault="00057AA2" w:rsidP="00057AA2">
      <w:pPr>
        <w:spacing w:before="120" w:after="120"/>
        <w:rPr>
          <w:b/>
          <w:bCs/>
          <w:color w:val="auto"/>
        </w:rPr>
      </w:pPr>
      <w:r>
        <w:rPr>
          <w:b/>
          <w:bCs/>
          <w:color w:val="auto"/>
        </w:rPr>
        <w:t>Dividends</w:t>
      </w:r>
    </w:p>
    <w:p w14:paraId="3C22630B" w14:textId="0C6A39CD" w:rsidR="00057AA2" w:rsidRPr="003C178D" w:rsidRDefault="00AF380C" w:rsidP="00057AA2">
      <w:pPr>
        <w:pStyle w:val="ListParagraph"/>
        <w:numPr>
          <w:ilvl w:val="0"/>
          <w:numId w:val="11"/>
        </w:numPr>
        <w:spacing w:before="120" w:after="120"/>
        <w:rPr>
          <w:color w:val="auto"/>
        </w:rPr>
      </w:pPr>
      <w:r>
        <w:rPr>
          <w:color w:val="auto"/>
        </w:rPr>
        <w:t>PZ Cussons declared ₦2.50 final, its first since 2022, total payout ₦9.93bn, qualification 09 Oct, payment 30 Oct 2026. Red Star Express ₦0.45 final, payment 18 Sep. Nigeria REIT ₦1.72 distribution, paid 08 Sep. Learn Africa ₦0.35 final, qualification 11 Sep, payment 25 Sep.</w:t>
      </w:r>
    </w:p>
    <w:p w14:paraId="0E3E7C15" w14:textId="77777777" w:rsidR="00057AA2" w:rsidRPr="00057AA2" w:rsidRDefault="00057AA2" w:rsidP="00057AA2">
      <w:pPr>
        <w:spacing w:before="120" w:after="120"/>
        <w:rPr>
          <w:b/>
          <w:bCs/>
          <w:color w:val="auto"/>
        </w:rPr>
      </w:pPr>
      <w:r>
        <w:rPr>
          <w:b/>
          <w:bCs/>
          <w:color w:val="auto"/>
        </w:rPr>
        <w:t>Capital actions</w:t>
      </w:r>
    </w:p>
    <w:p w14:paraId="4B7CABF9" w14:textId="23B0DD59" w:rsidR="00057AA2" w:rsidRPr="003C178D" w:rsidRDefault="00AF380C" w:rsidP="00057AA2">
      <w:pPr>
        <w:pStyle w:val="ListParagraph"/>
        <w:numPr>
          <w:ilvl w:val="0"/>
          <w:numId w:val="11"/>
        </w:numPr>
        <w:spacing w:before="120" w:after="120"/>
        <w:rPr>
          <w:color w:val="auto"/>
        </w:rPr>
      </w:pPr>
      <w:r>
        <w:rPr>
          <w:color w:val="auto"/>
        </w:rPr>
        <w:t>Dangote Sugar Refinery listed 8,097,918,827 rights issue shares on 07 Sep, taking issued shares to 20,244,797,068. The ₦5.86bn August FGN Savings Bonds listed 09 Sep at 13.963% and 14.963%.</w:t>
      </w:r>
    </w:p>
    <w:p w14:paraId="08DE513E" w14:textId="77777777" w:rsidR="00057AA2" w:rsidRPr="00057AA2" w:rsidRDefault="00057AA2" w:rsidP="00057AA2">
      <w:pPr>
        <w:spacing w:before="120" w:after="120"/>
        <w:rPr>
          <w:b/>
          <w:bCs/>
          <w:color w:val="auto"/>
        </w:rPr>
      </w:pPr>
      <w:r>
        <w:rPr>
          <w:b/>
          <w:bCs/>
          <w:color w:val="auto"/>
        </w:rPr>
        <w:t>Other</w:t>
      </w:r>
    </w:p>
    <w:p w14:paraId="7B76FC8F" w14:textId="282876B8" w:rsidR="00057AA2" w:rsidRPr="003C178D" w:rsidRDefault="00AF380C" w:rsidP="00057AA2">
      <w:pPr>
        <w:pStyle w:val="ListParagraph"/>
        <w:numPr>
          <w:ilvl w:val="0"/>
          <w:numId w:val="11"/>
        </w:numPr>
        <w:spacing w:before="120" w:after="120"/>
        <w:rPr>
          <w:color w:val="auto"/>
        </w:rPr>
      </w:pPr>
      <w:r>
        <w:t>Dangote Refinery's prospectus landed 07 Sep ahead of the offer, which opened 14 Sep and runs to 13 Oct: 4.1bn new ordinary shares at ₦525 for gross proceeds of ₦2.15tn. The new shares represent 3.30% of enlarged share capital of 124.23bn shares. At the offer price that implies an equity value of ₦63.07tn on the 120.13bn shares already registered with the SEC, and ₦65.22tn post money.</w:t>
      </w:r>
    </w:p>
    <w:p w14:paraId="27B52CF7" w14:textId="77777777" w:rsidR="004800DB" w:rsidRDefault="004800DB">
      <w:pPr>
        <w:rPr>
          <w:b/>
          <w:bCs/>
          <w:color w:val="D6EDF0"/>
          <w:sz w:val="22"/>
          <w:szCs w:val="22"/>
        </w:rPr>
      </w:pPr>
      <w:r>
        <w:rPr>
          <w:b/>
          <w:bCs/>
          <w:color w:val="D6EDF0"/>
          <w:sz w:val="22"/>
          <w:szCs w:val="22"/>
        </w:rPr>
        <w:br w:type="page"/>
      </w:r>
    </w:p>
    <w:p w14:paraId="7E02A1D0" w14:textId="77777777" w:rsidR="00057AA2" w:rsidRDefault="00057AA2">
      <w:pPr>
        <w:rPr>
          <w:b/>
          <w:bCs/>
          <w:color w:val="D6EDF0"/>
          <w:sz w:val="22"/>
          <w:szCs w:val="22"/>
        </w:rPr>
      </w:pPr>
    </w:p>
    <w:p w14:paraId="6C8ABAFF" w14:textId="77777777" w:rsidR="00C06B25" w:rsidRDefault="00CB3E7C" w:rsidP="007C2330">
      <w:pPr>
        <w:shd w:val="clear" w:color="auto" w:fill="1A5C4E"/>
        <w:spacing w:before="280" w:after="120"/>
        <w:ind w:left="160"/>
      </w:pPr>
      <w:r>
        <w:rPr>
          <w:b/>
          <w:bCs/>
          <w:color w:val="D6EDF0"/>
          <w:sz w:val="22"/>
          <w:szCs w:val="22"/>
        </w:rPr>
        <w:t xml:space="preserve">SECTION 7  </w:t>
      </w:r>
      <w:r>
        <w:rPr>
          <w:b/>
          <w:bCs/>
          <w:color w:val="FFFFFF"/>
          <w:sz w:val="22"/>
          <w:szCs w:val="22"/>
        </w:rPr>
        <w:t>|  NIGERIA — MACRO DASHBOARD</w:t>
      </w:r>
    </w:p>
    <w:p w14:paraId="2134BC7A" w14:textId="77777777" w:rsidR="00C06B25" w:rsidRDefault="00CB3E7C">
      <w:pPr>
        <w:spacing w:before="180" w:after="80"/>
      </w:pPr>
      <w:r>
        <w:rPr>
          <w:b/>
          <w:bCs/>
          <w:color w:val="1A5C4E"/>
          <w:sz w:val="22"/>
          <w:szCs w:val="22"/>
        </w:rPr>
        <w:t>Currency &amp; FX</w:t>
      </w:r>
    </w:p>
    <w:tbl>
      <w:tblPr>
        <w:tblW w:w="5000" w:type="pct"/>
        <w:tblLook w:val="04A0" w:firstRow="1" w:lastRow="0" w:firstColumn="1" w:lastColumn="0" w:noHBand="0" w:noVBand="1"/>
      </w:tblPr>
      <w:tblGrid>
        <w:gridCol w:w="3167"/>
        <w:gridCol w:w="1893"/>
        <w:gridCol w:w="1688"/>
        <w:gridCol w:w="1482"/>
        <w:gridCol w:w="1480"/>
      </w:tblGrid>
      <w:tr w:rsidR="00AD0FBC" w:rsidRPr="00AD0FBC" w14:paraId="3BE1A1FA" w14:textId="77777777" w:rsidTr="000B07AB">
        <w:trPr>
          <w:trHeight w:val="360"/>
        </w:trPr>
        <w:tc>
          <w:tcPr>
            <w:tcW w:w="1631" w:type="pct"/>
            <w:tcBorders>
              <w:top w:val="single" w:sz="4" w:space="0" w:color="CCCCCC"/>
              <w:left w:val="single" w:sz="4" w:space="0" w:color="CCCCCC"/>
              <w:bottom w:val="single" w:sz="4" w:space="0" w:color="CCCCCC"/>
              <w:right w:val="single" w:sz="4" w:space="0" w:color="CCCCCC"/>
            </w:tcBorders>
            <w:shd w:val="clear" w:color="000000" w:fill="1A5C4E"/>
            <w:noWrap/>
            <w:vAlign w:val="center"/>
            <w:hideMark/>
          </w:tcPr>
          <w:p w14:paraId="7F2F6743"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Indicator</w:t>
            </w:r>
          </w:p>
        </w:tc>
        <w:tc>
          <w:tcPr>
            <w:tcW w:w="975" w:type="pct"/>
            <w:tcBorders>
              <w:top w:val="single" w:sz="4" w:space="0" w:color="CCCCCC"/>
              <w:left w:val="nil"/>
              <w:bottom w:val="single" w:sz="4" w:space="0" w:color="CCCCCC"/>
              <w:right w:val="single" w:sz="4" w:space="0" w:color="CCCCCC"/>
            </w:tcBorders>
            <w:shd w:val="clear" w:color="000000" w:fill="1A5C4E"/>
            <w:noWrap/>
            <w:vAlign w:val="center"/>
            <w:hideMark/>
          </w:tcPr>
          <w:p w14:paraId="58997877"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Latest Value</w:t>
            </w:r>
          </w:p>
        </w:tc>
        <w:tc>
          <w:tcPr>
            <w:tcW w:w="869" w:type="pct"/>
            <w:tcBorders>
              <w:top w:val="single" w:sz="4" w:space="0" w:color="CCCCCC"/>
              <w:left w:val="nil"/>
              <w:bottom w:val="single" w:sz="4" w:space="0" w:color="CCCCCC"/>
              <w:right w:val="single" w:sz="4" w:space="0" w:color="CCCCCC"/>
            </w:tcBorders>
            <w:shd w:val="clear" w:color="000000" w:fill="1A5C4E"/>
            <w:noWrap/>
            <w:vAlign w:val="center"/>
            <w:hideMark/>
          </w:tcPr>
          <w:p w14:paraId="12AF4247"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As-of Date</w:t>
            </w:r>
          </w:p>
        </w:tc>
        <w:tc>
          <w:tcPr>
            <w:tcW w:w="763" w:type="pct"/>
            <w:tcBorders>
              <w:top w:val="single" w:sz="4" w:space="0" w:color="CCCCCC"/>
              <w:left w:val="nil"/>
              <w:bottom w:val="single" w:sz="4" w:space="0" w:color="CCCCCC"/>
              <w:right w:val="single" w:sz="4" w:space="0" w:color="CCCCCC"/>
            </w:tcBorders>
            <w:shd w:val="clear" w:color="000000" w:fill="1A5C4E"/>
            <w:noWrap/>
            <w:vAlign w:val="center"/>
            <w:hideMark/>
          </w:tcPr>
          <w:p w14:paraId="688E577C"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WoW Change</w:t>
            </w:r>
          </w:p>
        </w:tc>
        <w:tc>
          <w:tcPr>
            <w:tcW w:w="762" w:type="pct"/>
            <w:tcBorders>
              <w:top w:val="single" w:sz="4" w:space="0" w:color="CCCCCC"/>
              <w:left w:val="nil"/>
              <w:bottom w:val="single" w:sz="4" w:space="0" w:color="CCCCCC"/>
              <w:right w:val="single" w:sz="4" w:space="0" w:color="CCCCCC"/>
            </w:tcBorders>
            <w:shd w:val="clear" w:color="000000" w:fill="1A5C4E"/>
            <w:noWrap/>
            <w:vAlign w:val="center"/>
            <w:hideMark/>
          </w:tcPr>
          <w:p w14:paraId="37BF2B01"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WoW %</w:t>
            </w:r>
          </w:p>
        </w:tc>
      </w:tr>
      <w:tr w:rsidR="00AF380C" w:rsidRPr="00AD0FBC" w14:paraId="46399A0A" w14:textId="77777777" w:rsidTr="000B07AB">
        <w:trPr>
          <w:trHeight w:val="315"/>
        </w:trPr>
        <w:tc>
          <w:tcPr>
            <w:tcW w:w="1631" w:type="pct"/>
            <w:tcBorders>
              <w:top w:val="nil"/>
              <w:left w:val="single" w:sz="4" w:space="0" w:color="CCCCCC"/>
              <w:bottom w:val="single" w:sz="4" w:space="0" w:color="CCCCCC"/>
              <w:right w:val="single" w:sz="4" w:space="0" w:color="CCCCCC"/>
            </w:tcBorders>
            <w:noWrap/>
            <w:vAlign w:val="center"/>
            <w:hideMark/>
          </w:tcPr>
          <w:p w14:paraId="5A0FBAC7" w14:textId="77777777" w:rsidR="00AF380C" w:rsidRPr="000B07AB" w:rsidRDefault="00AF380C" w:rsidP="00AF380C">
            <w:pPr>
              <w:rPr>
                <w:rFonts w:eastAsia="Times New Roman"/>
                <w:b/>
                <w:bCs/>
                <w:sz w:val="18"/>
                <w:szCs w:val="18"/>
              </w:rPr>
            </w:pPr>
            <w:r>
              <w:rPr>
                <w:b/>
                <w:bCs/>
              </w:rPr>
              <w:t>USD/NGN (NAFEM Official)</w:t>
            </w:r>
          </w:p>
        </w:tc>
        <w:tc>
          <w:tcPr>
            <w:tcW w:w="975" w:type="pct"/>
            <w:tcBorders>
              <w:top w:val="nil"/>
              <w:left w:val="nil"/>
              <w:bottom w:val="single" w:sz="4" w:space="0" w:color="CCCCCC"/>
              <w:right w:val="single" w:sz="4" w:space="0" w:color="CCCCCC"/>
            </w:tcBorders>
            <w:noWrap/>
            <w:vAlign w:val="center"/>
            <w:hideMark/>
          </w:tcPr>
          <w:p w14:paraId="287D3EA9" w14:textId="34A94869" w:rsidR="00AF380C" w:rsidRPr="00BB4BAD" w:rsidRDefault="00AF380C" w:rsidP="00AF380C">
            <w:pPr>
              <w:jc w:val="right"/>
              <w:rPr>
                <w:rFonts w:eastAsia="Times New Roman"/>
                <w:b/>
                <w:bCs/>
                <w:color w:val="196B24" w:themeColor="accent3"/>
                <w:sz w:val="18"/>
                <w:szCs w:val="18"/>
              </w:rPr>
            </w:pPr>
            <w:r>
              <w:rPr>
                <w:b/>
                <w:bCs/>
                <w:color w:val="1A5C2E"/>
              </w:rPr>
              <w:t>1,326.23</w:t>
            </w:r>
          </w:p>
        </w:tc>
        <w:tc>
          <w:tcPr>
            <w:tcW w:w="869" w:type="pct"/>
            <w:tcBorders>
              <w:top w:val="nil"/>
              <w:left w:val="nil"/>
              <w:bottom w:val="single" w:sz="4" w:space="0" w:color="CCCCCC"/>
              <w:right w:val="single" w:sz="4" w:space="0" w:color="CCCCCC"/>
            </w:tcBorders>
            <w:noWrap/>
            <w:vAlign w:val="center"/>
            <w:hideMark/>
          </w:tcPr>
          <w:p w14:paraId="67D98F1E" w14:textId="3E6536FA" w:rsidR="00AF380C" w:rsidRPr="003C178D" w:rsidRDefault="00AF380C" w:rsidP="00AF380C">
            <w:pPr>
              <w:jc w:val="center"/>
              <w:rPr>
                <w:rFonts w:eastAsia="Times New Roman"/>
                <w:b/>
                <w:bCs/>
                <w:color w:val="124F1A" w:themeColor="accent3" w:themeShade="BF"/>
                <w:sz w:val="18"/>
                <w:szCs w:val="18"/>
              </w:rPr>
            </w:pPr>
            <w:r>
              <w:rPr>
                <w:b/>
                <w:bCs/>
                <w:color w:val="1A5C2E"/>
              </w:rPr>
              <w:t>2026-09-11</w:t>
            </w:r>
          </w:p>
        </w:tc>
        <w:tc>
          <w:tcPr>
            <w:tcW w:w="763" w:type="pct"/>
            <w:tcBorders>
              <w:top w:val="nil"/>
              <w:left w:val="nil"/>
              <w:bottom w:val="single" w:sz="4" w:space="0" w:color="CCCCCC"/>
              <w:right w:val="single" w:sz="4" w:space="0" w:color="CCCCCC"/>
            </w:tcBorders>
            <w:noWrap/>
            <w:vAlign w:val="center"/>
            <w:hideMark/>
          </w:tcPr>
          <w:p w14:paraId="205454CE" w14:textId="747A5CE0" w:rsidR="00AF380C" w:rsidRPr="00BB4BAD" w:rsidRDefault="00AF380C" w:rsidP="00AF380C">
            <w:pPr>
              <w:jc w:val="right"/>
              <w:rPr>
                <w:rFonts w:eastAsia="Times New Roman"/>
                <w:b/>
                <w:bCs/>
                <w:color w:val="196B24" w:themeColor="accent3"/>
                <w:sz w:val="18"/>
                <w:szCs w:val="18"/>
              </w:rPr>
            </w:pPr>
            <w:r>
              <w:rPr>
                <w:b/>
                <w:bCs/>
                <w:color w:val="1A5C2E"/>
              </w:rPr>
              <w:t>4.80</w:t>
            </w:r>
          </w:p>
        </w:tc>
        <w:tc>
          <w:tcPr>
            <w:tcW w:w="762" w:type="pct"/>
            <w:tcBorders>
              <w:top w:val="nil"/>
              <w:left w:val="nil"/>
              <w:bottom w:val="single" w:sz="4" w:space="0" w:color="CCCCCC"/>
              <w:right w:val="single" w:sz="4" w:space="0" w:color="CCCCCC"/>
            </w:tcBorders>
            <w:noWrap/>
            <w:vAlign w:val="center"/>
            <w:hideMark/>
          </w:tcPr>
          <w:p w14:paraId="5E4633AF" w14:textId="4FA68A23" w:rsidR="00AF380C" w:rsidRPr="00BB4BAD" w:rsidRDefault="00AF380C" w:rsidP="00AF380C">
            <w:pPr>
              <w:jc w:val="center"/>
              <w:rPr>
                <w:rFonts w:eastAsia="Times New Roman"/>
                <w:b/>
                <w:bCs/>
                <w:color w:val="196B24" w:themeColor="accent3"/>
                <w:sz w:val="18"/>
                <w:szCs w:val="18"/>
              </w:rPr>
            </w:pPr>
            <w:r>
              <w:rPr>
                <w:b/>
                <w:bCs/>
                <w:color w:val="1A5C2E"/>
              </w:rPr>
              <w:t>+0.36%</w:t>
            </w:r>
          </w:p>
        </w:tc>
      </w:tr>
      <w:tr w:rsidR="00AF380C" w:rsidRPr="00AD0FBC" w14:paraId="1E937BE7" w14:textId="77777777" w:rsidTr="000B07AB">
        <w:trPr>
          <w:trHeight w:val="315"/>
        </w:trPr>
        <w:tc>
          <w:tcPr>
            <w:tcW w:w="1631" w:type="pct"/>
            <w:tcBorders>
              <w:top w:val="nil"/>
              <w:left w:val="single" w:sz="4" w:space="0" w:color="CCCCCC"/>
              <w:bottom w:val="single" w:sz="4" w:space="0" w:color="CCCCCC"/>
              <w:right w:val="single" w:sz="4" w:space="0" w:color="CCCCCC"/>
            </w:tcBorders>
            <w:shd w:val="clear" w:color="000000" w:fill="E6F4EA"/>
            <w:noWrap/>
            <w:vAlign w:val="center"/>
            <w:hideMark/>
          </w:tcPr>
          <w:p w14:paraId="2AD746D4" w14:textId="77777777" w:rsidR="00AF380C" w:rsidRPr="000B07AB" w:rsidRDefault="00AF380C" w:rsidP="00AF380C">
            <w:pPr>
              <w:rPr>
                <w:rFonts w:eastAsia="Times New Roman"/>
                <w:b/>
                <w:bCs/>
                <w:sz w:val="18"/>
                <w:szCs w:val="18"/>
              </w:rPr>
            </w:pPr>
            <w:r>
              <w:rPr>
                <w:b/>
                <w:bCs/>
              </w:rPr>
              <w:t>GBP/NGN</w:t>
            </w:r>
          </w:p>
        </w:tc>
        <w:tc>
          <w:tcPr>
            <w:tcW w:w="975" w:type="pct"/>
            <w:tcBorders>
              <w:top w:val="nil"/>
              <w:left w:val="nil"/>
              <w:bottom w:val="single" w:sz="4" w:space="0" w:color="CCCCCC"/>
              <w:right w:val="single" w:sz="4" w:space="0" w:color="CCCCCC"/>
            </w:tcBorders>
            <w:shd w:val="clear" w:color="000000" w:fill="E6F4EA"/>
            <w:noWrap/>
            <w:vAlign w:val="center"/>
            <w:hideMark/>
          </w:tcPr>
          <w:p w14:paraId="1FC4FAA6" w14:textId="147BC4AA" w:rsidR="00AF380C" w:rsidRPr="00BB4BAD" w:rsidRDefault="00AF380C" w:rsidP="00AF380C">
            <w:pPr>
              <w:jc w:val="right"/>
              <w:rPr>
                <w:rFonts w:eastAsia="Times New Roman"/>
                <w:b/>
                <w:bCs/>
                <w:color w:val="196B24" w:themeColor="accent3"/>
                <w:sz w:val="18"/>
                <w:szCs w:val="18"/>
              </w:rPr>
            </w:pPr>
            <w:r>
              <w:rPr>
                <w:b/>
                <w:bCs/>
                <w:color w:val="1A5C2E"/>
              </w:rPr>
              <w:t>1,787.76</w:t>
            </w:r>
          </w:p>
        </w:tc>
        <w:tc>
          <w:tcPr>
            <w:tcW w:w="869" w:type="pct"/>
            <w:tcBorders>
              <w:top w:val="nil"/>
              <w:left w:val="nil"/>
              <w:bottom w:val="single" w:sz="4" w:space="0" w:color="CCCCCC"/>
              <w:right w:val="single" w:sz="4" w:space="0" w:color="CCCCCC"/>
            </w:tcBorders>
            <w:shd w:val="clear" w:color="000000" w:fill="E6F4EA"/>
            <w:noWrap/>
            <w:vAlign w:val="center"/>
            <w:hideMark/>
          </w:tcPr>
          <w:p w14:paraId="62D07EA8" w14:textId="56714AB7" w:rsidR="00AF380C" w:rsidRPr="003C178D" w:rsidRDefault="00AF380C" w:rsidP="00AF380C">
            <w:pPr>
              <w:jc w:val="center"/>
              <w:rPr>
                <w:rFonts w:eastAsia="Times New Roman"/>
                <w:b/>
                <w:bCs/>
                <w:color w:val="124F1A" w:themeColor="accent3" w:themeShade="BF"/>
                <w:sz w:val="18"/>
                <w:szCs w:val="18"/>
              </w:rPr>
            </w:pPr>
            <w:r>
              <w:rPr>
                <w:b/>
                <w:bCs/>
                <w:color w:val="1A5C2E"/>
              </w:rPr>
              <w:t>2026-09-11</w:t>
            </w:r>
          </w:p>
        </w:tc>
        <w:tc>
          <w:tcPr>
            <w:tcW w:w="763" w:type="pct"/>
            <w:tcBorders>
              <w:top w:val="nil"/>
              <w:left w:val="nil"/>
              <w:bottom w:val="single" w:sz="4" w:space="0" w:color="CCCCCC"/>
              <w:right w:val="single" w:sz="4" w:space="0" w:color="CCCCCC"/>
            </w:tcBorders>
            <w:shd w:val="clear" w:color="000000" w:fill="E6F4EA"/>
            <w:noWrap/>
            <w:vAlign w:val="center"/>
            <w:hideMark/>
          </w:tcPr>
          <w:p w14:paraId="7397D064" w14:textId="2B6EA691" w:rsidR="00AF380C" w:rsidRPr="00BB4BAD" w:rsidRDefault="00AF380C" w:rsidP="00AF380C">
            <w:pPr>
              <w:jc w:val="right"/>
              <w:rPr>
                <w:rFonts w:eastAsia="Times New Roman"/>
                <w:b/>
                <w:bCs/>
                <w:color w:val="196B24" w:themeColor="accent3"/>
                <w:sz w:val="18"/>
                <w:szCs w:val="18"/>
              </w:rPr>
            </w:pPr>
            <w:r>
              <w:rPr>
                <w:b/>
                <w:bCs/>
                <w:color w:val="1A5C2E"/>
              </w:rPr>
              <w:t>-7.83</w:t>
            </w:r>
          </w:p>
        </w:tc>
        <w:tc>
          <w:tcPr>
            <w:tcW w:w="762" w:type="pct"/>
            <w:tcBorders>
              <w:top w:val="nil"/>
              <w:left w:val="nil"/>
              <w:bottom w:val="single" w:sz="4" w:space="0" w:color="CCCCCC"/>
              <w:right w:val="single" w:sz="4" w:space="0" w:color="CCCCCC"/>
            </w:tcBorders>
            <w:shd w:val="clear" w:color="000000" w:fill="E6F4EA"/>
            <w:noWrap/>
            <w:vAlign w:val="center"/>
            <w:hideMark/>
          </w:tcPr>
          <w:p w14:paraId="2222729B" w14:textId="3A989056" w:rsidR="00AF380C" w:rsidRPr="00BB4BAD" w:rsidRDefault="00AF380C" w:rsidP="00AF380C">
            <w:pPr>
              <w:jc w:val="center"/>
              <w:rPr>
                <w:rFonts w:eastAsia="Times New Roman"/>
                <w:b/>
                <w:bCs/>
                <w:color w:val="196B24" w:themeColor="accent3"/>
                <w:sz w:val="18"/>
                <w:szCs w:val="18"/>
              </w:rPr>
            </w:pPr>
            <w:r>
              <w:rPr>
                <w:b/>
                <w:bCs/>
                <w:color w:val="1A5C2E"/>
              </w:rPr>
              <w:t>-0.44%</w:t>
            </w:r>
          </w:p>
        </w:tc>
      </w:tr>
      <w:tr w:rsidR="00AF380C" w:rsidRPr="00AD0FBC" w14:paraId="6408B552" w14:textId="77777777" w:rsidTr="000B07AB">
        <w:trPr>
          <w:trHeight w:val="315"/>
        </w:trPr>
        <w:tc>
          <w:tcPr>
            <w:tcW w:w="1631" w:type="pct"/>
            <w:tcBorders>
              <w:top w:val="nil"/>
              <w:left w:val="single" w:sz="4" w:space="0" w:color="CCCCCC"/>
              <w:bottom w:val="single" w:sz="4" w:space="0" w:color="CCCCCC"/>
              <w:right w:val="single" w:sz="4" w:space="0" w:color="CCCCCC"/>
            </w:tcBorders>
            <w:noWrap/>
            <w:vAlign w:val="center"/>
            <w:hideMark/>
          </w:tcPr>
          <w:p w14:paraId="1B050D5C" w14:textId="77777777" w:rsidR="00AF380C" w:rsidRPr="000B07AB" w:rsidRDefault="00AF380C" w:rsidP="00AF380C">
            <w:pPr>
              <w:rPr>
                <w:rFonts w:eastAsia="Times New Roman"/>
                <w:b/>
                <w:bCs/>
                <w:sz w:val="18"/>
                <w:szCs w:val="18"/>
              </w:rPr>
            </w:pPr>
            <w:r>
              <w:rPr>
                <w:b/>
                <w:bCs/>
              </w:rPr>
              <w:t>EUR/NGN</w:t>
            </w:r>
          </w:p>
        </w:tc>
        <w:tc>
          <w:tcPr>
            <w:tcW w:w="975" w:type="pct"/>
            <w:tcBorders>
              <w:top w:val="nil"/>
              <w:left w:val="nil"/>
              <w:bottom w:val="single" w:sz="4" w:space="0" w:color="CCCCCC"/>
              <w:right w:val="single" w:sz="4" w:space="0" w:color="CCCCCC"/>
            </w:tcBorders>
            <w:noWrap/>
            <w:vAlign w:val="center"/>
            <w:hideMark/>
          </w:tcPr>
          <w:p w14:paraId="2BDE3DFE" w14:textId="589F3B2A" w:rsidR="00AF380C" w:rsidRPr="00BB4BAD" w:rsidRDefault="00AF380C" w:rsidP="00AF380C">
            <w:pPr>
              <w:jc w:val="right"/>
              <w:rPr>
                <w:rFonts w:eastAsia="Times New Roman"/>
                <w:b/>
                <w:bCs/>
                <w:color w:val="196B24" w:themeColor="accent3"/>
                <w:sz w:val="18"/>
                <w:szCs w:val="18"/>
              </w:rPr>
            </w:pPr>
            <w:r>
              <w:rPr>
                <w:b/>
                <w:bCs/>
                <w:color w:val="1A5C2E"/>
              </w:rPr>
              <w:t>1,538.16</w:t>
            </w:r>
          </w:p>
        </w:tc>
        <w:tc>
          <w:tcPr>
            <w:tcW w:w="869" w:type="pct"/>
            <w:tcBorders>
              <w:top w:val="nil"/>
              <w:left w:val="nil"/>
              <w:bottom w:val="single" w:sz="4" w:space="0" w:color="CCCCCC"/>
              <w:right w:val="single" w:sz="4" w:space="0" w:color="CCCCCC"/>
            </w:tcBorders>
            <w:noWrap/>
            <w:vAlign w:val="center"/>
            <w:hideMark/>
          </w:tcPr>
          <w:p w14:paraId="07FCFC43" w14:textId="712893FA" w:rsidR="00AF380C" w:rsidRPr="003C178D" w:rsidRDefault="00AF380C" w:rsidP="00AF380C">
            <w:pPr>
              <w:jc w:val="center"/>
              <w:rPr>
                <w:rFonts w:eastAsia="Times New Roman"/>
                <w:b/>
                <w:bCs/>
                <w:color w:val="124F1A" w:themeColor="accent3" w:themeShade="BF"/>
                <w:sz w:val="18"/>
                <w:szCs w:val="18"/>
              </w:rPr>
            </w:pPr>
            <w:r>
              <w:rPr>
                <w:b/>
                <w:bCs/>
                <w:color w:val="1A5C2E"/>
              </w:rPr>
              <w:t>2026-09-11</w:t>
            </w:r>
          </w:p>
        </w:tc>
        <w:tc>
          <w:tcPr>
            <w:tcW w:w="763" w:type="pct"/>
            <w:tcBorders>
              <w:top w:val="nil"/>
              <w:left w:val="nil"/>
              <w:bottom w:val="single" w:sz="4" w:space="0" w:color="CCCCCC"/>
              <w:right w:val="single" w:sz="4" w:space="0" w:color="CCCCCC"/>
            </w:tcBorders>
            <w:noWrap/>
            <w:vAlign w:val="center"/>
            <w:hideMark/>
          </w:tcPr>
          <w:p w14:paraId="0F6658A8" w14:textId="70A98961" w:rsidR="00AF380C" w:rsidRPr="00BB4BAD" w:rsidRDefault="00AF380C" w:rsidP="00AF380C">
            <w:pPr>
              <w:jc w:val="right"/>
              <w:rPr>
                <w:rFonts w:eastAsia="Times New Roman"/>
                <w:b/>
                <w:bCs/>
                <w:color w:val="196B24" w:themeColor="accent3"/>
                <w:sz w:val="18"/>
                <w:szCs w:val="18"/>
              </w:rPr>
            </w:pPr>
            <w:r>
              <w:rPr>
                <w:b/>
                <w:bCs/>
                <w:color w:val="1A5C2E"/>
              </w:rPr>
              <w:t>4.61</w:t>
            </w:r>
          </w:p>
        </w:tc>
        <w:tc>
          <w:tcPr>
            <w:tcW w:w="762" w:type="pct"/>
            <w:tcBorders>
              <w:top w:val="nil"/>
              <w:left w:val="nil"/>
              <w:bottom w:val="single" w:sz="4" w:space="0" w:color="CCCCCC"/>
              <w:right w:val="single" w:sz="4" w:space="0" w:color="CCCCCC"/>
            </w:tcBorders>
            <w:noWrap/>
            <w:vAlign w:val="center"/>
            <w:hideMark/>
          </w:tcPr>
          <w:p w14:paraId="6463CEFD" w14:textId="5C7A67A0" w:rsidR="00AF380C" w:rsidRPr="00BB4BAD" w:rsidRDefault="00AF380C" w:rsidP="00AF380C">
            <w:pPr>
              <w:jc w:val="center"/>
              <w:rPr>
                <w:rFonts w:eastAsia="Times New Roman"/>
                <w:b/>
                <w:bCs/>
                <w:color w:val="196B24" w:themeColor="accent3"/>
                <w:sz w:val="18"/>
                <w:szCs w:val="18"/>
              </w:rPr>
            </w:pPr>
            <w:r>
              <w:rPr>
                <w:b/>
                <w:bCs/>
                <w:color w:val="1A5C2E"/>
              </w:rPr>
              <w:t>+0.30%</w:t>
            </w:r>
          </w:p>
        </w:tc>
      </w:tr>
      <w:tr w:rsidR="00AF380C" w:rsidRPr="00AD0FBC" w14:paraId="3C2D24B5" w14:textId="77777777" w:rsidTr="000B07AB">
        <w:trPr>
          <w:trHeight w:val="315"/>
        </w:trPr>
        <w:tc>
          <w:tcPr>
            <w:tcW w:w="1631" w:type="pct"/>
            <w:tcBorders>
              <w:top w:val="nil"/>
              <w:left w:val="single" w:sz="4" w:space="0" w:color="CCCCCC"/>
              <w:bottom w:val="single" w:sz="4" w:space="0" w:color="CCCCCC"/>
              <w:right w:val="single" w:sz="4" w:space="0" w:color="CCCCCC"/>
            </w:tcBorders>
            <w:shd w:val="clear" w:color="000000" w:fill="E6F4EA"/>
            <w:noWrap/>
            <w:vAlign w:val="center"/>
            <w:hideMark/>
          </w:tcPr>
          <w:p w14:paraId="3D20FCD5" w14:textId="77777777" w:rsidR="00AF380C" w:rsidRPr="000B07AB" w:rsidRDefault="00AF380C" w:rsidP="00AF380C">
            <w:pPr>
              <w:rPr>
                <w:rFonts w:eastAsia="Times New Roman"/>
                <w:b/>
                <w:bCs/>
                <w:sz w:val="18"/>
                <w:szCs w:val="18"/>
              </w:rPr>
            </w:pPr>
            <w:r>
              <w:rPr>
                <w:b/>
                <w:bCs/>
              </w:rPr>
              <w:t>Gold (USD/oz)</w:t>
            </w:r>
          </w:p>
        </w:tc>
        <w:tc>
          <w:tcPr>
            <w:tcW w:w="975" w:type="pct"/>
            <w:tcBorders>
              <w:top w:val="nil"/>
              <w:left w:val="nil"/>
              <w:bottom w:val="single" w:sz="4" w:space="0" w:color="CCCCCC"/>
              <w:right w:val="single" w:sz="4" w:space="0" w:color="CCCCCC"/>
            </w:tcBorders>
            <w:shd w:val="clear" w:color="000000" w:fill="E6F4EA"/>
            <w:noWrap/>
            <w:vAlign w:val="center"/>
            <w:hideMark/>
          </w:tcPr>
          <w:p w14:paraId="35903C64" w14:textId="46ECC325" w:rsidR="00AF380C" w:rsidRPr="00BB4BAD" w:rsidRDefault="00AF380C" w:rsidP="00AF380C">
            <w:pPr>
              <w:jc w:val="right"/>
              <w:rPr>
                <w:rFonts w:eastAsia="Times New Roman"/>
                <w:b/>
                <w:bCs/>
                <w:color w:val="196B24" w:themeColor="accent3"/>
                <w:sz w:val="18"/>
                <w:szCs w:val="18"/>
              </w:rPr>
            </w:pPr>
            <w:r>
              <w:rPr>
                <w:b/>
                <w:bCs/>
                <w:color w:val="1A5C2E"/>
              </w:rPr>
              <w:t>4,348.39</w:t>
            </w:r>
          </w:p>
        </w:tc>
        <w:tc>
          <w:tcPr>
            <w:tcW w:w="869" w:type="pct"/>
            <w:tcBorders>
              <w:top w:val="nil"/>
              <w:left w:val="nil"/>
              <w:bottom w:val="single" w:sz="4" w:space="0" w:color="CCCCCC"/>
              <w:right w:val="single" w:sz="4" w:space="0" w:color="CCCCCC"/>
            </w:tcBorders>
            <w:shd w:val="clear" w:color="000000" w:fill="E6F4EA"/>
            <w:noWrap/>
            <w:vAlign w:val="center"/>
            <w:hideMark/>
          </w:tcPr>
          <w:p w14:paraId="796986F7" w14:textId="261EB6A1" w:rsidR="00AF380C" w:rsidRPr="003C178D" w:rsidRDefault="00AF380C" w:rsidP="00AF380C">
            <w:pPr>
              <w:jc w:val="center"/>
              <w:rPr>
                <w:rFonts w:eastAsia="Times New Roman"/>
                <w:b/>
                <w:bCs/>
                <w:color w:val="124F1A" w:themeColor="accent3" w:themeShade="BF"/>
                <w:sz w:val="18"/>
                <w:szCs w:val="18"/>
              </w:rPr>
            </w:pPr>
            <w:r>
              <w:rPr>
                <w:b/>
                <w:bCs/>
                <w:color w:val="1A5C2E"/>
              </w:rPr>
              <w:t>2026-09-11</w:t>
            </w:r>
          </w:p>
        </w:tc>
        <w:tc>
          <w:tcPr>
            <w:tcW w:w="763" w:type="pct"/>
            <w:tcBorders>
              <w:top w:val="nil"/>
              <w:left w:val="nil"/>
              <w:bottom w:val="single" w:sz="4" w:space="0" w:color="CCCCCC"/>
              <w:right w:val="single" w:sz="4" w:space="0" w:color="CCCCCC"/>
            </w:tcBorders>
            <w:shd w:val="clear" w:color="000000" w:fill="E6F4EA"/>
            <w:noWrap/>
            <w:vAlign w:val="center"/>
            <w:hideMark/>
          </w:tcPr>
          <w:p w14:paraId="606BAC3D" w14:textId="576753F9" w:rsidR="00AF380C" w:rsidRPr="00BB4BAD" w:rsidRDefault="00AF380C" w:rsidP="00AF380C">
            <w:pPr>
              <w:jc w:val="right"/>
              <w:rPr>
                <w:rFonts w:eastAsia="Times New Roman"/>
                <w:b/>
                <w:bCs/>
                <w:color w:val="196B24" w:themeColor="accent3"/>
                <w:sz w:val="18"/>
                <w:szCs w:val="18"/>
              </w:rPr>
            </w:pPr>
            <w:r>
              <w:rPr>
                <w:b/>
                <w:bCs/>
                <w:color w:val="1A5C2E"/>
              </w:rPr>
              <w:t>-80.50</w:t>
            </w:r>
          </w:p>
        </w:tc>
        <w:tc>
          <w:tcPr>
            <w:tcW w:w="762" w:type="pct"/>
            <w:tcBorders>
              <w:top w:val="nil"/>
              <w:left w:val="nil"/>
              <w:bottom w:val="single" w:sz="4" w:space="0" w:color="CCCCCC"/>
              <w:right w:val="single" w:sz="4" w:space="0" w:color="CCCCCC"/>
            </w:tcBorders>
            <w:shd w:val="clear" w:color="000000" w:fill="E6F4EA"/>
            <w:noWrap/>
            <w:vAlign w:val="center"/>
            <w:hideMark/>
          </w:tcPr>
          <w:p w14:paraId="1DBB7967" w14:textId="46647D38" w:rsidR="00AF380C" w:rsidRPr="00BB4BAD" w:rsidRDefault="00AF380C" w:rsidP="00AF380C">
            <w:pPr>
              <w:jc w:val="center"/>
              <w:rPr>
                <w:rFonts w:eastAsia="Times New Roman"/>
                <w:b/>
                <w:bCs/>
                <w:color w:val="196B24" w:themeColor="accent3"/>
                <w:sz w:val="18"/>
                <w:szCs w:val="18"/>
              </w:rPr>
            </w:pPr>
            <w:r>
              <w:rPr>
                <w:b/>
                <w:bCs/>
                <w:color w:val="1A5C2E"/>
              </w:rPr>
              <w:t>-1.82%</w:t>
            </w:r>
          </w:p>
        </w:tc>
      </w:tr>
    </w:tbl>
    <w:p w14:paraId="2AE607C0" w14:textId="77777777" w:rsidR="00C06B25" w:rsidRDefault="00CB3E7C">
      <w:pPr>
        <w:spacing w:before="180" w:after="80"/>
      </w:pPr>
      <w:r>
        <w:rPr>
          <w:b/>
          <w:bCs/>
          <w:color w:val="1A5C4E"/>
          <w:sz w:val="22"/>
          <w:szCs w:val="22"/>
        </w:rPr>
        <w:t>Key Macroeconomic Indicators</w:t>
      </w:r>
    </w:p>
    <w:tbl>
      <w:tblPr>
        <w:tblW w:w="0" w:type="auto"/>
        <w:tblLayout w:type="fixed"/>
        <w:tblLook w:val="04A0" w:firstRow="1" w:lastRow="0" w:firstColumn="1" w:lastColumn="0" w:noHBand="0" w:noVBand="1"/>
      </w:tblPr>
      <w:tblGrid>
        <w:gridCol w:w="3539"/>
        <w:gridCol w:w="1843"/>
        <w:gridCol w:w="2268"/>
        <w:gridCol w:w="1134"/>
        <w:gridCol w:w="926"/>
      </w:tblGrid>
      <w:tr w:rsidR="00AD0FBC" w:rsidRPr="00AD0FBC" w14:paraId="76FB500A" w14:textId="77777777" w:rsidTr="008B27C8">
        <w:trPr>
          <w:trHeight w:val="360"/>
        </w:trPr>
        <w:tc>
          <w:tcPr>
            <w:tcW w:w="3539" w:type="dxa"/>
            <w:tcBorders>
              <w:top w:val="single" w:sz="4" w:space="0" w:color="CCCCCC"/>
              <w:left w:val="single" w:sz="4" w:space="0" w:color="CCCCCC"/>
              <w:bottom w:val="single" w:sz="4" w:space="0" w:color="CCCCCC"/>
              <w:right w:val="single" w:sz="4" w:space="0" w:color="CCCCCC"/>
            </w:tcBorders>
            <w:shd w:val="clear" w:color="000000" w:fill="1A5C4E"/>
            <w:noWrap/>
            <w:vAlign w:val="center"/>
            <w:hideMark/>
          </w:tcPr>
          <w:p w14:paraId="55C41BFA"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Indicator</w:t>
            </w:r>
          </w:p>
        </w:tc>
        <w:tc>
          <w:tcPr>
            <w:tcW w:w="1843" w:type="dxa"/>
            <w:tcBorders>
              <w:top w:val="single" w:sz="4" w:space="0" w:color="CCCCCC"/>
              <w:left w:val="nil"/>
              <w:bottom w:val="single" w:sz="4" w:space="0" w:color="CCCCCC"/>
              <w:right w:val="single" w:sz="4" w:space="0" w:color="CCCCCC"/>
            </w:tcBorders>
            <w:shd w:val="clear" w:color="000000" w:fill="1A5C4E"/>
            <w:noWrap/>
            <w:vAlign w:val="center"/>
            <w:hideMark/>
          </w:tcPr>
          <w:p w14:paraId="5F722DBF"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Latest Value</w:t>
            </w:r>
          </w:p>
        </w:tc>
        <w:tc>
          <w:tcPr>
            <w:tcW w:w="2268" w:type="dxa"/>
            <w:tcBorders>
              <w:top w:val="single" w:sz="4" w:space="0" w:color="CCCCCC"/>
              <w:left w:val="nil"/>
              <w:bottom w:val="single" w:sz="4" w:space="0" w:color="CCCCCC"/>
              <w:right w:val="single" w:sz="4" w:space="0" w:color="CCCCCC"/>
            </w:tcBorders>
            <w:shd w:val="clear" w:color="000000" w:fill="1A5C4E"/>
            <w:noWrap/>
            <w:vAlign w:val="center"/>
            <w:hideMark/>
          </w:tcPr>
          <w:p w14:paraId="3A51CFC1"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As-of Date</w:t>
            </w:r>
          </w:p>
        </w:tc>
        <w:tc>
          <w:tcPr>
            <w:tcW w:w="1134" w:type="dxa"/>
            <w:tcBorders>
              <w:top w:val="single" w:sz="4" w:space="0" w:color="CCCCCC"/>
              <w:left w:val="nil"/>
              <w:bottom w:val="single" w:sz="4" w:space="0" w:color="CCCCCC"/>
              <w:right w:val="single" w:sz="4" w:space="0" w:color="CCCCCC"/>
            </w:tcBorders>
            <w:shd w:val="clear" w:color="000000" w:fill="1A5C4E"/>
            <w:noWrap/>
            <w:vAlign w:val="center"/>
            <w:hideMark/>
          </w:tcPr>
          <w:p w14:paraId="6F9BF102"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Prior Period</w:t>
            </w:r>
          </w:p>
        </w:tc>
        <w:tc>
          <w:tcPr>
            <w:tcW w:w="926" w:type="dxa"/>
            <w:tcBorders>
              <w:top w:val="single" w:sz="4" w:space="0" w:color="CCCCCC"/>
              <w:left w:val="nil"/>
              <w:bottom w:val="single" w:sz="4" w:space="0" w:color="CCCCCC"/>
              <w:right w:val="single" w:sz="4" w:space="0" w:color="CCCCCC"/>
            </w:tcBorders>
            <w:shd w:val="clear" w:color="000000" w:fill="1A5C4E"/>
            <w:noWrap/>
            <w:vAlign w:val="center"/>
            <w:hideMark/>
          </w:tcPr>
          <w:p w14:paraId="4C79C805" w14:textId="77777777" w:rsidR="00AD0FBC" w:rsidRPr="00AD0FBC" w:rsidRDefault="00AD0FBC" w:rsidP="00AD0FBC">
            <w:pPr>
              <w:rPr>
                <w:rFonts w:eastAsia="Times New Roman"/>
                <w:b/>
                <w:bCs/>
                <w:color w:val="FFFFFF"/>
                <w:sz w:val="16"/>
                <w:szCs w:val="16"/>
              </w:rPr>
            </w:pPr>
            <w:r>
              <w:rPr>
                <w:rFonts w:eastAsia="Times New Roman"/>
                <w:b/>
                <w:bCs/>
                <w:color w:val="FFFFFF"/>
                <w:sz w:val="16"/>
                <w:szCs w:val="16"/>
              </w:rPr>
              <w:t>Change</w:t>
            </w:r>
          </w:p>
        </w:tc>
      </w:tr>
      <w:tr w:rsidR="00170CD4" w:rsidRPr="00AD0FBC" w14:paraId="48D19DFE" w14:textId="77777777" w:rsidTr="008B27C8">
        <w:trPr>
          <w:trHeight w:val="315"/>
        </w:trPr>
        <w:tc>
          <w:tcPr>
            <w:tcW w:w="3539" w:type="dxa"/>
            <w:tcBorders>
              <w:top w:val="nil"/>
              <w:left w:val="single" w:sz="4" w:space="0" w:color="CCCCCC"/>
              <w:bottom w:val="single" w:sz="4" w:space="0" w:color="CCCCCC"/>
              <w:right w:val="single" w:sz="4" w:space="0" w:color="CCCCCC"/>
            </w:tcBorders>
            <w:noWrap/>
            <w:vAlign w:val="center"/>
            <w:hideMark/>
          </w:tcPr>
          <w:p w14:paraId="223A82E0" w14:textId="77777777" w:rsidR="00170CD4" w:rsidRPr="00AD0FBC" w:rsidRDefault="00170CD4" w:rsidP="00170CD4">
            <w:pPr>
              <w:rPr>
                <w:rFonts w:eastAsia="Times New Roman"/>
                <w:b/>
                <w:bCs/>
                <w:sz w:val="16"/>
                <w:szCs w:val="16"/>
              </w:rPr>
            </w:pPr>
            <w:r>
              <w:rPr>
                <w:b/>
                <w:bCs/>
                <w:sz w:val="18"/>
                <w:szCs w:val="18"/>
              </w:rPr>
              <w:t>USD/NGN Parallel Rate (Bureau)</w:t>
            </w:r>
          </w:p>
        </w:tc>
        <w:tc>
          <w:tcPr>
            <w:tcW w:w="1843" w:type="dxa"/>
            <w:tcBorders>
              <w:top w:val="nil"/>
              <w:left w:val="nil"/>
              <w:bottom w:val="single" w:sz="4" w:space="0" w:color="CCCCCC"/>
              <w:right w:val="single" w:sz="4" w:space="0" w:color="CCCCCC"/>
            </w:tcBorders>
            <w:noWrap/>
            <w:vAlign w:val="center"/>
            <w:hideMark/>
          </w:tcPr>
          <w:p w14:paraId="39BB8CF0" w14:textId="7623A5E3" w:rsidR="00170CD4" w:rsidRPr="003C178D" w:rsidRDefault="00170CD4" w:rsidP="00170CD4">
            <w:pPr>
              <w:jc w:val="center"/>
              <w:rPr>
                <w:rFonts w:eastAsia="Times New Roman"/>
                <w:b/>
                <w:bCs/>
                <w:color w:val="124F1A" w:themeColor="accent3" w:themeShade="BF"/>
                <w:sz w:val="16"/>
                <w:szCs w:val="16"/>
              </w:rPr>
            </w:pPr>
            <w:r>
              <w:rPr>
                <w:b/>
                <w:bCs/>
                <w:color w:val="404040"/>
                <w:sz w:val="18"/>
                <w:szCs w:val="18"/>
              </w:rPr>
              <w:t>₦1,390.00</w:t>
            </w:r>
          </w:p>
        </w:tc>
        <w:tc>
          <w:tcPr>
            <w:tcW w:w="2268" w:type="dxa"/>
            <w:tcBorders>
              <w:top w:val="nil"/>
              <w:left w:val="nil"/>
              <w:bottom w:val="single" w:sz="4" w:space="0" w:color="CCCCCC"/>
              <w:right w:val="single" w:sz="4" w:space="0" w:color="CCCCCC"/>
            </w:tcBorders>
            <w:noWrap/>
            <w:vAlign w:val="center"/>
            <w:hideMark/>
          </w:tcPr>
          <w:p w14:paraId="6B1AAA8D" w14:textId="20E032A1"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2026-09-11</w:t>
            </w:r>
          </w:p>
        </w:tc>
        <w:tc>
          <w:tcPr>
            <w:tcW w:w="1134" w:type="dxa"/>
            <w:tcBorders>
              <w:top w:val="nil"/>
              <w:left w:val="nil"/>
              <w:bottom w:val="single" w:sz="4" w:space="0" w:color="CCCCCC"/>
              <w:right w:val="single" w:sz="4" w:space="0" w:color="CCCCCC"/>
            </w:tcBorders>
            <w:noWrap/>
            <w:vAlign w:val="center"/>
            <w:hideMark/>
          </w:tcPr>
          <w:p w14:paraId="790DDB7B" w14:textId="15AFB20C"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₦1,400.00</w:t>
            </w:r>
          </w:p>
        </w:tc>
        <w:tc>
          <w:tcPr>
            <w:tcW w:w="926" w:type="dxa"/>
            <w:tcBorders>
              <w:top w:val="nil"/>
              <w:left w:val="nil"/>
              <w:bottom w:val="single" w:sz="4" w:space="0" w:color="CCCCCC"/>
              <w:right w:val="single" w:sz="4" w:space="0" w:color="CCCCCC"/>
            </w:tcBorders>
            <w:noWrap/>
            <w:vAlign w:val="center"/>
            <w:hideMark/>
          </w:tcPr>
          <w:p w14:paraId="23A9EC0E" w14:textId="22799EFA" w:rsidR="00170CD4" w:rsidRPr="003C178D" w:rsidRDefault="00170CD4" w:rsidP="00170CD4">
            <w:pPr>
              <w:rPr>
                <w:rFonts w:eastAsia="Times New Roman"/>
                <w:b/>
                <w:bCs/>
                <w:color w:val="124F1A" w:themeColor="accent3" w:themeShade="BF"/>
                <w:sz w:val="16"/>
                <w:szCs w:val="16"/>
              </w:rPr>
            </w:pPr>
            <w:r>
              <w:rPr>
                <w:b/>
                <w:bCs/>
                <w:color w:val="1A5C2E"/>
                <w:sz w:val="18"/>
                <w:szCs w:val="18"/>
              </w:rPr>
              <w:t>-0.71%</w:t>
            </w:r>
          </w:p>
        </w:tc>
      </w:tr>
      <w:tr w:rsidR="00170CD4" w:rsidRPr="00AD0FBC" w14:paraId="3B3FEA5B" w14:textId="77777777" w:rsidTr="008B27C8">
        <w:trPr>
          <w:trHeight w:val="315"/>
        </w:trPr>
        <w:tc>
          <w:tcPr>
            <w:tcW w:w="3539" w:type="dxa"/>
            <w:tcBorders>
              <w:top w:val="nil"/>
              <w:left w:val="single" w:sz="4" w:space="0" w:color="CCCCCC"/>
              <w:bottom w:val="single" w:sz="4" w:space="0" w:color="CCCCCC"/>
              <w:right w:val="single" w:sz="4" w:space="0" w:color="CCCCCC"/>
            </w:tcBorders>
            <w:shd w:val="clear" w:color="000000" w:fill="E6F4EA"/>
            <w:noWrap/>
            <w:vAlign w:val="center"/>
            <w:hideMark/>
          </w:tcPr>
          <w:p w14:paraId="2CA6E900" w14:textId="77777777" w:rsidR="00170CD4" w:rsidRPr="00AD0FBC" w:rsidRDefault="00170CD4" w:rsidP="00170CD4">
            <w:pPr>
              <w:rPr>
                <w:rFonts w:eastAsia="Times New Roman"/>
                <w:b/>
                <w:bCs/>
                <w:sz w:val="16"/>
                <w:szCs w:val="16"/>
              </w:rPr>
            </w:pPr>
            <w:r>
              <w:rPr>
                <w:b/>
                <w:bCs/>
                <w:sz w:val="18"/>
                <w:szCs w:val="18"/>
              </w:rPr>
              <w:t>Nigeria CPI Inflation (YoY %)</w:t>
            </w:r>
          </w:p>
        </w:tc>
        <w:tc>
          <w:tcPr>
            <w:tcW w:w="1843" w:type="dxa"/>
            <w:tcBorders>
              <w:top w:val="nil"/>
              <w:left w:val="nil"/>
              <w:bottom w:val="single" w:sz="4" w:space="0" w:color="CCCCCC"/>
              <w:right w:val="single" w:sz="4" w:space="0" w:color="CCCCCC"/>
            </w:tcBorders>
            <w:shd w:val="clear" w:color="000000" w:fill="E6F4EA"/>
            <w:noWrap/>
            <w:vAlign w:val="center"/>
            <w:hideMark/>
          </w:tcPr>
          <w:p w14:paraId="1A4562AB" w14:textId="2C881B95" w:rsidR="00170CD4" w:rsidRPr="003C178D" w:rsidRDefault="00170CD4" w:rsidP="00170CD4">
            <w:pPr>
              <w:jc w:val="center"/>
              <w:rPr>
                <w:rFonts w:eastAsia="Times New Roman"/>
                <w:b/>
                <w:bCs/>
                <w:color w:val="124F1A" w:themeColor="accent3" w:themeShade="BF"/>
                <w:sz w:val="16"/>
                <w:szCs w:val="16"/>
              </w:rPr>
            </w:pPr>
            <w:r>
              <w:rPr>
                <w:b/>
                <w:bCs/>
                <w:color w:val="auto"/>
                <w:sz w:val="18"/>
                <w:szCs w:val="18"/>
              </w:rPr>
              <w:t>15.43%</w:t>
            </w:r>
          </w:p>
        </w:tc>
        <w:tc>
          <w:tcPr>
            <w:tcW w:w="2268" w:type="dxa"/>
            <w:tcBorders>
              <w:top w:val="nil"/>
              <w:left w:val="nil"/>
              <w:bottom w:val="single" w:sz="4" w:space="0" w:color="CCCCCC"/>
              <w:right w:val="single" w:sz="4" w:space="0" w:color="CCCCCC"/>
            </w:tcBorders>
            <w:shd w:val="clear" w:color="000000" w:fill="E6F4EA"/>
            <w:noWrap/>
            <w:vAlign w:val="center"/>
            <w:hideMark/>
          </w:tcPr>
          <w:p w14:paraId="72E70067" w14:textId="470EEC4B"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Jul 2026</w:t>
            </w:r>
          </w:p>
        </w:tc>
        <w:tc>
          <w:tcPr>
            <w:tcW w:w="1134" w:type="dxa"/>
            <w:tcBorders>
              <w:top w:val="nil"/>
              <w:left w:val="nil"/>
              <w:bottom w:val="single" w:sz="4" w:space="0" w:color="CCCCCC"/>
              <w:right w:val="single" w:sz="4" w:space="0" w:color="CCCCCC"/>
            </w:tcBorders>
            <w:shd w:val="clear" w:color="000000" w:fill="E6F4EA"/>
            <w:noWrap/>
            <w:vAlign w:val="center"/>
            <w:hideMark/>
          </w:tcPr>
          <w:p w14:paraId="230757CC" w14:textId="67BDD537" w:rsidR="00170CD4" w:rsidRPr="003C178D" w:rsidRDefault="00170CD4" w:rsidP="00170CD4">
            <w:pPr>
              <w:jc w:val="center"/>
              <w:rPr>
                <w:rFonts w:eastAsia="Times New Roman"/>
                <w:b/>
                <w:bCs/>
                <w:color w:val="124F1A" w:themeColor="accent3" w:themeShade="BF"/>
                <w:sz w:val="16"/>
                <w:szCs w:val="16"/>
              </w:rPr>
            </w:pPr>
            <w:r>
              <w:rPr>
                <w:b/>
                <w:bCs/>
                <w:color w:val="222222"/>
                <w:sz w:val="18"/>
                <w:szCs w:val="18"/>
              </w:rPr>
              <w:t>15.91%</w:t>
            </w:r>
          </w:p>
        </w:tc>
        <w:tc>
          <w:tcPr>
            <w:tcW w:w="926" w:type="dxa"/>
            <w:tcBorders>
              <w:top w:val="nil"/>
              <w:left w:val="nil"/>
              <w:bottom w:val="single" w:sz="4" w:space="0" w:color="CCCCCC"/>
              <w:right w:val="single" w:sz="4" w:space="0" w:color="CCCCCC"/>
            </w:tcBorders>
            <w:shd w:val="clear" w:color="000000" w:fill="E6F4EA"/>
            <w:noWrap/>
            <w:vAlign w:val="center"/>
            <w:hideMark/>
          </w:tcPr>
          <w:p w14:paraId="6BBFE1A2" w14:textId="1CCB7114" w:rsidR="00170CD4" w:rsidRPr="003C178D" w:rsidRDefault="00170CD4" w:rsidP="00170CD4">
            <w:pPr>
              <w:rPr>
                <w:rFonts w:eastAsia="Times New Roman"/>
                <w:b/>
                <w:bCs/>
                <w:color w:val="124F1A" w:themeColor="accent3" w:themeShade="BF"/>
                <w:sz w:val="16"/>
                <w:szCs w:val="16"/>
              </w:rPr>
            </w:pPr>
            <w:r>
              <w:rPr>
                <w:b/>
                <w:bCs/>
                <w:color w:val="404040"/>
                <w:sz w:val="18"/>
                <w:szCs w:val="18"/>
              </w:rPr>
              <w:t>-48bp</w:t>
            </w:r>
          </w:p>
        </w:tc>
      </w:tr>
      <w:tr w:rsidR="00170CD4" w:rsidRPr="00AD0FBC" w14:paraId="52D758A2" w14:textId="77777777" w:rsidTr="008B27C8">
        <w:trPr>
          <w:trHeight w:val="315"/>
        </w:trPr>
        <w:tc>
          <w:tcPr>
            <w:tcW w:w="3539" w:type="dxa"/>
            <w:tcBorders>
              <w:top w:val="nil"/>
              <w:left w:val="single" w:sz="4" w:space="0" w:color="CCCCCC"/>
              <w:bottom w:val="single" w:sz="4" w:space="0" w:color="CCCCCC"/>
              <w:right w:val="single" w:sz="4" w:space="0" w:color="CCCCCC"/>
            </w:tcBorders>
            <w:noWrap/>
            <w:vAlign w:val="center"/>
            <w:hideMark/>
          </w:tcPr>
          <w:p w14:paraId="1E0E6B1E" w14:textId="77777777" w:rsidR="00170CD4" w:rsidRPr="00AD0FBC" w:rsidRDefault="00170CD4" w:rsidP="00170CD4">
            <w:pPr>
              <w:rPr>
                <w:rFonts w:eastAsia="Times New Roman"/>
                <w:b/>
                <w:bCs/>
                <w:sz w:val="16"/>
                <w:szCs w:val="16"/>
              </w:rPr>
            </w:pPr>
            <w:r>
              <w:rPr>
                <w:b/>
                <w:bCs/>
                <w:sz w:val="18"/>
                <w:szCs w:val="18"/>
              </w:rPr>
              <w:t>CBN Monetary Policy Rate (MPR %)</w:t>
            </w:r>
          </w:p>
        </w:tc>
        <w:tc>
          <w:tcPr>
            <w:tcW w:w="1843" w:type="dxa"/>
            <w:tcBorders>
              <w:top w:val="nil"/>
              <w:left w:val="nil"/>
              <w:bottom w:val="single" w:sz="4" w:space="0" w:color="CCCCCC"/>
              <w:right w:val="single" w:sz="4" w:space="0" w:color="CCCCCC"/>
            </w:tcBorders>
            <w:noWrap/>
            <w:vAlign w:val="center"/>
            <w:hideMark/>
          </w:tcPr>
          <w:p w14:paraId="2A30315F" w14:textId="63A51458" w:rsidR="00170CD4" w:rsidRPr="003C178D" w:rsidRDefault="00170CD4" w:rsidP="00170CD4">
            <w:pPr>
              <w:jc w:val="center"/>
              <w:rPr>
                <w:rFonts w:eastAsia="Times New Roman"/>
                <w:b/>
                <w:bCs/>
                <w:color w:val="124F1A" w:themeColor="accent3" w:themeShade="BF"/>
                <w:sz w:val="16"/>
                <w:szCs w:val="16"/>
              </w:rPr>
            </w:pPr>
            <w:r>
              <w:rPr>
                <w:b/>
                <w:bCs/>
                <w:color w:val="404040"/>
                <w:sz w:val="18"/>
                <w:szCs w:val="18"/>
              </w:rPr>
              <w:t>26.50%</w:t>
            </w:r>
          </w:p>
        </w:tc>
        <w:tc>
          <w:tcPr>
            <w:tcW w:w="2268" w:type="dxa"/>
            <w:tcBorders>
              <w:top w:val="nil"/>
              <w:left w:val="nil"/>
              <w:bottom w:val="single" w:sz="4" w:space="0" w:color="CCCCCC"/>
              <w:right w:val="single" w:sz="4" w:space="0" w:color="CCCCCC"/>
            </w:tcBorders>
            <w:noWrap/>
            <w:vAlign w:val="center"/>
            <w:hideMark/>
          </w:tcPr>
          <w:p w14:paraId="15E2CA54" w14:textId="5EB5D20D"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2026-07-21</w:t>
            </w:r>
          </w:p>
        </w:tc>
        <w:tc>
          <w:tcPr>
            <w:tcW w:w="1134" w:type="dxa"/>
            <w:tcBorders>
              <w:top w:val="nil"/>
              <w:left w:val="nil"/>
              <w:bottom w:val="single" w:sz="4" w:space="0" w:color="CCCCCC"/>
              <w:right w:val="single" w:sz="4" w:space="0" w:color="CCCCCC"/>
            </w:tcBorders>
            <w:noWrap/>
            <w:vAlign w:val="center"/>
            <w:hideMark/>
          </w:tcPr>
          <w:p w14:paraId="3878B090" w14:textId="6C453990"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26.50%</w:t>
            </w:r>
          </w:p>
        </w:tc>
        <w:tc>
          <w:tcPr>
            <w:tcW w:w="926" w:type="dxa"/>
            <w:tcBorders>
              <w:top w:val="nil"/>
              <w:left w:val="nil"/>
              <w:bottom w:val="single" w:sz="4" w:space="0" w:color="CCCCCC"/>
              <w:right w:val="single" w:sz="4" w:space="0" w:color="CCCCCC"/>
            </w:tcBorders>
            <w:noWrap/>
            <w:vAlign w:val="center"/>
            <w:hideMark/>
          </w:tcPr>
          <w:p w14:paraId="091A590F" w14:textId="3BACFD62" w:rsidR="00170CD4" w:rsidRPr="003C178D" w:rsidRDefault="00170CD4" w:rsidP="00170CD4">
            <w:pPr>
              <w:rPr>
                <w:rFonts w:eastAsia="Times New Roman"/>
                <w:b/>
                <w:bCs/>
                <w:color w:val="124F1A" w:themeColor="accent3" w:themeShade="BF"/>
                <w:sz w:val="16"/>
                <w:szCs w:val="16"/>
              </w:rPr>
            </w:pPr>
            <w:r>
              <w:rPr>
                <w:b/>
                <w:bCs/>
                <w:color w:val="1A5C2E"/>
                <w:sz w:val="18"/>
                <w:szCs w:val="18"/>
              </w:rPr>
              <w:t>0bp</w:t>
            </w:r>
          </w:p>
        </w:tc>
      </w:tr>
      <w:tr w:rsidR="00170CD4" w:rsidRPr="00AD0FBC" w14:paraId="1E7E00D6" w14:textId="77777777" w:rsidTr="008B27C8">
        <w:trPr>
          <w:trHeight w:val="315"/>
        </w:trPr>
        <w:tc>
          <w:tcPr>
            <w:tcW w:w="3539" w:type="dxa"/>
            <w:tcBorders>
              <w:top w:val="nil"/>
              <w:left w:val="single" w:sz="4" w:space="0" w:color="CCCCCC"/>
              <w:bottom w:val="single" w:sz="4" w:space="0" w:color="CCCCCC"/>
              <w:right w:val="single" w:sz="4" w:space="0" w:color="CCCCCC"/>
            </w:tcBorders>
            <w:shd w:val="clear" w:color="000000" w:fill="E6F4EA"/>
            <w:noWrap/>
            <w:vAlign w:val="center"/>
            <w:hideMark/>
          </w:tcPr>
          <w:p w14:paraId="2A7023EE" w14:textId="77777777" w:rsidR="00170CD4" w:rsidRPr="00AD0FBC" w:rsidRDefault="00170CD4" w:rsidP="00170CD4">
            <w:pPr>
              <w:rPr>
                <w:rFonts w:eastAsia="Times New Roman"/>
                <w:b/>
                <w:bCs/>
                <w:sz w:val="16"/>
                <w:szCs w:val="16"/>
              </w:rPr>
            </w:pPr>
            <w:r>
              <w:rPr>
                <w:b/>
                <w:bCs/>
                <w:sz w:val="18"/>
                <w:szCs w:val="18"/>
              </w:rPr>
              <w:t>Brent Crude (USD/bbl)</w:t>
            </w:r>
          </w:p>
        </w:tc>
        <w:tc>
          <w:tcPr>
            <w:tcW w:w="1843" w:type="dxa"/>
            <w:tcBorders>
              <w:top w:val="nil"/>
              <w:left w:val="nil"/>
              <w:bottom w:val="single" w:sz="4" w:space="0" w:color="CCCCCC"/>
              <w:right w:val="single" w:sz="4" w:space="0" w:color="CCCCCC"/>
            </w:tcBorders>
            <w:shd w:val="clear" w:color="000000" w:fill="E6F4EA"/>
            <w:noWrap/>
            <w:vAlign w:val="center"/>
            <w:hideMark/>
          </w:tcPr>
          <w:p w14:paraId="2B1F3C93" w14:textId="5CA62687"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104.61</w:t>
            </w:r>
          </w:p>
        </w:tc>
        <w:tc>
          <w:tcPr>
            <w:tcW w:w="2268" w:type="dxa"/>
            <w:tcBorders>
              <w:top w:val="nil"/>
              <w:left w:val="nil"/>
              <w:bottom w:val="single" w:sz="4" w:space="0" w:color="CCCCCC"/>
              <w:right w:val="single" w:sz="4" w:space="0" w:color="CCCCCC"/>
            </w:tcBorders>
            <w:shd w:val="clear" w:color="000000" w:fill="E6F4EA"/>
            <w:noWrap/>
            <w:vAlign w:val="center"/>
            <w:hideMark/>
          </w:tcPr>
          <w:p w14:paraId="6863A872" w14:textId="222B4416"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2026-09-11</w:t>
            </w:r>
          </w:p>
        </w:tc>
        <w:tc>
          <w:tcPr>
            <w:tcW w:w="1134" w:type="dxa"/>
            <w:tcBorders>
              <w:top w:val="nil"/>
              <w:left w:val="nil"/>
              <w:bottom w:val="single" w:sz="4" w:space="0" w:color="CCCCCC"/>
              <w:right w:val="single" w:sz="4" w:space="0" w:color="CCCCCC"/>
            </w:tcBorders>
            <w:shd w:val="clear" w:color="000000" w:fill="E6F4EA"/>
            <w:noWrap/>
            <w:vAlign w:val="center"/>
            <w:hideMark/>
          </w:tcPr>
          <w:p w14:paraId="5241FD79" w14:textId="527BC2AD"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96.28</w:t>
            </w:r>
          </w:p>
        </w:tc>
        <w:tc>
          <w:tcPr>
            <w:tcW w:w="926" w:type="dxa"/>
            <w:tcBorders>
              <w:top w:val="nil"/>
              <w:left w:val="nil"/>
              <w:bottom w:val="single" w:sz="4" w:space="0" w:color="CCCCCC"/>
              <w:right w:val="single" w:sz="4" w:space="0" w:color="CCCCCC"/>
            </w:tcBorders>
            <w:shd w:val="clear" w:color="000000" w:fill="E6F4EA"/>
            <w:noWrap/>
            <w:vAlign w:val="center"/>
            <w:hideMark/>
          </w:tcPr>
          <w:p w14:paraId="48A5DF8D" w14:textId="1B39D844" w:rsidR="00170CD4" w:rsidRPr="003C178D" w:rsidRDefault="00170CD4" w:rsidP="00170CD4">
            <w:pPr>
              <w:rPr>
                <w:rFonts w:eastAsia="Times New Roman"/>
                <w:b/>
                <w:bCs/>
                <w:color w:val="124F1A" w:themeColor="accent3" w:themeShade="BF"/>
                <w:sz w:val="16"/>
                <w:szCs w:val="16"/>
              </w:rPr>
            </w:pPr>
            <w:r>
              <w:rPr>
                <w:b/>
                <w:bCs/>
                <w:color w:val="1A5C2E"/>
                <w:sz w:val="18"/>
                <w:szCs w:val="18"/>
              </w:rPr>
              <w:t>+8.65%</w:t>
            </w:r>
          </w:p>
        </w:tc>
      </w:tr>
      <w:tr w:rsidR="00170CD4" w:rsidRPr="00AD0FBC" w14:paraId="0CDD9D9A" w14:textId="77777777" w:rsidTr="008B27C8">
        <w:trPr>
          <w:trHeight w:val="315"/>
        </w:trPr>
        <w:tc>
          <w:tcPr>
            <w:tcW w:w="3539" w:type="dxa"/>
            <w:tcBorders>
              <w:top w:val="nil"/>
              <w:left w:val="single" w:sz="4" w:space="0" w:color="CCCCCC"/>
              <w:bottom w:val="single" w:sz="4" w:space="0" w:color="CCCCCC"/>
              <w:right w:val="single" w:sz="4" w:space="0" w:color="CCCCCC"/>
            </w:tcBorders>
            <w:noWrap/>
            <w:vAlign w:val="center"/>
            <w:hideMark/>
          </w:tcPr>
          <w:p w14:paraId="62F2D8B3" w14:textId="77777777" w:rsidR="00170CD4" w:rsidRPr="00AD0FBC" w:rsidRDefault="00170CD4" w:rsidP="00170CD4">
            <w:pPr>
              <w:rPr>
                <w:rFonts w:eastAsia="Times New Roman"/>
                <w:b/>
                <w:bCs/>
                <w:sz w:val="16"/>
                <w:szCs w:val="16"/>
              </w:rPr>
            </w:pPr>
            <w:r>
              <w:rPr>
                <w:b/>
                <w:bCs/>
                <w:sz w:val="18"/>
                <w:szCs w:val="18"/>
              </w:rPr>
              <w:t>Nigeria Bonny Light (USD/bbl)</w:t>
            </w:r>
          </w:p>
        </w:tc>
        <w:tc>
          <w:tcPr>
            <w:tcW w:w="1843" w:type="dxa"/>
            <w:tcBorders>
              <w:top w:val="nil"/>
              <w:left w:val="nil"/>
              <w:bottom w:val="single" w:sz="4" w:space="0" w:color="CCCCCC"/>
              <w:right w:val="single" w:sz="4" w:space="0" w:color="CCCCCC"/>
            </w:tcBorders>
            <w:noWrap/>
            <w:vAlign w:val="center"/>
            <w:hideMark/>
          </w:tcPr>
          <w:p w14:paraId="19702565" w14:textId="14C32686" w:rsidR="00170CD4" w:rsidRPr="003C178D" w:rsidRDefault="00170CD4" w:rsidP="00170CD4">
            <w:pPr>
              <w:jc w:val="center"/>
              <w:rPr>
                <w:rFonts w:eastAsia="Times New Roman"/>
                <w:b/>
                <w:bCs/>
                <w:color w:val="124F1A" w:themeColor="accent3" w:themeShade="BF"/>
                <w:sz w:val="16"/>
                <w:szCs w:val="16"/>
              </w:rPr>
            </w:pPr>
            <w:r>
              <w:rPr>
                <w:b/>
                <w:bCs/>
                <w:color w:val="222222"/>
                <w:sz w:val="18"/>
                <w:szCs w:val="18"/>
              </w:rPr>
              <w:t>121.90</w:t>
            </w:r>
          </w:p>
        </w:tc>
        <w:tc>
          <w:tcPr>
            <w:tcW w:w="2268" w:type="dxa"/>
            <w:tcBorders>
              <w:top w:val="nil"/>
              <w:left w:val="nil"/>
              <w:bottom w:val="single" w:sz="4" w:space="0" w:color="CCCCCC"/>
              <w:right w:val="single" w:sz="4" w:space="0" w:color="CCCCCC"/>
            </w:tcBorders>
            <w:noWrap/>
            <w:vAlign w:val="center"/>
            <w:hideMark/>
          </w:tcPr>
          <w:p w14:paraId="7E574969" w14:textId="1064F203"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2026-09-11</w:t>
            </w:r>
          </w:p>
        </w:tc>
        <w:tc>
          <w:tcPr>
            <w:tcW w:w="1134" w:type="dxa"/>
            <w:tcBorders>
              <w:top w:val="nil"/>
              <w:left w:val="nil"/>
              <w:bottom w:val="single" w:sz="4" w:space="0" w:color="CCCCCC"/>
              <w:right w:val="single" w:sz="4" w:space="0" w:color="CCCCCC"/>
            </w:tcBorders>
            <w:noWrap/>
            <w:vAlign w:val="center"/>
            <w:hideMark/>
          </w:tcPr>
          <w:p w14:paraId="75A84A69" w14:textId="59C0B695"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98.16</w:t>
            </w:r>
          </w:p>
        </w:tc>
        <w:tc>
          <w:tcPr>
            <w:tcW w:w="926" w:type="dxa"/>
            <w:tcBorders>
              <w:top w:val="nil"/>
              <w:left w:val="nil"/>
              <w:bottom w:val="single" w:sz="4" w:space="0" w:color="CCCCCC"/>
              <w:right w:val="single" w:sz="4" w:space="0" w:color="CCCCCC"/>
            </w:tcBorders>
            <w:noWrap/>
            <w:vAlign w:val="center"/>
            <w:hideMark/>
          </w:tcPr>
          <w:p w14:paraId="543B955B" w14:textId="3BE651A4" w:rsidR="00170CD4" w:rsidRPr="003C178D" w:rsidRDefault="00170CD4" w:rsidP="00170CD4">
            <w:pPr>
              <w:rPr>
                <w:rFonts w:eastAsia="Times New Roman"/>
                <w:b/>
                <w:bCs/>
                <w:color w:val="124F1A" w:themeColor="accent3" w:themeShade="BF"/>
                <w:sz w:val="16"/>
                <w:szCs w:val="16"/>
              </w:rPr>
            </w:pPr>
            <w:r>
              <w:rPr>
                <w:b/>
                <w:bCs/>
                <w:color w:val="1A5C2E"/>
                <w:sz w:val="18"/>
                <w:szCs w:val="18"/>
              </w:rPr>
              <w:t>+24.19%</w:t>
            </w:r>
          </w:p>
        </w:tc>
      </w:tr>
      <w:tr w:rsidR="00170CD4" w:rsidRPr="00AD0FBC" w14:paraId="61ED533D" w14:textId="77777777" w:rsidTr="008B27C8">
        <w:trPr>
          <w:trHeight w:val="315"/>
        </w:trPr>
        <w:tc>
          <w:tcPr>
            <w:tcW w:w="3539" w:type="dxa"/>
            <w:tcBorders>
              <w:top w:val="nil"/>
              <w:left w:val="single" w:sz="4" w:space="0" w:color="CCCCCC"/>
              <w:bottom w:val="single" w:sz="4" w:space="0" w:color="CCCCCC"/>
              <w:right w:val="single" w:sz="4" w:space="0" w:color="CCCCCC"/>
            </w:tcBorders>
            <w:shd w:val="clear" w:color="auto" w:fill="E6F4EA"/>
            <w:noWrap/>
            <w:vAlign w:val="center"/>
            <w:hideMark/>
          </w:tcPr>
          <w:p w14:paraId="2CF3D2BF" w14:textId="77777777" w:rsidR="00170CD4" w:rsidRPr="00AD0FBC" w:rsidRDefault="00170CD4" w:rsidP="00170CD4">
            <w:pPr>
              <w:rPr>
                <w:rFonts w:eastAsia="Times New Roman"/>
                <w:b/>
                <w:bCs/>
                <w:sz w:val="16"/>
                <w:szCs w:val="16"/>
              </w:rPr>
            </w:pPr>
            <w:r>
              <w:rPr>
                <w:b/>
                <w:bCs/>
                <w:sz w:val="18"/>
                <w:szCs w:val="18"/>
              </w:rPr>
              <w:t>FGN 10-Yr Bond Yield (%)</w:t>
            </w:r>
          </w:p>
        </w:tc>
        <w:tc>
          <w:tcPr>
            <w:tcW w:w="1843" w:type="dxa"/>
            <w:tcBorders>
              <w:top w:val="nil"/>
              <w:left w:val="nil"/>
              <w:bottom w:val="single" w:sz="4" w:space="0" w:color="CCCCCC"/>
              <w:right w:val="single" w:sz="4" w:space="0" w:color="CCCCCC"/>
            </w:tcBorders>
            <w:shd w:val="clear" w:color="auto" w:fill="E6F4EA"/>
            <w:noWrap/>
            <w:vAlign w:val="center"/>
            <w:hideMark/>
          </w:tcPr>
          <w:p w14:paraId="20E8ACE6" w14:textId="058917ED"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17.12%</w:t>
            </w:r>
          </w:p>
        </w:tc>
        <w:tc>
          <w:tcPr>
            <w:tcW w:w="2268" w:type="dxa"/>
            <w:tcBorders>
              <w:top w:val="nil"/>
              <w:left w:val="nil"/>
              <w:bottom w:val="single" w:sz="4" w:space="0" w:color="CCCCCC"/>
              <w:right w:val="single" w:sz="4" w:space="0" w:color="CCCCCC"/>
            </w:tcBorders>
            <w:shd w:val="clear" w:color="auto" w:fill="E6F4EA"/>
            <w:noWrap/>
            <w:vAlign w:val="center"/>
            <w:hideMark/>
          </w:tcPr>
          <w:p w14:paraId="193DC049" w14:textId="5DF885D8" w:rsidR="00170CD4" w:rsidRPr="003C178D" w:rsidRDefault="00170CD4" w:rsidP="00170CD4">
            <w:pPr>
              <w:jc w:val="center"/>
              <w:rPr>
                <w:rFonts w:eastAsia="Times New Roman"/>
                <w:b/>
                <w:bCs/>
                <w:color w:val="124F1A" w:themeColor="accent3" w:themeShade="BF"/>
                <w:sz w:val="16"/>
                <w:szCs w:val="16"/>
              </w:rPr>
            </w:pPr>
            <w:r>
              <w:rPr>
                <w:b/>
                <w:bCs/>
                <w:sz w:val="18"/>
                <w:szCs w:val="18"/>
              </w:rPr>
              <w:t>2026-09-03</w:t>
            </w:r>
          </w:p>
        </w:tc>
        <w:tc>
          <w:tcPr>
            <w:tcW w:w="1134" w:type="dxa"/>
            <w:tcBorders>
              <w:top w:val="nil"/>
              <w:left w:val="nil"/>
              <w:bottom w:val="single" w:sz="4" w:space="0" w:color="CCCCCC"/>
              <w:right w:val="single" w:sz="4" w:space="0" w:color="CCCCCC"/>
            </w:tcBorders>
            <w:shd w:val="clear" w:color="auto" w:fill="E6F4EA"/>
            <w:noWrap/>
            <w:vAlign w:val="center"/>
            <w:hideMark/>
          </w:tcPr>
          <w:p w14:paraId="710663FE" w14:textId="323DBE4C"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17.12%</w:t>
            </w:r>
          </w:p>
        </w:tc>
        <w:tc>
          <w:tcPr>
            <w:tcW w:w="926" w:type="dxa"/>
            <w:tcBorders>
              <w:top w:val="nil"/>
              <w:left w:val="nil"/>
              <w:bottom w:val="single" w:sz="4" w:space="0" w:color="CCCCCC"/>
              <w:right w:val="single" w:sz="4" w:space="0" w:color="CCCCCC"/>
            </w:tcBorders>
            <w:shd w:val="clear" w:color="auto" w:fill="E6F4EA"/>
            <w:noWrap/>
            <w:vAlign w:val="center"/>
            <w:hideMark/>
          </w:tcPr>
          <w:p w14:paraId="1D36FF50" w14:textId="5513ABF3" w:rsidR="00170CD4" w:rsidRPr="003C178D" w:rsidRDefault="00170CD4" w:rsidP="00170CD4">
            <w:pPr>
              <w:rPr>
                <w:rFonts w:eastAsia="Times New Roman"/>
                <w:b/>
                <w:bCs/>
                <w:color w:val="124F1A" w:themeColor="accent3" w:themeShade="BF"/>
                <w:sz w:val="16"/>
                <w:szCs w:val="16"/>
              </w:rPr>
            </w:pPr>
            <w:r>
              <w:rPr>
                <w:b/>
                <w:bCs/>
                <w:color w:val="1A5C2E"/>
                <w:sz w:val="18"/>
                <w:szCs w:val="18"/>
              </w:rPr>
              <w:t>0.00%</w:t>
            </w:r>
          </w:p>
        </w:tc>
      </w:tr>
      <w:tr w:rsidR="00170CD4" w:rsidRPr="00AD0FBC" w14:paraId="02422FFB" w14:textId="77777777" w:rsidTr="008B27C8">
        <w:trPr>
          <w:trHeight w:val="315"/>
        </w:trPr>
        <w:tc>
          <w:tcPr>
            <w:tcW w:w="3539" w:type="dxa"/>
            <w:tcBorders>
              <w:top w:val="nil"/>
              <w:left w:val="single" w:sz="4" w:space="0" w:color="CCCCCC"/>
              <w:bottom w:val="nil"/>
              <w:right w:val="single" w:sz="4" w:space="0" w:color="CCCCCC"/>
            </w:tcBorders>
            <w:noWrap/>
            <w:vAlign w:val="center"/>
            <w:hideMark/>
          </w:tcPr>
          <w:p w14:paraId="689F2752" w14:textId="77777777" w:rsidR="00170CD4" w:rsidRPr="00AD0FBC" w:rsidRDefault="00170CD4" w:rsidP="00170CD4">
            <w:pPr>
              <w:rPr>
                <w:rFonts w:eastAsia="Times New Roman"/>
                <w:b/>
                <w:bCs/>
                <w:sz w:val="16"/>
                <w:szCs w:val="16"/>
              </w:rPr>
            </w:pPr>
            <w:r>
              <w:rPr>
                <w:b/>
                <w:bCs/>
                <w:sz w:val="18"/>
                <w:szCs w:val="18"/>
              </w:rPr>
              <w:t>Nigeria Foreign Reserves (USD bn)</w:t>
            </w:r>
          </w:p>
        </w:tc>
        <w:tc>
          <w:tcPr>
            <w:tcW w:w="1843" w:type="dxa"/>
            <w:tcBorders>
              <w:top w:val="nil"/>
              <w:left w:val="nil"/>
              <w:bottom w:val="nil"/>
              <w:right w:val="single" w:sz="4" w:space="0" w:color="CCCCCC"/>
            </w:tcBorders>
            <w:noWrap/>
            <w:vAlign w:val="center"/>
            <w:hideMark/>
          </w:tcPr>
          <w:p w14:paraId="3CB45EAA" w14:textId="34013916" w:rsidR="00170CD4" w:rsidRPr="003C178D" w:rsidRDefault="00170CD4" w:rsidP="00170CD4">
            <w:pPr>
              <w:jc w:val="center"/>
              <w:rPr>
                <w:rFonts w:eastAsia="Times New Roman"/>
                <w:b/>
                <w:bCs/>
                <w:color w:val="124F1A" w:themeColor="accent3" w:themeShade="BF"/>
                <w:sz w:val="16"/>
                <w:szCs w:val="16"/>
              </w:rPr>
            </w:pPr>
            <w:r>
              <w:rPr>
                <w:b/>
                <w:bCs/>
                <w:color w:val="1A5C2E"/>
                <w:sz w:val="18"/>
                <w:szCs w:val="18"/>
              </w:rPr>
              <w:t>54.13</w:t>
            </w:r>
          </w:p>
        </w:tc>
        <w:tc>
          <w:tcPr>
            <w:tcW w:w="2268" w:type="dxa"/>
            <w:tcBorders>
              <w:top w:val="nil"/>
              <w:left w:val="nil"/>
              <w:bottom w:val="nil"/>
              <w:right w:val="single" w:sz="4" w:space="0" w:color="CCCCCC"/>
            </w:tcBorders>
            <w:noWrap/>
            <w:vAlign w:val="center"/>
            <w:hideMark/>
          </w:tcPr>
          <w:p w14:paraId="6EA06C7B" w14:textId="185971A4" w:rsidR="00170CD4" w:rsidRPr="003C178D" w:rsidRDefault="00170CD4" w:rsidP="00170CD4">
            <w:pPr>
              <w:jc w:val="center"/>
              <w:rPr>
                <w:rFonts w:eastAsia="Times New Roman"/>
                <w:b/>
                <w:bCs/>
                <w:color w:val="124F1A" w:themeColor="accent3" w:themeShade="BF"/>
                <w:sz w:val="16"/>
                <w:szCs w:val="16"/>
              </w:rPr>
            </w:pPr>
            <w:r>
              <w:rPr>
                <w:b/>
                <w:bCs/>
                <w:color w:val="404040"/>
                <w:sz w:val="18"/>
                <w:szCs w:val="18"/>
              </w:rPr>
              <w:t>2026-09-04</w:t>
            </w:r>
          </w:p>
        </w:tc>
        <w:tc>
          <w:tcPr>
            <w:tcW w:w="1134" w:type="dxa"/>
            <w:tcBorders>
              <w:top w:val="nil"/>
              <w:left w:val="nil"/>
              <w:bottom w:val="nil"/>
              <w:right w:val="single" w:sz="4" w:space="0" w:color="CCCCCC"/>
            </w:tcBorders>
            <w:noWrap/>
            <w:vAlign w:val="center"/>
            <w:hideMark/>
          </w:tcPr>
          <w:p w14:paraId="1B6EAAE3" w14:textId="7693A5B4" w:rsidR="00170CD4" w:rsidRPr="003C178D" w:rsidRDefault="00170CD4" w:rsidP="00170CD4">
            <w:pPr>
              <w:jc w:val="center"/>
              <w:rPr>
                <w:rFonts w:eastAsia="Times New Roman"/>
                <w:b/>
                <w:bCs/>
                <w:color w:val="124F1A" w:themeColor="accent3" w:themeShade="BF"/>
                <w:sz w:val="16"/>
                <w:szCs w:val="16"/>
              </w:rPr>
            </w:pPr>
            <w:r>
              <w:rPr>
                <w:b/>
                <w:bCs/>
                <w:color w:val="FFFFFF"/>
                <w:sz w:val="18"/>
                <w:szCs w:val="18"/>
              </w:rPr>
              <w:t>53.81</w:t>
            </w:r>
          </w:p>
        </w:tc>
        <w:tc>
          <w:tcPr>
            <w:tcW w:w="926" w:type="dxa"/>
            <w:tcBorders>
              <w:top w:val="nil"/>
              <w:left w:val="nil"/>
              <w:bottom w:val="nil"/>
              <w:right w:val="single" w:sz="4" w:space="0" w:color="CCCCCC"/>
            </w:tcBorders>
            <w:noWrap/>
            <w:vAlign w:val="center"/>
            <w:hideMark/>
          </w:tcPr>
          <w:p w14:paraId="7F9E9835" w14:textId="1A4EBE25" w:rsidR="00170CD4" w:rsidRPr="003C178D" w:rsidRDefault="00170CD4" w:rsidP="00170CD4">
            <w:pPr>
              <w:rPr>
                <w:rFonts w:eastAsia="Times New Roman"/>
                <w:b/>
                <w:bCs/>
                <w:color w:val="124F1A" w:themeColor="accent3" w:themeShade="BF"/>
                <w:sz w:val="16"/>
                <w:szCs w:val="16"/>
              </w:rPr>
            </w:pPr>
            <w:r>
              <w:rPr>
                <w:b/>
                <w:bCs/>
                <w:color w:val="1A5C2E"/>
                <w:sz w:val="18"/>
                <w:szCs w:val="18"/>
              </w:rPr>
              <w:t>+0.59%</w:t>
            </w:r>
          </w:p>
        </w:tc>
      </w:tr>
      <w:tr w:rsidR="008B27C8" w:rsidRPr="00901E06" w14:paraId="71A23D8A" w14:textId="77777777" w:rsidTr="008B27C8">
        <w:trPr>
          <w:trHeight w:val="315"/>
        </w:trPr>
        <w:tc>
          <w:tcPr>
            <w:tcW w:w="3539" w:type="dxa"/>
            <w:tcBorders>
              <w:top w:val="nil"/>
              <w:left w:val="single" w:sz="4" w:space="0" w:color="CCCCCC"/>
              <w:bottom w:val="single" w:sz="4" w:space="0" w:color="CCCCCC"/>
              <w:right w:val="single" w:sz="4" w:space="0" w:color="CCCCCC"/>
            </w:tcBorders>
            <w:shd w:val="clear" w:color="auto" w:fill="E6F4EA"/>
            <w:noWrap/>
            <w:vAlign w:val="center"/>
          </w:tcPr>
          <w:p w14:paraId="40375413" w14:textId="77777777" w:rsidR="008B27C8" w:rsidRPr="00901E06" w:rsidRDefault="008B27C8" w:rsidP="008B27C8">
            <w:pPr>
              <w:rPr>
                <w:rFonts w:eastAsia="Times New Roman"/>
                <w:b/>
                <w:bCs/>
                <w:color w:val="auto"/>
                <w:sz w:val="16"/>
                <w:szCs w:val="16"/>
              </w:rPr>
            </w:pPr>
            <w:r>
              <w:rPr>
                <w:b/>
                <w:bCs/>
                <w:color w:val="auto"/>
                <w:sz w:val="18"/>
                <w:szCs w:val="18"/>
              </w:rPr>
              <w:t>MPC / NBS Event This Week</w:t>
            </w:r>
          </w:p>
        </w:tc>
        <w:tc>
          <w:tcPr>
            <w:tcW w:w="6171" w:type="dxa"/>
            <w:gridSpan w:val="4"/>
            <w:tcBorders>
              <w:top w:val="nil"/>
              <w:left w:val="nil"/>
              <w:bottom w:val="single" w:sz="4" w:space="0" w:color="CCCCCC"/>
              <w:right w:val="single" w:sz="4" w:space="0" w:color="CCCCCC"/>
            </w:tcBorders>
            <w:shd w:val="clear" w:color="auto" w:fill="E6F4EA"/>
            <w:noWrap/>
            <w:vAlign w:val="center"/>
          </w:tcPr>
          <w:p w14:paraId="570839E7" w14:textId="1A266D89" w:rsidR="008B27C8" w:rsidRPr="003C178D" w:rsidRDefault="00170CD4" w:rsidP="00170CD4">
            <w:pPr>
              <w:jc w:val="center"/>
              <w:rPr>
                <w:b/>
                <w:bCs/>
                <w:color w:val="124F1A" w:themeColor="accent3" w:themeShade="BF"/>
                <w:sz w:val="18"/>
                <w:szCs w:val="18"/>
              </w:rPr>
            </w:pPr>
            <w:r>
              <w:rPr>
                <w:b/>
                <w:bCs/>
                <w:color w:val="404040"/>
                <w:sz w:val="18"/>
                <w:szCs w:val="18"/>
              </w:rPr>
              <w:t>No MPC or NBS release fell in the week of 07 to 11 Sep 2026. The CBN's 307th MPC meets on 21 and 22 Sep 2026. The NBS August CPI report is expected in the week of 14 Sep, following the 17 Aug release of the July data, which printed 15.43% against June's 15.91%.</w:t>
            </w:r>
          </w:p>
        </w:tc>
      </w:tr>
    </w:tbl>
    <w:p w14:paraId="781FC32D" w14:textId="77777777" w:rsidR="00501A4D" w:rsidRDefault="00C80B18" w:rsidP="00501A4D">
      <w:pPr>
        <w:spacing w:before="180" w:after="80"/>
      </w:pPr>
      <w:r>
        <w:rPr>
          <w:b/>
          <w:bCs/>
          <w:color w:val="1A5C4E"/>
          <w:sz w:val="22"/>
          <w:szCs w:val="22"/>
        </w:rPr>
        <w:t>Macro Commentary</w:t>
      </w:r>
    </w:p>
    <w:p w14:paraId="5659DE20" w14:textId="77777777" w:rsidR="00170CD4" w:rsidRPr="00170CD4" w:rsidRDefault="00170CD4" w:rsidP="00170CD4">
      <w:pPr>
        <w:pStyle w:val="ListParagraph"/>
        <w:numPr>
          <w:ilvl w:val="0"/>
          <w:numId w:val="11"/>
        </w:numPr>
        <w:spacing w:before="120" w:after="120"/>
        <w:rPr>
          <w:color w:val="auto"/>
        </w:rPr>
      </w:pPr>
      <w:r>
        <w:t xml:space="preserve">The naira weakened </w:t>
      </w:r>
      <w:r>
        <w:rPr>
          <w:b/>
          <w:color w:val="EE0000"/>
        </w:rPr>
        <w:t>▼</w:t>
      </w:r>
      <w:r>
        <w:t xml:space="preserve">₦4.80 at the official window to ₦1,326.23 while the parallel rate firmed </w:t>
      </w:r>
      <w:r>
        <w:rPr>
          <w:b/>
          <w:color w:val="EE0000"/>
        </w:rPr>
        <w:t>▼</w:t>
      </w:r>
      <w:r>
        <w:t xml:space="preserve">₦10.00 to ₦1,390.00, compressing the spread to ₦63.77, or 4.81%, from 6.46% two weeks earlier. Direction diverged by venue rather than by trend: NFEM turnover reached $1.45bn on 10 Sep, </w:t>
      </w:r>
      <w:r>
        <w:rPr>
          <w:b/>
          <w:color w:val="00B050"/>
        </w:rPr>
        <w:t>▲</w:t>
      </w:r>
      <w:r>
        <w:t xml:space="preserve">167.2% on the prior session and the strongest daily print since 21 Jul, and the CBN sold $151m to banks on 11 Sep. Sterling weakened </w:t>
      </w:r>
      <w:r>
        <w:rPr>
          <w:b/>
          <w:color w:val="EE0000"/>
        </w:rPr>
        <w:t>▼</w:t>
      </w:r>
      <w:r>
        <w:t xml:space="preserve">0.44% to ₦1,787.76 against a euro </w:t>
      </w:r>
      <w:r>
        <w:rPr>
          <w:b/>
          <w:color w:val="00B050"/>
        </w:rPr>
        <w:t>▲</w:t>
      </w:r>
      <w:r>
        <w:t>0.30% at ₦1,538.16. Official YTD naira appreciation stands at 8.31%. The official rate throughout this report is the NAFEM official close of ₦1,326.23 carried on the market data feed; CBN session prints for the same day differ by under ₦2.30 and are not mixed into this series.</w:t>
      </w:r>
    </w:p>
    <w:p w14:paraId="554A339C" w14:textId="77777777" w:rsidR="00170CD4" w:rsidRPr="00170CD4" w:rsidRDefault="00170CD4" w:rsidP="00170CD4">
      <w:pPr>
        <w:pStyle w:val="ListParagraph"/>
        <w:numPr>
          <w:ilvl w:val="0"/>
          <w:numId w:val="11"/>
        </w:numPr>
        <w:spacing w:before="120" w:after="120"/>
        <w:rPr>
          <w:color w:val="auto"/>
        </w:rPr>
      </w:pPr>
      <w:r>
        <w:t>The MPR held at 26.50% for a third consecutive meeting, unchanged since the 50bp cut in February. July CPI at 15.43% extends the disinflation run from 15.91% in June, leaving a real policy rate above 1,100bp. The FGN 10 year yield is carried at 17.12% as at 03 Sep 2026, the latest available mark, and is dated accordingly in the dashboard.</w:t>
      </w:r>
    </w:p>
    <w:p w14:paraId="25F6776F" w14:textId="77777777" w:rsidR="00170CD4" w:rsidRPr="00170CD4" w:rsidRDefault="00170CD4" w:rsidP="00170CD4">
      <w:pPr>
        <w:pStyle w:val="ListParagraph"/>
        <w:numPr>
          <w:ilvl w:val="0"/>
          <w:numId w:val="11"/>
        </w:numPr>
        <w:spacing w:before="120" w:after="120"/>
        <w:rPr>
          <w:color w:val="auto"/>
        </w:rPr>
      </w:pPr>
      <w:r>
        <w:t xml:space="preserve">Crude did the work this week. Brent </w:t>
      </w:r>
      <w:r>
        <w:rPr>
          <w:b/>
          <w:color w:val="00B050"/>
        </w:rPr>
        <w:t>▲</w:t>
      </w:r>
      <w:r>
        <w:t xml:space="preserve">8.65% to $104.61 and Bonny Light </w:t>
      </w:r>
      <w:r>
        <w:rPr>
          <w:b/>
          <w:color w:val="00B050"/>
        </w:rPr>
        <w:t>▲</w:t>
      </w:r>
      <w:r>
        <w:t xml:space="preserve">24.19% to $121.90 on Middle East shipping attacks, putting Bonny Light at a $17.29 premium to Brent. That premium is far wider than the historical $1 to $4 range, but it is consistent with the pattern through this conflict: Nigerian light sweet grades approached $120 in March 2026, with European refiners reported paying between $112 and $122 as Middle East supply was displaced. The figure is a manual dashboard input rather than an assessed differential and carries a wider error margin than the rest of this table. Reserves rose to $54.13bn as at 04 Sep, the highest since December 2008 on CBN data, </w:t>
      </w:r>
      <w:r>
        <w:rPr>
          <w:b/>
          <w:color w:val="00B050"/>
        </w:rPr>
        <w:t>▲</w:t>
      </w:r>
      <w:r>
        <w:t>30.31% YoY.</w:t>
      </w:r>
    </w:p>
    <w:p w14:paraId="259651D1" w14:textId="29BED48C" w:rsidR="00043D07" w:rsidRPr="00170CD4" w:rsidRDefault="00170CD4" w:rsidP="00170CD4">
      <w:pPr>
        <w:pStyle w:val="ListParagraph"/>
        <w:numPr>
          <w:ilvl w:val="0"/>
          <w:numId w:val="11"/>
        </w:numPr>
        <w:spacing w:before="120" w:after="120"/>
        <w:rPr>
          <w:color w:val="auto"/>
        </w:rPr>
      </w:pPr>
      <w:r>
        <w:rPr>
          <w:b/>
          <w:bCs/>
        </w:rPr>
        <w:t>Events to watch next week: the NBS August 2026 CPI report, expected in the week of 14 September following the 17 August release of the July data; CBN 307th MPC meeting, 21 and 22 Sep; Dangote Refinery IPO subscription window, opened 14 Sep and running to 13 Oct.</w:t>
      </w:r>
    </w:p>
    <w:p w14:paraId="12CD92C6" w14:textId="77777777" w:rsidR="00C06B25" w:rsidRDefault="00CB3E7C" w:rsidP="00C80B18">
      <w:pPr>
        <w:shd w:val="clear" w:color="auto" w:fill="1A5C4E"/>
        <w:spacing w:before="280" w:after="120"/>
        <w:ind w:left="160"/>
      </w:pPr>
      <w:r>
        <w:rPr>
          <w:b/>
          <w:bCs/>
          <w:color w:val="D6EDF0"/>
          <w:sz w:val="22"/>
          <w:szCs w:val="22"/>
        </w:rPr>
        <w:lastRenderedPageBreak/>
        <w:t xml:space="preserve">SECTION </w:t>
      </w:r>
      <w:proofErr w:type="gramStart"/>
      <w:r>
        <w:rPr>
          <w:b/>
          <w:bCs/>
          <w:color w:val="D6EDF0"/>
          <w:sz w:val="22"/>
          <w:szCs w:val="22"/>
        </w:rPr>
        <w:t xml:space="preserve">8  </w:t>
      </w:r>
      <w:r>
        <w:rPr>
          <w:b/>
          <w:bCs/>
          <w:color w:val="FFFFFF"/>
          <w:sz w:val="22"/>
          <w:szCs w:val="22"/>
        </w:rPr>
        <w:t>|</w:t>
      </w:r>
      <w:proofErr w:type="gramEnd"/>
      <w:r>
        <w:rPr>
          <w:b/>
          <w:bCs/>
          <w:color w:val="FFFFFF"/>
          <w:sz w:val="22"/>
          <w:szCs w:val="22"/>
        </w:rPr>
        <w:t xml:space="preserve">  NIGERIA — MARKET METRICS &amp; VALUATION</w:t>
      </w:r>
    </w:p>
    <w:p w14:paraId="73847338" w14:textId="77777777" w:rsidR="00CA7A56" w:rsidRDefault="00CA7A56" w:rsidP="00CA7A56">
      <w:pPr>
        <w:spacing w:before="240" w:after="120"/>
      </w:pPr>
      <w:r>
        <w:rPr>
          <w:rFonts w:ascii="Calibri" w:eastAsia="Calibri" w:hAnsi="Calibri" w:cs="Calibri"/>
          <w:b/>
          <w:bCs/>
          <w:color w:val="1F6B4A"/>
          <w:sz w:val="26"/>
          <w:szCs w:val="26"/>
        </w:rPr>
        <w:t>Valuation Metrics</w:t>
      </w:r>
    </w:p>
    <w:tbl>
      <w:tblPr>
        <w:tblW w:w="9746" w:type="dxa"/>
        <w:tblBorders>
          <w:top w:val="single" w:sz="6" w:space="0" w:color="9AB5A8"/>
          <w:left w:val="single" w:sz="6" w:space="0" w:color="9AB5A8"/>
          <w:bottom w:val="single" w:sz="6" w:space="0" w:color="9AB5A8"/>
          <w:right w:val="single" w:sz="6" w:space="0" w:color="9AB5A8"/>
          <w:insideH w:val="single" w:sz="4" w:space="0" w:color="C6D8CD"/>
          <w:insideV w:val="single" w:sz="4" w:space="0" w:color="C6D8CD"/>
        </w:tblBorders>
        <w:tblCellMar>
          <w:left w:w="10" w:type="dxa"/>
          <w:right w:w="10" w:type="dxa"/>
        </w:tblCellMar>
        <w:tblLook w:val="04A0" w:firstRow="1" w:lastRow="0" w:firstColumn="1" w:lastColumn="0" w:noHBand="0" w:noVBand="1"/>
      </w:tblPr>
      <w:tblGrid>
        <w:gridCol w:w="3560"/>
        <w:gridCol w:w="2180"/>
        <w:gridCol w:w="2180"/>
        <w:gridCol w:w="1826"/>
      </w:tblGrid>
      <w:tr w:rsidR="0045182A" w14:paraId="74EC2CBF" w14:textId="77777777" w:rsidTr="0003792B">
        <w:trPr>
          <w:tblHeader/>
        </w:trPr>
        <w:tc>
          <w:tcPr>
            <w:tcW w:w="3560" w:type="dxa"/>
            <w:shd w:val="clear" w:color="auto" w:fill="1F5C4A"/>
            <w:tcMar>
              <w:top w:w="80" w:type="dxa"/>
              <w:left w:w="120" w:type="dxa"/>
              <w:bottom w:w="80" w:type="dxa"/>
              <w:right w:w="120" w:type="dxa"/>
            </w:tcMar>
          </w:tcPr>
          <w:p w14:paraId="4A33D8E8" w14:textId="77777777" w:rsidR="0045182A" w:rsidRDefault="0045182A" w:rsidP="0003792B">
            <w:r>
              <w:rPr>
                <w:rFonts w:ascii="Calibri" w:eastAsia="Calibri" w:hAnsi="Calibri" w:cs="Calibri"/>
                <w:b/>
                <w:bCs/>
                <w:color w:val="FFFFFF"/>
                <w:sz w:val="19"/>
                <w:szCs w:val="19"/>
              </w:rPr>
              <w:t>Metric</w:t>
            </w:r>
          </w:p>
        </w:tc>
        <w:tc>
          <w:tcPr>
            <w:tcW w:w="2180" w:type="dxa"/>
            <w:shd w:val="clear" w:color="auto" w:fill="1F5C4A"/>
            <w:tcMar>
              <w:top w:w="80" w:type="dxa"/>
              <w:left w:w="120" w:type="dxa"/>
              <w:bottom w:w="80" w:type="dxa"/>
              <w:right w:w="120" w:type="dxa"/>
            </w:tcMar>
          </w:tcPr>
          <w:p w14:paraId="42151A04" w14:textId="77777777" w:rsidR="0045182A" w:rsidRDefault="0045182A" w:rsidP="0003792B">
            <w:pPr>
              <w:jc w:val="right"/>
            </w:pPr>
            <w:r>
              <w:rPr>
                <w:rFonts w:ascii="Calibri" w:eastAsia="Calibri" w:hAnsi="Calibri" w:cs="Calibri"/>
                <w:b/>
                <w:bCs/>
                <w:color w:val="FFFFFF"/>
                <w:sz w:val="19"/>
                <w:szCs w:val="19"/>
              </w:rPr>
              <w:t>Current (11 Sep 2026)</w:t>
            </w:r>
          </w:p>
        </w:tc>
        <w:tc>
          <w:tcPr>
            <w:tcW w:w="2180" w:type="dxa"/>
            <w:shd w:val="clear" w:color="auto" w:fill="1F5C4A"/>
            <w:tcMar>
              <w:top w:w="80" w:type="dxa"/>
              <w:left w:w="120" w:type="dxa"/>
              <w:bottom w:w="80" w:type="dxa"/>
              <w:right w:w="120" w:type="dxa"/>
            </w:tcMar>
          </w:tcPr>
          <w:p w14:paraId="3E93EE36" w14:textId="77777777" w:rsidR="0045182A" w:rsidRDefault="0045182A" w:rsidP="0003792B">
            <w:pPr>
              <w:jc w:val="right"/>
            </w:pPr>
            <w:r>
              <w:rPr>
                <w:rFonts w:ascii="Calibri" w:eastAsia="Calibri" w:hAnsi="Calibri" w:cs="Calibri"/>
                <w:b/>
                <w:bCs/>
                <w:color w:val="FFFFFF"/>
                <w:sz w:val="19"/>
                <w:szCs w:val="19"/>
              </w:rPr>
              <w:t>Prior Week (04 Sep 2026)</w:t>
            </w:r>
          </w:p>
        </w:tc>
        <w:tc>
          <w:tcPr>
            <w:tcW w:w="1826" w:type="dxa"/>
            <w:shd w:val="clear" w:color="auto" w:fill="1F5C4A"/>
            <w:tcMar>
              <w:top w:w="80" w:type="dxa"/>
              <w:left w:w="120" w:type="dxa"/>
              <w:bottom w:w="80" w:type="dxa"/>
              <w:right w:w="120" w:type="dxa"/>
            </w:tcMar>
          </w:tcPr>
          <w:p w14:paraId="4C265087" w14:textId="77777777" w:rsidR="0045182A" w:rsidRDefault="0045182A" w:rsidP="0003792B">
            <w:pPr>
              <w:jc w:val="right"/>
            </w:pPr>
            <w:r>
              <w:rPr>
                <w:rFonts w:ascii="Calibri" w:eastAsia="Calibri" w:hAnsi="Calibri" w:cs="Calibri"/>
                <w:b/>
                <w:bCs/>
                <w:color w:val="FFFFFF"/>
                <w:sz w:val="19"/>
                <w:szCs w:val="19"/>
              </w:rPr>
              <w:t>Change</w:t>
            </w:r>
          </w:p>
        </w:tc>
      </w:tr>
      <w:tr w:rsidR="0045182A" w14:paraId="2FE9D3B0" w14:textId="77777777" w:rsidTr="0003792B">
        <w:tc>
          <w:tcPr>
            <w:tcW w:w="3560" w:type="dxa"/>
            <w:tcMar>
              <w:top w:w="80" w:type="dxa"/>
              <w:left w:w="120" w:type="dxa"/>
              <w:bottom w:w="80" w:type="dxa"/>
              <w:right w:w="120" w:type="dxa"/>
            </w:tcMar>
          </w:tcPr>
          <w:p w14:paraId="237D9632" w14:textId="77777777" w:rsidR="0045182A" w:rsidRDefault="0045182A" w:rsidP="0003792B">
            <w:r>
              <w:rPr>
                <w:rFonts w:ascii="Calibri" w:eastAsia="Calibri" w:hAnsi="Calibri" w:cs="Calibri"/>
                <w:b/>
                <w:bCs/>
                <w:color w:val="222222"/>
                <w:sz w:val="19"/>
                <w:szCs w:val="19"/>
              </w:rPr>
              <w:t>NGX Main Board weighted contribution ratio (NGX-published; see note)</w:t>
            </w:r>
          </w:p>
        </w:tc>
        <w:tc>
          <w:tcPr>
            <w:tcW w:w="2180" w:type="dxa"/>
            <w:tcMar>
              <w:top w:w="80" w:type="dxa"/>
              <w:left w:w="120" w:type="dxa"/>
              <w:bottom w:w="80" w:type="dxa"/>
              <w:right w:w="120" w:type="dxa"/>
            </w:tcMar>
          </w:tcPr>
          <w:p w14:paraId="23F7CAEA" w14:textId="77777777" w:rsidR="0045182A" w:rsidRDefault="0045182A" w:rsidP="0003792B">
            <w:pPr>
              <w:jc w:val="right"/>
            </w:pPr>
            <w:r>
              <w:rPr>
                <w:rFonts w:ascii="Calibri" w:eastAsia="Calibri" w:hAnsi="Calibri" w:cs="Calibri"/>
                <w:color w:val="222222"/>
                <w:sz w:val="19"/>
                <w:szCs w:val="19"/>
              </w:rPr>
              <w:t>39.81x</w:t>
            </w:r>
          </w:p>
        </w:tc>
        <w:tc>
          <w:tcPr>
            <w:tcW w:w="2180" w:type="dxa"/>
            <w:tcMar>
              <w:top w:w="80" w:type="dxa"/>
              <w:left w:w="120" w:type="dxa"/>
              <w:bottom w:w="80" w:type="dxa"/>
              <w:right w:w="120" w:type="dxa"/>
            </w:tcMar>
          </w:tcPr>
          <w:p w14:paraId="7430492C" w14:textId="77777777" w:rsidR="0045182A" w:rsidRDefault="0045182A" w:rsidP="0003792B">
            <w:pPr>
              <w:jc w:val="right"/>
            </w:pPr>
            <w:r>
              <w:rPr>
                <w:rFonts w:ascii="Calibri" w:eastAsia="Calibri" w:hAnsi="Calibri" w:cs="Calibri"/>
                <w:color w:val="222222"/>
                <w:sz w:val="19"/>
                <w:szCs w:val="19"/>
              </w:rPr>
              <w:t>39.88x</w:t>
            </w:r>
          </w:p>
        </w:tc>
        <w:tc>
          <w:tcPr>
            <w:tcW w:w="1826" w:type="dxa"/>
            <w:tcMar>
              <w:top w:w="80" w:type="dxa"/>
              <w:left w:w="120" w:type="dxa"/>
              <w:bottom w:w="80" w:type="dxa"/>
              <w:right w:w="120" w:type="dxa"/>
            </w:tcMar>
          </w:tcPr>
          <w:p w14:paraId="7B7418D6" w14:textId="77777777" w:rsidR="0045182A" w:rsidRDefault="0045182A" w:rsidP="0003792B">
            <w:pPr>
              <w:jc w:val="right"/>
            </w:pPr>
            <w:r>
              <w:rPr>
                <w:rFonts w:ascii="Calibri" w:eastAsia="Calibri" w:hAnsi="Calibri" w:cs="Calibri"/>
                <w:color w:val="222222"/>
                <w:sz w:val="19"/>
                <w:szCs w:val="19"/>
              </w:rPr>
              <w:t>-0.07</w:t>
            </w:r>
          </w:p>
        </w:tc>
      </w:tr>
      <w:tr w:rsidR="0045182A" w14:paraId="6827531E" w14:textId="77777777" w:rsidTr="0003792B">
        <w:tc>
          <w:tcPr>
            <w:tcW w:w="3560" w:type="dxa"/>
            <w:shd w:val="clear" w:color="auto" w:fill="E8F3EC"/>
            <w:tcMar>
              <w:top w:w="80" w:type="dxa"/>
              <w:left w:w="120" w:type="dxa"/>
              <w:bottom w:w="80" w:type="dxa"/>
              <w:right w:w="120" w:type="dxa"/>
            </w:tcMar>
          </w:tcPr>
          <w:p w14:paraId="386AC9D9" w14:textId="77777777" w:rsidR="0045182A" w:rsidRDefault="0045182A" w:rsidP="0003792B">
            <w:r>
              <w:rPr>
                <w:rFonts w:ascii="Calibri" w:eastAsia="Calibri" w:hAnsi="Calibri" w:cs="Calibri"/>
                <w:b/>
                <w:bCs/>
                <w:color w:val="222222"/>
                <w:sz w:val="19"/>
                <w:szCs w:val="19"/>
              </w:rPr>
              <w:t>Main Board cap-weighted trailing P/E (Equinox recomputed, covered universe)</w:t>
            </w:r>
          </w:p>
        </w:tc>
        <w:tc>
          <w:tcPr>
            <w:tcW w:w="2180" w:type="dxa"/>
            <w:shd w:val="clear" w:color="auto" w:fill="E8F3EC"/>
            <w:tcMar>
              <w:top w:w="80" w:type="dxa"/>
              <w:left w:w="120" w:type="dxa"/>
              <w:bottom w:w="80" w:type="dxa"/>
              <w:right w:w="120" w:type="dxa"/>
            </w:tcMar>
          </w:tcPr>
          <w:p w14:paraId="73CE6B89" w14:textId="77777777" w:rsidR="0045182A" w:rsidRDefault="0045182A" w:rsidP="0003792B">
            <w:pPr>
              <w:jc w:val="right"/>
            </w:pPr>
            <w:r>
              <w:rPr>
                <w:rFonts w:ascii="Calibri" w:eastAsia="Calibri" w:hAnsi="Calibri" w:cs="Calibri"/>
                <w:color w:val="222222"/>
                <w:sz w:val="19"/>
                <w:szCs w:val="19"/>
              </w:rPr>
              <w:t>28.99x</w:t>
            </w:r>
          </w:p>
        </w:tc>
        <w:tc>
          <w:tcPr>
            <w:tcW w:w="2180" w:type="dxa"/>
            <w:shd w:val="clear" w:color="auto" w:fill="E8F3EC"/>
            <w:tcMar>
              <w:top w:w="80" w:type="dxa"/>
              <w:left w:w="120" w:type="dxa"/>
              <w:bottom w:w="80" w:type="dxa"/>
              <w:right w:w="120" w:type="dxa"/>
            </w:tcMar>
          </w:tcPr>
          <w:p w14:paraId="51006194" w14:textId="77777777" w:rsidR="0045182A" w:rsidRDefault="0045182A" w:rsidP="0003792B">
            <w:pPr>
              <w:jc w:val="right"/>
            </w:pPr>
            <w:r>
              <w:rPr>
                <w:rFonts w:ascii="Calibri" w:eastAsia="Calibri" w:hAnsi="Calibri" w:cs="Calibri"/>
                <w:color w:val="222222"/>
                <w:sz w:val="19"/>
                <w:szCs w:val="19"/>
              </w:rPr>
              <w:t>30.00x</w:t>
            </w:r>
          </w:p>
        </w:tc>
        <w:tc>
          <w:tcPr>
            <w:tcW w:w="1826" w:type="dxa"/>
            <w:shd w:val="clear" w:color="auto" w:fill="E8F3EC"/>
            <w:tcMar>
              <w:top w:w="80" w:type="dxa"/>
              <w:left w:w="120" w:type="dxa"/>
              <w:bottom w:w="80" w:type="dxa"/>
              <w:right w:w="120" w:type="dxa"/>
            </w:tcMar>
          </w:tcPr>
          <w:p w14:paraId="16AC3985" w14:textId="77777777" w:rsidR="0045182A" w:rsidRDefault="0045182A" w:rsidP="0003792B">
            <w:pPr>
              <w:jc w:val="right"/>
            </w:pPr>
            <w:r>
              <w:rPr>
                <w:rFonts w:ascii="Calibri" w:eastAsia="Calibri" w:hAnsi="Calibri" w:cs="Calibri"/>
                <w:color w:val="222222"/>
                <w:sz w:val="19"/>
                <w:szCs w:val="19"/>
              </w:rPr>
              <w:t>-1.01</w:t>
            </w:r>
          </w:p>
        </w:tc>
      </w:tr>
      <w:tr w:rsidR="0045182A" w14:paraId="5AEB9485" w14:textId="77777777" w:rsidTr="0003792B">
        <w:tc>
          <w:tcPr>
            <w:tcW w:w="3560" w:type="dxa"/>
            <w:tcMar>
              <w:top w:w="80" w:type="dxa"/>
              <w:left w:w="120" w:type="dxa"/>
              <w:bottom w:w="80" w:type="dxa"/>
              <w:right w:w="120" w:type="dxa"/>
            </w:tcMar>
          </w:tcPr>
          <w:p w14:paraId="47ACA1C1" w14:textId="77777777" w:rsidR="0045182A" w:rsidRDefault="0045182A" w:rsidP="0003792B">
            <w:r>
              <w:rPr>
                <w:rFonts w:ascii="Calibri" w:eastAsia="Calibri" w:hAnsi="Calibri" w:cs="Calibri"/>
                <w:b/>
                <w:bCs/>
                <w:color w:val="222222"/>
                <w:sz w:val="19"/>
                <w:szCs w:val="19"/>
              </w:rPr>
              <w:t>Main Board cap-weighted trailing P/E, excluding constituents above 100x</w:t>
            </w:r>
          </w:p>
        </w:tc>
        <w:tc>
          <w:tcPr>
            <w:tcW w:w="2180" w:type="dxa"/>
            <w:tcMar>
              <w:top w:w="80" w:type="dxa"/>
              <w:left w:w="120" w:type="dxa"/>
              <w:bottom w:w="80" w:type="dxa"/>
              <w:right w:w="120" w:type="dxa"/>
            </w:tcMar>
          </w:tcPr>
          <w:p w14:paraId="44C64C9E" w14:textId="77777777" w:rsidR="0045182A" w:rsidRDefault="0045182A" w:rsidP="0003792B">
            <w:pPr>
              <w:jc w:val="right"/>
            </w:pPr>
            <w:r>
              <w:rPr>
                <w:rFonts w:ascii="Calibri" w:eastAsia="Calibri" w:hAnsi="Calibri" w:cs="Calibri"/>
                <w:color w:val="222222"/>
                <w:sz w:val="19"/>
                <w:szCs w:val="19"/>
              </w:rPr>
              <w:t>18.73x</w:t>
            </w:r>
          </w:p>
        </w:tc>
        <w:tc>
          <w:tcPr>
            <w:tcW w:w="2180" w:type="dxa"/>
            <w:tcMar>
              <w:top w:w="80" w:type="dxa"/>
              <w:left w:w="120" w:type="dxa"/>
              <w:bottom w:w="80" w:type="dxa"/>
              <w:right w:w="120" w:type="dxa"/>
            </w:tcMar>
          </w:tcPr>
          <w:p w14:paraId="06762BA2" w14:textId="77777777" w:rsidR="0045182A" w:rsidRDefault="0045182A" w:rsidP="0003792B">
            <w:pPr>
              <w:jc w:val="right"/>
            </w:pPr>
            <w:r>
              <w:rPr>
                <w:rFonts w:ascii="Calibri" w:eastAsia="Calibri" w:hAnsi="Calibri" w:cs="Calibri"/>
                <w:color w:val="222222"/>
                <w:sz w:val="19"/>
                <w:szCs w:val="19"/>
              </w:rPr>
              <w:t>19.34x</w:t>
            </w:r>
          </w:p>
        </w:tc>
        <w:tc>
          <w:tcPr>
            <w:tcW w:w="1826" w:type="dxa"/>
            <w:tcMar>
              <w:top w:w="80" w:type="dxa"/>
              <w:left w:w="120" w:type="dxa"/>
              <w:bottom w:w="80" w:type="dxa"/>
              <w:right w:w="120" w:type="dxa"/>
            </w:tcMar>
          </w:tcPr>
          <w:p w14:paraId="7E749E58" w14:textId="77777777" w:rsidR="0045182A" w:rsidRDefault="0045182A" w:rsidP="0003792B">
            <w:pPr>
              <w:jc w:val="right"/>
            </w:pPr>
            <w:r>
              <w:rPr>
                <w:rFonts w:ascii="Calibri" w:eastAsia="Calibri" w:hAnsi="Calibri" w:cs="Calibri"/>
                <w:color w:val="222222"/>
                <w:sz w:val="19"/>
                <w:szCs w:val="19"/>
              </w:rPr>
              <w:t>-0.61</w:t>
            </w:r>
          </w:p>
        </w:tc>
      </w:tr>
      <w:tr w:rsidR="0045182A" w14:paraId="2C56F6DD" w14:textId="77777777" w:rsidTr="0003792B">
        <w:tc>
          <w:tcPr>
            <w:tcW w:w="3560" w:type="dxa"/>
            <w:shd w:val="clear" w:color="auto" w:fill="E8F3EC"/>
            <w:tcMar>
              <w:top w:w="80" w:type="dxa"/>
              <w:left w:w="120" w:type="dxa"/>
              <w:bottom w:w="80" w:type="dxa"/>
              <w:right w:w="120" w:type="dxa"/>
            </w:tcMar>
          </w:tcPr>
          <w:p w14:paraId="1AADAA94" w14:textId="77777777" w:rsidR="0045182A" w:rsidRDefault="0045182A" w:rsidP="0003792B">
            <w:r>
              <w:rPr>
                <w:rFonts w:ascii="Calibri" w:eastAsia="Calibri" w:hAnsi="Calibri" w:cs="Calibri"/>
                <w:b/>
                <w:bCs/>
                <w:color w:val="222222"/>
                <w:sz w:val="19"/>
                <w:szCs w:val="19"/>
              </w:rPr>
              <w:t>Covered share of Main Board capitalisation</w:t>
            </w:r>
          </w:p>
        </w:tc>
        <w:tc>
          <w:tcPr>
            <w:tcW w:w="2180" w:type="dxa"/>
            <w:shd w:val="clear" w:color="auto" w:fill="E8F3EC"/>
            <w:tcMar>
              <w:top w:w="80" w:type="dxa"/>
              <w:left w:w="120" w:type="dxa"/>
              <w:bottom w:w="80" w:type="dxa"/>
              <w:right w:w="120" w:type="dxa"/>
            </w:tcMar>
          </w:tcPr>
          <w:p w14:paraId="1375B7B3" w14:textId="77777777" w:rsidR="0045182A" w:rsidRDefault="0045182A" w:rsidP="0003792B">
            <w:pPr>
              <w:jc w:val="right"/>
            </w:pPr>
            <w:r>
              <w:rPr>
                <w:rFonts w:ascii="Calibri" w:eastAsia="Calibri" w:hAnsi="Calibri" w:cs="Calibri"/>
                <w:color w:val="222222"/>
                <w:sz w:val="19"/>
                <w:szCs w:val="19"/>
              </w:rPr>
              <w:t>₦32.80tn of ₦93.08tn</w:t>
            </w:r>
          </w:p>
          <w:p w14:paraId="26150FE4" w14:textId="77777777" w:rsidR="0045182A" w:rsidRDefault="0045182A" w:rsidP="0003792B">
            <w:pPr>
              <w:jc w:val="right"/>
            </w:pPr>
            <w:r>
              <w:rPr>
                <w:rFonts w:ascii="Calibri" w:eastAsia="Calibri" w:hAnsi="Calibri" w:cs="Calibri"/>
                <w:color w:val="222222"/>
                <w:sz w:val="19"/>
                <w:szCs w:val="19"/>
              </w:rPr>
              <w:t>(35.2%)</w:t>
            </w:r>
          </w:p>
        </w:tc>
        <w:tc>
          <w:tcPr>
            <w:tcW w:w="2180" w:type="dxa"/>
            <w:shd w:val="clear" w:color="auto" w:fill="E8F3EC"/>
            <w:tcMar>
              <w:top w:w="80" w:type="dxa"/>
              <w:left w:w="120" w:type="dxa"/>
              <w:bottom w:w="80" w:type="dxa"/>
              <w:right w:w="120" w:type="dxa"/>
            </w:tcMar>
          </w:tcPr>
          <w:p w14:paraId="110F6AB5" w14:textId="77777777" w:rsidR="0045182A" w:rsidRDefault="0045182A" w:rsidP="0003792B">
            <w:pPr>
              <w:jc w:val="right"/>
            </w:pPr>
            <w:r>
              <w:rPr>
                <w:rFonts w:ascii="Calibri" w:eastAsia="Calibri" w:hAnsi="Calibri" w:cs="Calibri"/>
                <w:color w:val="222222"/>
                <w:sz w:val="19"/>
                <w:szCs w:val="19"/>
              </w:rPr>
              <w:t>₦33.15tn of ₦94.84tn</w:t>
            </w:r>
          </w:p>
          <w:p w14:paraId="177D632B" w14:textId="77777777" w:rsidR="0045182A" w:rsidRDefault="0045182A" w:rsidP="0003792B">
            <w:pPr>
              <w:jc w:val="right"/>
            </w:pPr>
            <w:r>
              <w:rPr>
                <w:rFonts w:ascii="Calibri" w:eastAsia="Calibri" w:hAnsi="Calibri" w:cs="Calibri"/>
                <w:color w:val="222222"/>
                <w:sz w:val="19"/>
                <w:szCs w:val="19"/>
              </w:rPr>
              <w:t>(35.0%)</w:t>
            </w:r>
          </w:p>
        </w:tc>
        <w:tc>
          <w:tcPr>
            <w:tcW w:w="1826" w:type="dxa"/>
            <w:shd w:val="clear" w:color="auto" w:fill="E8F3EC"/>
            <w:tcMar>
              <w:top w:w="80" w:type="dxa"/>
              <w:left w:w="120" w:type="dxa"/>
              <w:bottom w:w="80" w:type="dxa"/>
              <w:right w:w="120" w:type="dxa"/>
            </w:tcMar>
          </w:tcPr>
          <w:p w14:paraId="4052320D" w14:textId="77777777" w:rsidR="0045182A" w:rsidRDefault="0045182A" w:rsidP="0003792B">
            <w:pPr>
              <w:jc w:val="right"/>
            </w:pPr>
            <w:r>
              <w:rPr>
                <w:rFonts w:ascii="Calibri" w:eastAsia="Calibri" w:hAnsi="Calibri" w:cs="Calibri"/>
                <w:color w:val="222222"/>
                <w:sz w:val="19"/>
                <w:szCs w:val="19"/>
              </w:rPr>
              <w:t>+0.2pp</w:t>
            </w:r>
          </w:p>
        </w:tc>
      </w:tr>
      <w:tr w:rsidR="0045182A" w14:paraId="0E6903F2" w14:textId="77777777" w:rsidTr="0003792B">
        <w:tc>
          <w:tcPr>
            <w:tcW w:w="3560" w:type="dxa"/>
            <w:tcMar>
              <w:top w:w="80" w:type="dxa"/>
              <w:left w:w="120" w:type="dxa"/>
              <w:bottom w:w="80" w:type="dxa"/>
              <w:right w:w="120" w:type="dxa"/>
            </w:tcMar>
          </w:tcPr>
          <w:p w14:paraId="1F494378" w14:textId="77777777" w:rsidR="0045182A" w:rsidRDefault="0045182A" w:rsidP="0003792B">
            <w:r>
              <w:rPr>
                <w:rFonts w:ascii="Calibri" w:eastAsia="Calibri" w:hAnsi="Calibri" w:cs="Calibri"/>
                <w:b/>
                <w:bCs/>
                <w:color w:val="222222"/>
                <w:sz w:val="19"/>
                <w:szCs w:val="19"/>
              </w:rPr>
              <w:t>Banking Sector avg P/E</w:t>
            </w:r>
          </w:p>
        </w:tc>
        <w:tc>
          <w:tcPr>
            <w:tcW w:w="2180" w:type="dxa"/>
            <w:tcMar>
              <w:top w:w="80" w:type="dxa"/>
              <w:left w:w="120" w:type="dxa"/>
              <w:bottom w:w="80" w:type="dxa"/>
              <w:right w:w="120" w:type="dxa"/>
            </w:tcMar>
          </w:tcPr>
          <w:p w14:paraId="58AE1B7F" w14:textId="77777777" w:rsidR="0045182A" w:rsidRDefault="0045182A" w:rsidP="0003792B">
            <w:pPr>
              <w:jc w:val="right"/>
            </w:pPr>
            <w:r>
              <w:rPr>
                <w:rFonts w:ascii="Calibri" w:eastAsia="Calibri" w:hAnsi="Calibri" w:cs="Calibri"/>
                <w:color w:val="222222"/>
                <w:sz w:val="19"/>
                <w:szCs w:val="19"/>
              </w:rPr>
              <w:t>21.59x</w:t>
            </w:r>
          </w:p>
        </w:tc>
        <w:tc>
          <w:tcPr>
            <w:tcW w:w="2180" w:type="dxa"/>
            <w:tcMar>
              <w:top w:w="80" w:type="dxa"/>
              <w:left w:w="120" w:type="dxa"/>
              <w:bottom w:w="80" w:type="dxa"/>
              <w:right w:w="120" w:type="dxa"/>
            </w:tcMar>
          </w:tcPr>
          <w:p w14:paraId="2A61CD3A" w14:textId="77777777" w:rsidR="0045182A" w:rsidRDefault="0045182A" w:rsidP="0003792B">
            <w:pPr>
              <w:jc w:val="right"/>
            </w:pPr>
            <w:r>
              <w:rPr>
                <w:rFonts w:ascii="Calibri" w:eastAsia="Calibri" w:hAnsi="Calibri" w:cs="Calibri"/>
                <w:color w:val="222222"/>
                <w:sz w:val="19"/>
                <w:szCs w:val="19"/>
              </w:rPr>
              <w:t>22.51x</w:t>
            </w:r>
          </w:p>
        </w:tc>
        <w:tc>
          <w:tcPr>
            <w:tcW w:w="1826" w:type="dxa"/>
            <w:tcMar>
              <w:top w:w="80" w:type="dxa"/>
              <w:left w:w="120" w:type="dxa"/>
              <w:bottom w:w="80" w:type="dxa"/>
              <w:right w:w="120" w:type="dxa"/>
            </w:tcMar>
          </w:tcPr>
          <w:p w14:paraId="050AE7BD" w14:textId="77777777" w:rsidR="0045182A" w:rsidRDefault="0045182A" w:rsidP="0003792B">
            <w:pPr>
              <w:jc w:val="right"/>
            </w:pPr>
            <w:r>
              <w:rPr>
                <w:rFonts w:ascii="Calibri" w:eastAsia="Calibri" w:hAnsi="Calibri" w:cs="Calibri"/>
                <w:color w:val="222222"/>
                <w:sz w:val="19"/>
                <w:szCs w:val="19"/>
              </w:rPr>
              <w:t>-0.92</w:t>
            </w:r>
          </w:p>
        </w:tc>
      </w:tr>
      <w:tr w:rsidR="0045182A" w14:paraId="0AA67FED" w14:textId="77777777" w:rsidTr="0003792B">
        <w:tc>
          <w:tcPr>
            <w:tcW w:w="3560" w:type="dxa"/>
            <w:shd w:val="clear" w:color="auto" w:fill="E8F3EC"/>
            <w:tcMar>
              <w:top w:w="80" w:type="dxa"/>
              <w:left w:w="120" w:type="dxa"/>
              <w:bottom w:w="80" w:type="dxa"/>
              <w:right w:w="120" w:type="dxa"/>
            </w:tcMar>
          </w:tcPr>
          <w:p w14:paraId="6DC91CEC" w14:textId="77777777" w:rsidR="0045182A" w:rsidRDefault="0045182A" w:rsidP="0003792B">
            <w:r>
              <w:rPr>
                <w:rFonts w:ascii="Calibri" w:eastAsia="Calibri" w:hAnsi="Calibri" w:cs="Calibri"/>
                <w:b/>
                <w:bCs/>
                <w:color w:val="222222"/>
                <w:sz w:val="19"/>
                <w:szCs w:val="19"/>
              </w:rPr>
              <w:t>Consumer Goods avg P/E</w:t>
            </w:r>
          </w:p>
        </w:tc>
        <w:tc>
          <w:tcPr>
            <w:tcW w:w="2180" w:type="dxa"/>
            <w:shd w:val="clear" w:color="auto" w:fill="E8F3EC"/>
            <w:tcMar>
              <w:top w:w="80" w:type="dxa"/>
              <w:left w:w="120" w:type="dxa"/>
              <w:bottom w:w="80" w:type="dxa"/>
              <w:right w:w="120" w:type="dxa"/>
            </w:tcMar>
          </w:tcPr>
          <w:p w14:paraId="57678AE9" w14:textId="77777777" w:rsidR="0045182A" w:rsidRDefault="0045182A" w:rsidP="0003792B">
            <w:pPr>
              <w:jc w:val="right"/>
            </w:pPr>
            <w:r>
              <w:rPr>
                <w:rFonts w:ascii="Calibri" w:eastAsia="Calibri" w:hAnsi="Calibri" w:cs="Calibri"/>
                <w:color w:val="222222"/>
                <w:sz w:val="19"/>
                <w:szCs w:val="19"/>
              </w:rPr>
              <w:t>59.40x</w:t>
            </w:r>
          </w:p>
        </w:tc>
        <w:tc>
          <w:tcPr>
            <w:tcW w:w="2180" w:type="dxa"/>
            <w:shd w:val="clear" w:color="auto" w:fill="E8F3EC"/>
            <w:tcMar>
              <w:top w:w="80" w:type="dxa"/>
              <w:left w:w="120" w:type="dxa"/>
              <w:bottom w:w="80" w:type="dxa"/>
              <w:right w:w="120" w:type="dxa"/>
            </w:tcMar>
          </w:tcPr>
          <w:p w14:paraId="3A48EC2E" w14:textId="77777777" w:rsidR="0045182A" w:rsidRDefault="0045182A" w:rsidP="0003792B">
            <w:pPr>
              <w:jc w:val="right"/>
            </w:pPr>
            <w:r>
              <w:rPr>
                <w:rFonts w:ascii="Calibri" w:eastAsia="Calibri" w:hAnsi="Calibri" w:cs="Calibri"/>
                <w:color w:val="222222"/>
                <w:sz w:val="19"/>
                <w:szCs w:val="19"/>
              </w:rPr>
              <w:t>55.96x</w:t>
            </w:r>
          </w:p>
        </w:tc>
        <w:tc>
          <w:tcPr>
            <w:tcW w:w="1826" w:type="dxa"/>
            <w:shd w:val="clear" w:color="auto" w:fill="E8F3EC"/>
            <w:tcMar>
              <w:top w:w="80" w:type="dxa"/>
              <w:left w:w="120" w:type="dxa"/>
              <w:bottom w:w="80" w:type="dxa"/>
              <w:right w:w="120" w:type="dxa"/>
            </w:tcMar>
          </w:tcPr>
          <w:p w14:paraId="1A996AE4" w14:textId="77777777" w:rsidR="0045182A" w:rsidRDefault="0045182A" w:rsidP="0003792B">
            <w:pPr>
              <w:jc w:val="right"/>
            </w:pPr>
            <w:r>
              <w:rPr>
                <w:rFonts w:ascii="Calibri" w:eastAsia="Calibri" w:hAnsi="Calibri" w:cs="Calibri"/>
                <w:color w:val="222222"/>
                <w:sz w:val="19"/>
                <w:szCs w:val="19"/>
              </w:rPr>
              <w:t>+3.44</w:t>
            </w:r>
          </w:p>
        </w:tc>
      </w:tr>
      <w:tr w:rsidR="0045182A" w14:paraId="03B2AFD0" w14:textId="77777777" w:rsidTr="0003792B">
        <w:tc>
          <w:tcPr>
            <w:tcW w:w="3560" w:type="dxa"/>
            <w:tcMar>
              <w:top w:w="80" w:type="dxa"/>
              <w:left w:w="120" w:type="dxa"/>
              <w:bottom w:w="80" w:type="dxa"/>
              <w:right w:w="120" w:type="dxa"/>
            </w:tcMar>
          </w:tcPr>
          <w:p w14:paraId="30866B6F" w14:textId="77777777" w:rsidR="0045182A" w:rsidRDefault="0045182A" w:rsidP="0003792B">
            <w:r>
              <w:rPr>
                <w:rFonts w:ascii="Calibri" w:eastAsia="Calibri" w:hAnsi="Calibri" w:cs="Calibri"/>
                <w:b/>
                <w:bCs/>
                <w:color w:val="222222"/>
                <w:sz w:val="19"/>
                <w:szCs w:val="19"/>
              </w:rPr>
              <w:t>Oil &amp; Gas avg P/E</w:t>
            </w:r>
          </w:p>
        </w:tc>
        <w:tc>
          <w:tcPr>
            <w:tcW w:w="2180" w:type="dxa"/>
            <w:tcMar>
              <w:top w:w="80" w:type="dxa"/>
              <w:left w:w="120" w:type="dxa"/>
              <w:bottom w:w="80" w:type="dxa"/>
              <w:right w:w="120" w:type="dxa"/>
            </w:tcMar>
          </w:tcPr>
          <w:p w14:paraId="2FD44DFA" w14:textId="77777777" w:rsidR="0045182A" w:rsidRDefault="0045182A" w:rsidP="0003792B">
            <w:pPr>
              <w:jc w:val="right"/>
            </w:pPr>
            <w:r>
              <w:rPr>
                <w:rFonts w:ascii="Calibri" w:eastAsia="Calibri" w:hAnsi="Calibri" w:cs="Calibri"/>
                <w:color w:val="222222"/>
                <w:sz w:val="19"/>
                <w:szCs w:val="19"/>
              </w:rPr>
              <w:t>41.23x</w:t>
            </w:r>
          </w:p>
        </w:tc>
        <w:tc>
          <w:tcPr>
            <w:tcW w:w="2180" w:type="dxa"/>
            <w:tcMar>
              <w:top w:w="80" w:type="dxa"/>
              <w:left w:w="120" w:type="dxa"/>
              <w:bottom w:w="80" w:type="dxa"/>
              <w:right w:w="120" w:type="dxa"/>
            </w:tcMar>
          </w:tcPr>
          <w:p w14:paraId="7EC042B0" w14:textId="77777777" w:rsidR="0045182A" w:rsidRDefault="0045182A" w:rsidP="0003792B">
            <w:pPr>
              <w:jc w:val="right"/>
            </w:pPr>
            <w:r>
              <w:rPr>
                <w:rFonts w:ascii="Calibri" w:eastAsia="Calibri" w:hAnsi="Calibri" w:cs="Calibri"/>
                <w:color w:val="222222"/>
                <w:sz w:val="19"/>
                <w:szCs w:val="19"/>
              </w:rPr>
              <w:t>40.60x</w:t>
            </w:r>
          </w:p>
        </w:tc>
        <w:tc>
          <w:tcPr>
            <w:tcW w:w="1826" w:type="dxa"/>
            <w:tcMar>
              <w:top w:w="80" w:type="dxa"/>
              <w:left w:w="120" w:type="dxa"/>
              <w:bottom w:w="80" w:type="dxa"/>
              <w:right w:w="120" w:type="dxa"/>
            </w:tcMar>
          </w:tcPr>
          <w:p w14:paraId="30CB5618" w14:textId="77777777" w:rsidR="0045182A" w:rsidRDefault="0045182A" w:rsidP="0003792B">
            <w:pPr>
              <w:jc w:val="right"/>
            </w:pPr>
            <w:r>
              <w:rPr>
                <w:rFonts w:ascii="Calibri" w:eastAsia="Calibri" w:hAnsi="Calibri" w:cs="Calibri"/>
                <w:color w:val="222222"/>
                <w:sz w:val="19"/>
                <w:szCs w:val="19"/>
              </w:rPr>
              <w:t>+0.63</w:t>
            </w:r>
          </w:p>
        </w:tc>
      </w:tr>
      <w:tr w:rsidR="0045182A" w14:paraId="1298E047" w14:textId="77777777" w:rsidTr="0003792B">
        <w:tc>
          <w:tcPr>
            <w:tcW w:w="3560" w:type="dxa"/>
            <w:shd w:val="clear" w:color="auto" w:fill="E8F3EC"/>
            <w:tcMar>
              <w:top w:w="80" w:type="dxa"/>
              <w:left w:w="120" w:type="dxa"/>
              <w:bottom w:w="80" w:type="dxa"/>
              <w:right w:w="120" w:type="dxa"/>
            </w:tcMar>
          </w:tcPr>
          <w:p w14:paraId="790F70E9" w14:textId="77777777" w:rsidR="0045182A" w:rsidRDefault="0045182A" w:rsidP="0003792B">
            <w:r>
              <w:rPr>
                <w:rFonts w:ascii="Calibri" w:eastAsia="Calibri" w:hAnsi="Calibri" w:cs="Calibri"/>
                <w:b/>
                <w:bCs/>
                <w:color w:val="222222"/>
                <w:sz w:val="19"/>
                <w:szCs w:val="19"/>
              </w:rPr>
              <w:t>Market Dividend Yield (avg)</w:t>
            </w:r>
          </w:p>
        </w:tc>
        <w:tc>
          <w:tcPr>
            <w:tcW w:w="2180" w:type="dxa"/>
            <w:shd w:val="clear" w:color="auto" w:fill="E8F3EC"/>
            <w:tcMar>
              <w:top w:w="80" w:type="dxa"/>
              <w:left w:w="120" w:type="dxa"/>
              <w:bottom w:w="80" w:type="dxa"/>
              <w:right w:w="120" w:type="dxa"/>
            </w:tcMar>
          </w:tcPr>
          <w:p w14:paraId="606B9D3E" w14:textId="77777777" w:rsidR="0045182A" w:rsidRDefault="0045182A" w:rsidP="0003792B">
            <w:pPr>
              <w:jc w:val="right"/>
            </w:pPr>
            <w:r>
              <w:rPr>
                <w:rFonts w:ascii="Calibri" w:eastAsia="Calibri" w:hAnsi="Calibri" w:cs="Calibri"/>
                <w:color w:val="222222"/>
                <w:sz w:val="19"/>
                <w:szCs w:val="19"/>
              </w:rPr>
              <w:t>3.75% (carried forward</w:t>
            </w:r>
          </w:p>
          <w:p w14:paraId="1B7C4471" w14:textId="77777777" w:rsidR="0045182A" w:rsidRDefault="0045182A" w:rsidP="0003792B">
            <w:pPr>
              <w:jc w:val="right"/>
            </w:pPr>
            <w:r>
              <w:rPr>
                <w:rFonts w:ascii="Calibri" w:eastAsia="Calibri" w:hAnsi="Calibri" w:cs="Calibri"/>
                <w:color w:val="222222"/>
                <w:sz w:val="19"/>
                <w:szCs w:val="19"/>
              </w:rPr>
              <w:t>from 14 Aug 2026)</w:t>
            </w:r>
          </w:p>
        </w:tc>
        <w:tc>
          <w:tcPr>
            <w:tcW w:w="2180" w:type="dxa"/>
            <w:shd w:val="clear" w:color="auto" w:fill="E8F3EC"/>
            <w:tcMar>
              <w:top w:w="80" w:type="dxa"/>
              <w:left w:w="120" w:type="dxa"/>
              <w:bottom w:w="80" w:type="dxa"/>
              <w:right w:w="120" w:type="dxa"/>
            </w:tcMar>
          </w:tcPr>
          <w:p w14:paraId="095A72A1" w14:textId="77777777" w:rsidR="0045182A" w:rsidRDefault="0045182A" w:rsidP="0003792B">
            <w:pPr>
              <w:jc w:val="right"/>
            </w:pPr>
            <w:r>
              <w:rPr>
                <w:rFonts w:ascii="Calibri" w:eastAsia="Calibri" w:hAnsi="Calibri" w:cs="Calibri"/>
                <w:color w:val="222222"/>
                <w:sz w:val="19"/>
                <w:szCs w:val="19"/>
              </w:rPr>
              <w:t>3.75% (carried forward</w:t>
            </w:r>
          </w:p>
          <w:p w14:paraId="6DEC3A37" w14:textId="77777777" w:rsidR="0045182A" w:rsidRDefault="0045182A" w:rsidP="0003792B">
            <w:pPr>
              <w:jc w:val="right"/>
            </w:pPr>
            <w:r>
              <w:rPr>
                <w:rFonts w:ascii="Calibri" w:eastAsia="Calibri" w:hAnsi="Calibri" w:cs="Calibri"/>
                <w:color w:val="222222"/>
                <w:sz w:val="19"/>
                <w:szCs w:val="19"/>
              </w:rPr>
              <w:t>from 14 Aug 2026)</w:t>
            </w:r>
          </w:p>
        </w:tc>
        <w:tc>
          <w:tcPr>
            <w:tcW w:w="1826" w:type="dxa"/>
            <w:shd w:val="clear" w:color="auto" w:fill="E8F3EC"/>
            <w:tcMar>
              <w:top w:w="80" w:type="dxa"/>
              <w:left w:w="120" w:type="dxa"/>
              <w:bottom w:w="80" w:type="dxa"/>
              <w:right w:w="120" w:type="dxa"/>
            </w:tcMar>
          </w:tcPr>
          <w:p w14:paraId="1A8244DF" w14:textId="77777777" w:rsidR="0045182A" w:rsidRDefault="0045182A" w:rsidP="0003792B">
            <w:pPr>
              <w:jc w:val="right"/>
            </w:pPr>
            <w:r>
              <w:rPr>
                <w:rFonts w:ascii="Calibri" w:eastAsia="Calibri" w:hAnsi="Calibri" w:cs="Calibri"/>
                <w:color w:val="222222"/>
                <w:sz w:val="19"/>
                <w:szCs w:val="19"/>
              </w:rPr>
              <w:t>N/A</w:t>
            </w:r>
          </w:p>
        </w:tc>
      </w:tr>
    </w:tbl>
    <w:p w14:paraId="6B59655A" w14:textId="77777777" w:rsidR="0045182A" w:rsidRDefault="0045182A">
      <w:pPr>
        <w:rPr>
          <w:i/>
          <w:color w:val="404040" w:themeColor="text1" w:themeTint="BF"/>
          <w:sz w:val="16"/>
        </w:rPr>
      </w:pPr>
    </w:p>
    <w:p w14:paraId="0DCBFEC7" w14:textId="7E763774" w:rsidR="00C06B25" w:rsidRPr="003C178D" w:rsidRDefault="00CB3E7C">
      <w:pPr>
        <w:rPr>
          <w:color w:val="404040" w:themeColor="text1" w:themeTint="BF"/>
        </w:rPr>
      </w:pPr>
      <w:r>
        <w:rPr>
          <w:i/>
          <w:color w:val="404040" w:themeColor="text1" w:themeTint="BF"/>
          <w:sz w:val="16"/>
        </w:rPr>
        <w:t>Source: NGX Current Equity P/E Ratios files of 11 Sep 2026 and 04 Sep 2026. Methodology note: the ratio NGX publishes as the Main Board Market Total (39.81 on 11 Sep 2026) is the sum, across constituents, of market capitalisation divided by total market capitalisation on all boards, multiplied by that constituent's P/E. On 11 Sep 2026 the implied denominator is approximately ₦161.87tn against a Main Board capitalisation of ₦93.08tn, and only ₦32.80tn of Main Board capitalisation carries a published P/E. The published figure is therefore a coverage-limited weighted contribution, not a cap-weighted market P/E, and is retained here only for continuity with prior issues. Equinox recomputes a cap-weighted trailing P/E over the covered Main Board universe as total covered capitalisation divided by total covered earnings, where earnings are derived as capitalisation divided by the published P/E. Coverage on 11 Sep 2026 is 78 of 126 Main Board lines. Sector figures are equal-weighted trailing P/E across constituents reporting usable data, excluding any constituent above 100x. Banking covers 9 of 11 bank and bank-holdco lines across the Main, Premium and Non-Interest boards, excluding Wema at 766.8x and Jaiz at 280.3x. Consumer Goods covers 7 of 13 Main Board lines, up from 6 of 13 on 04 Sep as Cadbury re-entered the screen at 91.3x; the sector average therefore rises partly on a composition change rather than on a re-rating alone. Oil &amp; Gas covers 5 of 6 lines across the Main and Premium boards, excluding TotalEnergies at 105.8x. Both weeks are recomputed on this basis and are not comparable with the 14 Aug 2026 edition carried in prior issues. Market Dividend Yield is unchanged from 14 Aug 2026 and is flagged as carried forward, not as a fresh observation.</w:t>
      </w:r>
    </w:p>
    <w:p w14:paraId="777DD907" w14:textId="78E6C06D" w:rsidR="00CA7A56" w:rsidRDefault="00CA7A56" w:rsidP="00CA7A56">
      <w:pPr>
        <w:spacing w:before="240" w:after="120"/>
      </w:pPr>
      <w:r>
        <w:rPr>
          <w:rFonts w:ascii="Calibri" w:eastAsia="Calibri" w:hAnsi="Calibri" w:cs="Calibri"/>
          <w:b/>
          <w:bCs/>
          <w:color w:val="1F6B4A"/>
          <w:sz w:val="26"/>
          <w:szCs w:val="26"/>
        </w:rPr>
        <w:t>Foreign Portfolio Investment (FPI)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2226"/>
        <w:gridCol w:w="2226"/>
        <w:gridCol w:w="1820"/>
      </w:tblGrid>
      <w:tr w:rsidR="00F96C28" w14:paraId="014C2590" w14:textId="77777777" w:rsidTr="00F96C28">
        <w:trPr>
          <w:tblHeader/>
        </w:trPr>
        <w:tc>
          <w:tcPr>
            <w:tcW w:w="1771" w:type="pct"/>
            <w:shd w:val="clear" w:color="auto" w:fill="1F6B4A"/>
            <w:tcMar>
              <w:top w:w="80" w:type="dxa"/>
              <w:left w:w="100" w:type="dxa"/>
              <w:bottom w:w="80" w:type="dxa"/>
              <w:right w:w="100" w:type="dxa"/>
            </w:tcMar>
          </w:tcPr>
          <w:p w14:paraId="31FBD276" w14:textId="77777777" w:rsidR="00F96C28" w:rsidRDefault="00F96C28" w:rsidP="00F96C28">
            <w:r>
              <w:rPr>
                <w:rFonts w:ascii="Calibri" w:eastAsia="Calibri" w:hAnsi="Calibri" w:cs="Calibri"/>
                <w:b/>
                <w:bCs/>
                <w:color w:val="FFFFFF"/>
              </w:rPr>
              <w:t>Metric</w:t>
            </w:r>
          </w:p>
        </w:tc>
        <w:tc>
          <w:tcPr>
            <w:tcW w:w="1146" w:type="pct"/>
            <w:shd w:val="clear" w:color="auto" w:fill="1F6B4A"/>
            <w:tcMar>
              <w:top w:w="80" w:type="dxa"/>
              <w:left w:w="100" w:type="dxa"/>
              <w:bottom w:w="80" w:type="dxa"/>
              <w:right w:w="100" w:type="dxa"/>
            </w:tcMar>
          </w:tcPr>
          <w:p w14:paraId="24C5C885" w14:textId="1C5E9842" w:rsidR="00F96C28" w:rsidRPr="00BB4BAD" w:rsidRDefault="00F96C28" w:rsidP="00F96C28">
            <w:pPr>
              <w:rPr>
                <w:color w:val="FFFFFF" w:themeColor="background1"/>
              </w:rPr>
            </w:pPr>
            <w:r>
              <w:rPr>
                <w:rFonts w:ascii="Calibri" w:eastAsia="Calibri" w:hAnsi="Calibri" w:cs="Calibri"/>
                <w:b/>
                <w:bCs/>
                <w:color w:val="FFFFFF" w:themeColor="background1"/>
              </w:rPr>
              <w:t>Current (Jul-26)</w:t>
            </w:r>
          </w:p>
        </w:tc>
        <w:tc>
          <w:tcPr>
            <w:tcW w:w="1146" w:type="pct"/>
            <w:shd w:val="clear" w:color="auto" w:fill="1F6B4A"/>
          </w:tcPr>
          <w:p w14:paraId="33B5AB51" w14:textId="5793810A" w:rsidR="00F96C28" w:rsidRPr="00BB4BAD" w:rsidRDefault="00F96C28" w:rsidP="00F96C28">
            <w:pPr>
              <w:rPr>
                <w:rFonts w:ascii="Calibri" w:eastAsia="Calibri" w:hAnsi="Calibri" w:cs="Calibri"/>
                <w:b/>
                <w:bCs/>
                <w:color w:val="FFFFFF" w:themeColor="background1"/>
              </w:rPr>
            </w:pPr>
            <w:r>
              <w:rPr>
                <w:rFonts w:ascii="Calibri" w:eastAsia="Calibri" w:hAnsi="Calibri" w:cs="Calibri"/>
                <w:b/>
                <w:bCs/>
                <w:color w:val="FFFFFF" w:themeColor="background1"/>
              </w:rPr>
              <w:t>Prior (Jun-26)</w:t>
            </w:r>
          </w:p>
        </w:tc>
        <w:tc>
          <w:tcPr>
            <w:tcW w:w="938" w:type="pct"/>
            <w:shd w:val="clear" w:color="auto" w:fill="1F6B4A"/>
            <w:tcMar>
              <w:top w:w="80" w:type="dxa"/>
              <w:left w:w="100" w:type="dxa"/>
              <w:bottom w:w="80" w:type="dxa"/>
              <w:right w:w="100" w:type="dxa"/>
            </w:tcMar>
          </w:tcPr>
          <w:p w14:paraId="6A595CDB" w14:textId="77777777" w:rsidR="00F96C28" w:rsidRDefault="00F96C28" w:rsidP="00F96C28">
            <w:r>
              <w:rPr>
                <w:rFonts w:ascii="Calibri" w:eastAsia="Calibri" w:hAnsi="Calibri" w:cs="Calibri"/>
                <w:b/>
                <w:bCs/>
                <w:color w:val="FFFFFF"/>
              </w:rPr>
              <w:t>Trend</w:t>
            </w:r>
          </w:p>
        </w:tc>
      </w:tr>
      <w:tr w:rsidR="00F96C28" w14:paraId="1AE53507" w14:textId="77777777" w:rsidTr="00F96C28">
        <w:tc>
          <w:tcPr>
            <w:tcW w:w="1771" w:type="pct"/>
            <w:tcMar>
              <w:top w:w="70" w:type="dxa"/>
              <w:left w:w="100" w:type="dxa"/>
              <w:bottom w:w="70" w:type="dxa"/>
              <w:right w:w="100" w:type="dxa"/>
            </w:tcMar>
          </w:tcPr>
          <w:p w14:paraId="6149BD48" w14:textId="77777777" w:rsidR="00F96C28" w:rsidRPr="0076154E" w:rsidRDefault="00F96C28" w:rsidP="00F96C28">
            <w:pPr>
              <w:rPr>
                <w:rFonts w:ascii="Calibri" w:hAnsi="Calibri" w:cs="Calibri"/>
              </w:rPr>
            </w:pPr>
            <w:r>
              <w:rPr>
                <w:rFonts w:ascii="Calibri" w:eastAsia="Calibri" w:hAnsi="Calibri" w:cs="Calibri"/>
                <w:b/>
                <w:bCs/>
                <w:color w:val="000000"/>
              </w:rPr>
              <w:t>FPI Buy Value (₦ bn)</w:t>
            </w:r>
          </w:p>
        </w:tc>
        <w:tc>
          <w:tcPr>
            <w:tcW w:w="1146" w:type="pct"/>
            <w:tcMar>
              <w:top w:w="70" w:type="dxa"/>
              <w:left w:w="100" w:type="dxa"/>
              <w:bottom w:w="70" w:type="dxa"/>
              <w:right w:w="100" w:type="dxa"/>
            </w:tcMar>
          </w:tcPr>
          <w:p w14:paraId="64EF674B" w14:textId="0A4E507E" w:rsidR="00F96C28" w:rsidRPr="0076154E" w:rsidRDefault="00F96C28" w:rsidP="00F96C28">
            <w:pPr>
              <w:jc w:val="right"/>
              <w:rPr>
                <w:rFonts w:ascii="Calibri" w:hAnsi="Calibri" w:cs="Calibri"/>
              </w:rPr>
            </w:pPr>
            <w:r>
              <w:rPr>
                <w:rFonts w:ascii="Calibri" w:hAnsi="Calibri" w:cs="Calibri"/>
                <w:color w:val="000000"/>
              </w:rPr>
              <w:t>41.59</w:t>
            </w:r>
          </w:p>
        </w:tc>
        <w:tc>
          <w:tcPr>
            <w:tcW w:w="1146" w:type="pct"/>
          </w:tcPr>
          <w:p w14:paraId="76B22D56" w14:textId="50CA3E90" w:rsidR="00F96C28" w:rsidRDefault="00F96C28" w:rsidP="00F96C28">
            <w:pPr>
              <w:jc w:val="right"/>
              <w:rPr>
                <w:rFonts w:ascii="Calibri" w:hAnsi="Calibri" w:cs="Calibri"/>
                <w:color w:val="000000"/>
              </w:rPr>
            </w:pPr>
            <w:r>
              <w:rPr>
                <w:rFonts w:ascii="Calibri" w:hAnsi="Calibri" w:cs="Calibri"/>
                <w:color w:val="000000"/>
              </w:rPr>
              <w:t>71.71</w:t>
            </w:r>
          </w:p>
        </w:tc>
        <w:tc>
          <w:tcPr>
            <w:tcW w:w="938" w:type="pct"/>
            <w:tcMar>
              <w:top w:w="70" w:type="dxa"/>
              <w:left w:w="100" w:type="dxa"/>
              <w:bottom w:w="70" w:type="dxa"/>
              <w:right w:w="100" w:type="dxa"/>
            </w:tcMar>
          </w:tcPr>
          <w:p w14:paraId="63143FEC" w14:textId="77777777" w:rsidR="00F96C28" w:rsidRPr="003C178D" w:rsidRDefault="00F96C28" w:rsidP="00F96C28">
            <w:pPr>
              <w:jc w:val="right"/>
              <w:rPr>
                <w:rFonts w:ascii="Calibri" w:hAnsi="Calibri" w:cs="Calibri"/>
                <w:color w:val="auto"/>
              </w:rPr>
            </w:pPr>
            <w:r>
              <w:rPr>
                <w:rFonts w:ascii="Calibri" w:hAnsi="Calibri" w:cs="Calibri"/>
                <w:color w:val="auto"/>
              </w:rPr>
              <w:t>↓</w:t>
            </w:r>
          </w:p>
        </w:tc>
      </w:tr>
      <w:tr w:rsidR="00F96C28" w14:paraId="3AE5C512" w14:textId="77777777" w:rsidTr="00F96C28">
        <w:tc>
          <w:tcPr>
            <w:tcW w:w="1771" w:type="pct"/>
            <w:shd w:val="clear" w:color="auto" w:fill="E9F4EE"/>
            <w:tcMar>
              <w:top w:w="70" w:type="dxa"/>
              <w:left w:w="100" w:type="dxa"/>
              <w:bottom w:w="70" w:type="dxa"/>
              <w:right w:w="100" w:type="dxa"/>
            </w:tcMar>
          </w:tcPr>
          <w:p w14:paraId="662FFD6C" w14:textId="77777777" w:rsidR="00F96C28" w:rsidRPr="0076154E" w:rsidRDefault="00F96C28" w:rsidP="00F96C28">
            <w:pPr>
              <w:rPr>
                <w:rFonts w:ascii="Calibri" w:hAnsi="Calibri" w:cs="Calibri"/>
              </w:rPr>
            </w:pPr>
            <w:r>
              <w:rPr>
                <w:rFonts w:ascii="Calibri" w:eastAsia="Calibri" w:hAnsi="Calibri" w:cs="Calibri"/>
                <w:b/>
                <w:bCs/>
                <w:color w:val="000000"/>
              </w:rPr>
              <w:t>FPI Sell Value (₦ bn)</w:t>
            </w:r>
          </w:p>
        </w:tc>
        <w:tc>
          <w:tcPr>
            <w:tcW w:w="1146" w:type="pct"/>
            <w:shd w:val="clear" w:color="auto" w:fill="E9F4EE"/>
            <w:tcMar>
              <w:top w:w="70" w:type="dxa"/>
              <w:left w:w="100" w:type="dxa"/>
              <w:bottom w:w="70" w:type="dxa"/>
              <w:right w:w="100" w:type="dxa"/>
            </w:tcMar>
          </w:tcPr>
          <w:p w14:paraId="5A19F4B2" w14:textId="3F93EEE6" w:rsidR="00F96C28" w:rsidRPr="0076154E" w:rsidRDefault="00F96C28" w:rsidP="00F96C28">
            <w:pPr>
              <w:jc w:val="right"/>
              <w:rPr>
                <w:rFonts w:ascii="Calibri" w:hAnsi="Calibri" w:cs="Calibri"/>
              </w:rPr>
            </w:pPr>
            <w:r>
              <w:rPr>
                <w:rFonts w:ascii="Calibri" w:hAnsi="Calibri" w:cs="Calibri"/>
                <w:color w:val="000000"/>
              </w:rPr>
              <w:t>91.03</w:t>
            </w:r>
          </w:p>
        </w:tc>
        <w:tc>
          <w:tcPr>
            <w:tcW w:w="1146" w:type="pct"/>
            <w:shd w:val="clear" w:color="auto" w:fill="E9F4EE"/>
          </w:tcPr>
          <w:p w14:paraId="1C136AA1" w14:textId="79CF03A9" w:rsidR="00F96C28" w:rsidRDefault="00F96C28" w:rsidP="00F96C28">
            <w:pPr>
              <w:jc w:val="right"/>
              <w:rPr>
                <w:rFonts w:ascii="Calibri" w:hAnsi="Calibri" w:cs="Calibri"/>
                <w:color w:val="000000"/>
              </w:rPr>
            </w:pPr>
            <w:r>
              <w:rPr>
                <w:rFonts w:ascii="Calibri" w:hAnsi="Calibri" w:cs="Calibri"/>
                <w:color w:val="000000"/>
              </w:rPr>
              <w:t>115.08</w:t>
            </w:r>
          </w:p>
        </w:tc>
        <w:tc>
          <w:tcPr>
            <w:tcW w:w="938" w:type="pct"/>
            <w:shd w:val="clear" w:color="auto" w:fill="E9F4EE"/>
            <w:tcMar>
              <w:top w:w="70" w:type="dxa"/>
              <w:left w:w="100" w:type="dxa"/>
              <w:bottom w:w="70" w:type="dxa"/>
              <w:right w:w="100" w:type="dxa"/>
            </w:tcMar>
          </w:tcPr>
          <w:p w14:paraId="4AB91EF7" w14:textId="77777777" w:rsidR="00F96C28" w:rsidRPr="003C178D" w:rsidRDefault="00F96C28" w:rsidP="00F96C28">
            <w:pPr>
              <w:jc w:val="right"/>
              <w:rPr>
                <w:rFonts w:ascii="Calibri" w:hAnsi="Calibri" w:cs="Calibri"/>
                <w:color w:val="auto"/>
              </w:rPr>
            </w:pPr>
            <w:r>
              <w:rPr>
                <w:rFonts w:ascii="Calibri" w:hAnsi="Calibri" w:cs="Calibri"/>
                <w:color w:val="auto"/>
              </w:rPr>
              <w:t>↑</w:t>
            </w:r>
          </w:p>
        </w:tc>
      </w:tr>
      <w:tr w:rsidR="00F96C28" w14:paraId="46EA754C" w14:textId="77777777" w:rsidTr="00F96C28">
        <w:tc>
          <w:tcPr>
            <w:tcW w:w="1771" w:type="pct"/>
            <w:tcMar>
              <w:top w:w="70" w:type="dxa"/>
              <w:left w:w="100" w:type="dxa"/>
              <w:bottom w:w="70" w:type="dxa"/>
              <w:right w:w="100" w:type="dxa"/>
            </w:tcMar>
          </w:tcPr>
          <w:p w14:paraId="1BC60720" w14:textId="77777777" w:rsidR="00F96C28" w:rsidRPr="0076154E" w:rsidRDefault="00F96C28" w:rsidP="00F96C28">
            <w:pPr>
              <w:rPr>
                <w:rFonts w:ascii="Calibri" w:hAnsi="Calibri" w:cs="Calibri"/>
              </w:rPr>
            </w:pPr>
            <w:r>
              <w:rPr>
                <w:rFonts w:ascii="Calibri" w:eastAsia="Calibri" w:hAnsi="Calibri" w:cs="Calibri"/>
                <w:b/>
                <w:bCs/>
                <w:color w:val="000000"/>
              </w:rPr>
              <w:t>FPI Buy/Sell Ratio</w:t>
            </w:r>
          </w:p>
        </w:tc>
        <w:tc>
          <w:tcPr>
            <w:tcW w:w="1146" w:type="pct"/>
            <w:tcMar>
              <w:top w:w="70" w:type="dxa"/>
              <w:left w:w="100" w:type="dxa"/>
              <w:bottom w:w="70" w:type="dxa"/>
              <w:right w:w="100" w:type="dxa"/>
            </w:tcMar>
          </w:tcPr>
          <w:p w14:paraId="170C2A53" w14:textId="63094B3A" w:rsidR="00F96C28" w:rsidRPr="0076154E" w:rsidRDefault="00F96C28" w:rsidP="00F96C28">
            <w:pPr>
              <w:jc w:val="right"/>
              <w:rPr>
                <w:rFonts w:ascii="Calibri" w:hAnsi="Calibri" w:cs="Calibri"/>
              </w:rPr>
            </w:pPr>
            <w:r>
              <w:rPr>
                <w:rFonts w:ascii="Calibri" w:hAnsi="Calibri" w:cs="Calibri"/>
                <w:color w:val="000000"/>
              </w:rPr>
              <w:t>0.46</w:t>
            </w:r>
          </w:p>
        </w:tc>
        <w:tc>
          <w:tcPr>
            <w:tcW w:w="1146" w:type="pct"/>
          </w:tcPr>
          <w:p w14:paraId="65DA9119" w14:textId="15CC5312" w:rsidR="00F96C28" w:rsidRDefault="00F96C28" w:rsidP="00F96C28">
            <w:pPr>
              <w:jc w:val="right"/>
              <w:rPr>
                <w:rFonts w:ascii="Calibri" w:hAnsi="Calibri" w:cs="Calibri"/>
                <w:color w:val="000000"/>
              </w:rPr>
            </w:pPr>
            <w:r>
              <w:rPr>
                <w:rFonts w:ascii="Calibri" w:hAnsi="Calibri" w:cs="Calibri"/>
                <w:color w:val="000000"/>
              </w:rPr>
              <w:t>0.62</w:t>
            </w:r>
          </w:p>
        </w:tc>
        <w:tc>
          <w:tcPr>
            <w:tcW w:w="938" w:type="pct"/>
            <w:tcMar>
              <w:top w:w="70" w:type="dxa"/>
              <w:left w:w="100" w:type="dxa"/>
              <w:bottom w:w="70" w:type="dxa"/>
              <w:right w:w="100" w:type="dxa"/>
            </w:tcMar>
          </w:tcPr>
          <w:p w14:paraId="17698A47" w14:textId="77777777" w:rsidR="00F96C28" w:rsidRPr="003C178D" w:rsidRDefault="00F96C28" w:rsidP="00F96C28">
            <w:pPr>
              <w:jc w:val="right"/>
              <w:rPr>
                <w:rFonts w:ascii="Calibri" w:hAnsi="Calibri" w:cs="Calibri"/>
                <w:color w:val="auto"/>
              </w:rPr>
            </w:pPr>
            <w:r>
              <w:rPr>
                <w:rFonts w:ascii="Calibri" w:hAnsi="Calibri" w:cs="Calibri"/>
                <w:color w:val="auto"/>
              </w:rPr>
              <w:t>↓</w:t>
            </w:r>
          </w:p>
        </w:tc>
      </w:tr>
      <w:tr w:rsidR="00F96C28" w14:paraId="2A370BD8" w14:textId="77777777" w:rsidTr="00F96C28">
        <w:tc>
          <w:tcPr>
            <w:tcW w:w="1771" w:type="pct"/>
            <w:shd w:val="clear" w:color="auto" w:fill="E9F4EE"/>
            <w:tcMar>
              <w:top w:w="70" w:type="dxa"/>
              <w:left w:w="100" w:type="dxa"/>
              <w:bottom w:w="70" w:type="dxa"/>
              <w:right w:w="100" w:type="dxa"/>
            </w:tcMar>
          </w:tcPr>
          <w:p w14:paraId="2BA2C498" w14:textId="77777777" w:rsidR="00F96C28" w:rsidRPr="0076154E" w:rsidRDefault="00F96C28" w:rsidP="00F96C28">
            <w:pPr>
              <w:rPr>
                <w:rFonts w:ascii="Calibri" w:hAnsi="Calibri" w:cs="Calibri"/>
              </w:rPr>
            </w:pPr>
            <w:r>
              <w:rPr>
                <w:rFonts w:ascii="Calibri" w:eastAsia="Calibri" w:hAnsi="Calibri" w:cs="Calibri"/>
                <w:b/>
                <w:bCs/>
                <w:color w:val="000000"/>
              </w:rPr>
              <w:t>FPI Net Flow (₦ bn)</w:t>
            </w:r>
          </w:p>
        </w:tc>
        <w:tc>
          <w:tcPr>
            <w:tcW w:w="1146" w:type="pct"/>
            <w:shd w:val="clear" w:color="auto" w:fill="E9F4EE"/>
            <w:tcMar>
              <w:top w:w="70" w:type="dxa"/>
              <w:left w:w="100" w:type="dxa"/>
              <w:bottom w:w="70" w:type="dxa"/>
              <w:right w:w="100" w:type="dxa"/>
            </w:tcMar>
          </w:tcPr>
          <w:p w14:paraId="1E5CC8D9" w14:textId="42BC44C9" w:rsidR="00F96C28" w:rsidRPr="00D97135" w:rsidRDefault="00F96C28" w:rsidP="00F96C28">
            <w:pPr>
              <w:jc w:val="right"/>
              <w:rPr>
                <w:rFonts w:ascii="Calibri" w:hAnsi="Calibri" w:cs="Calibri"/>
                <w:color w:val="auto"/>
              </w:rPr>
            </w:pPr>
            <w:r>
              <w:rPr>
                <w:rFonts w:ascii="Calibri" w:hAnsi="Calibri" w:cs="Calibri"/>
                <w:color w:val="auto"/>
              </w:rPr>
              <w:t>-49.44</w:t>
            </w:r>
          </w:p>
        </w:tc>
        <w:tc>
          <w:tcPr>
            <w:tcW w:w="1146" w:type="pct"/>
            <w:shd w:val="clear" w:color="auto" w:fill="E9F4EE"/>
          </w:tcPr>
          <w:p w14:paraId="6ECBB9BC" w14:textId="5A9BA9F0" w:rsidR="00F96C28" w:rsidRDefault="00F96C28" w:rsidP="00F96C28">
            <w:pPr>
              <w:jc w:val="right"/>
              <w:rPr>
                <w:rFonts w:ascii="Calibri" w:hAnsi="Calibri" w:cs="Calibri"/>
                <w:color w:val="auto"/>
              </w:rPr>
            </w:pPr>
            <w:r>
              <w:rPr>
                <w:rFonts w:ascii="Calibri" w:hAnsi="Calibri" w:cs="Calibri"/>
                <w:color w:val="auto"/>
              </w:rPr>
              <w:t>-43.37</w:t>
            </w:r>
          </w:p>
        </w:tc>
        <w:tc>
          <w:tcPr>
            <w:tcW w:w="938" w:type="pct"/>
            <w:shd w:val="clear" w:color="auto" w:fill="E9F4EE"/>
            <w:tcMar>
              <w:top w:w="70" w:type="dxa"/>
              <w:left w:w="100" w:type="dxa"/>
              <w:bottom w:w="70" w:type="dxa"/>
              <w:right w:w="100" w:type="dxa"/>
            </w:tcMar>
          </w:tcPr>
          <w:p w14:paraId="405F7C79" w14:textId="77777777" w:rsidR="00F96C28" w:rsidRPr="003C178D" w:rsidRDefault="00F96C28" w:rsidP="00F96C28">
            <w:pPr>
              <w:jc w:val="right"/>
              <w:rPr>
                <w:rFonts w:ascii="Calibri" w:hAnsi="Calibri" w:cs="Calibri"/>
                <w:color w:val="auto"/>
              </w:rPr>
            </w:pPr>
            <w:r>
              <w:rPr>
                <w:rFonts w:ascii="Calibri" w:hAnsi="Calibri" w:cs="Calibri"/>
                <w:color w:val="auto"/>
              </w:rPr>
              <w:t>↓ (more negative)</w:t>
            </w:r>
          </w:p>
        </w:tc>
      </w:tr>
      <w:tr w:rsidR="00F96C28" w14:paraId="3A4219D0" w14:textId="77777777" w:rsidTr="00F96C28">
        <w:tc>
          <w:tcPr>
            <w:tcW w:w="1771" w:type="pct"/>
            <w:tcMar>
              <w:top w:w="70" w:type="dxa"/>
              <w:left w:w="100" w:type="dxa"/>
              <w:bottom w:w="70" w:type="dxa"/>
              <w:right w:w="100" w:type="dxa"/>
            </w:tcMar>
          </w:tcPr>
          <w:p w14:paraId="1CCE27CD" w14:textId="77777777" w:rsidR="00F96C28" w:rsidRPr="0076154E" w:rsidRDefault="00F96C28" w:rsidP="00F96C28">
            <w:pPr>
              <w:rPr>
                <w:rFonts w:ascii="Calibri" w:hAnsi="Calibri" w:cs="Calibri"/>
              </w:rPr>
            </w:pPr>
            <w:r>
              <w:rPr>
                <w:rFonts w:ascii="Calibri" w:eastAsia="Calibri" w:hAnsi="Calibri" w:cs="Calibri"/>
                <w:b/>
                <w:bCs/>
                <w:color w:val="000000"/>
              </w:rPr>
              <w:t>FPI as % of Total Turnover</w:t>
            </w:r>
          </w:p>
        </w:tc>
        <w:tc>
          <w:tcPr>
            <w:tcW w:w="1146" w:type="pct"/>
            <w:tcMar>
              <w:top w:w="70" w:type="dxa"/>
              <w:left w:w="100" w:type="dxa"/>
              <w:bottom w:w="70" w:type="dxa"/>
              <w:right w:w="100" w:type="dxa"/>
            </w:tcMar>
          </w:tcPr>
          <w:p w14:paraId="2BD99E25" w14:textId="3046A5BD" w:rsidR="00F96C28" w:rsidRPr="0076154E" w:rsidRDefault="00F96C28" w:rsidP="00F96C28">
            <w:pPr>
              <w:jc w:val="right"/>
              <w:rPr>
                <w:rFonts w:ascii="Calibri" w:hAnsi="Calibri" w:cs="Calibri"/>
              </w:rPr>
            </w:pPr>
            <w:r>
              <w:rPr>
                <w:rFonts w:ascii="Calibri" w:hAnsi="Calibri" w:cs="Calibri"/>
                <w:color w:val="000000"/>
              </w:rPr>
              <w:t>5.60%</w:t>
            </w:r>
          </w:p>
        </w:tc>
        <w:tc>
          <w:tcPr>
            <w:tcW w:w="1146" w:type="pct"/>
          </w:tcPr>
          <w:p w14:paraId="0165A5D7" w14:textId="20D33235" w:rsidR="00F96C28" w:rsidRDefault="00F96C28" w:rsidP="00F96C28">
            <w:pPr>
              <w:jc w:val="right"/>
              <w:rPr>
                <w:rFonts w:ascii="Calibri" w:hAnsi="Calibri" w:cs="Calibri"/>
                <w:color w:val="000000"/>
              </w:rPr>
            </w:pPr>
            <w:r>
              <w:rPr>
                <w:rFonts w:ascii="Calibri" w:hAnsi="Calibri" w:cs="Calibri"/>
                <w:color w:val="000000"/>
              </w:rPr>
              <w:t>10.90%</w:t>
            </w:r>
          </w:p>
        </w:tc>
        <w:tc>
          <w:tcPr>
            <w:tcW w:w="938" w:type="pct"/>
            <w:tcMar>
              <w:top w:w="70" w:type="dxa"/>
              <w:left w:w="100" w:type="dxa"/>
              <w:bottom w:w="70" w:type="dxa"/>
              <w:right w:w="100" w:type="dxa"/>
            </w:tcMar>
          </w:tcPr>
          <w:p w14:paraId="20D22E2C" w14:textId="4C1FB9DC" w:rsidR="00F96C28" w:rsidRPr="003C178D" w:rsidRDefault="00F96C28" w:rsidP="00F96C28">
            <w:pPr>
              <w:jc w:val="right"/>
              <w:rPr>
                <w:rFonts w:ascii="Calibri" w:hAnsi="Calibri" w:cs="Calibri"/>
                <w:color w:val="auto"/>
              </w:rPr>
            </w:pPr>
            <w:r>
              <w:rPr>
                <w:rFonts w:ascii="Calibri" w:hAnsi="Calibri" w:cs="Calibri"/>
                <w:color w:val="auto"/>
              </w:rPr>
              <w:t>↓</w:t>
            </w:r>
          </w:p>
        </w:tc>
      </w:tr>
    </w:tbl>
    <w:p w14:paraId="76BF44CD" w14:textId="77777777" w:rsidR="00C80B18" w:rsidRDefault="00C80B18" w:rsidP="00C80B18">
      <w:pPr>
        <w:spacing w:before="180" w:after="80"/>
      </w:pPr>
      <w:r>
        <w:rPr>
          <w:b/>
          <w:bCs/>
          <w:color w:val="1A5C4E"/>
          <w:sz w:val="22"/>
          <w:szCs w:val="22"/>
        </w:rPr>
        <w:t xml:space="preserve">Valuation </w:t>
      </w:r>
      <w:r>
        <w:rPr>
          <w:b/>
          <w:bCs/>
          <w:color w:val="124F1A" w:themeColor="accent3" w:themeShade="BF"/>
          <w:sz w:val="22"/>
          <w:szCs w:val="22"/>
        </w:rPr>
        <w:t>Commentary</w:t>
      </w:r>
    </w:p>
    <w:p w14:paraId="7BF0E366" w14:textId="77777777" w:rsidR="0045182A" w:rsidRPr="0045182A" w:rsidRDefault="0045182A" w:rsidP="0045182A">
      <w:pPr>
        <w:pStyle w:val="ListParagraph"/>
        <w:numPr>
          <w:ilvl w:val="0"/>
          <w:numId w:val="11"/>
        </w:numPr>
        <w:spacing w:before="120" w:after="120"/>
        <w:rPr>
          <w:color w:val="auto"/>
        </w:rPr>
      </w:pPr>
      <w:r>
        <w:t xml:space="preserve">The NGX published figure of 39.81x is not a conventional market P/E. On the Equinox covered universe calculation the Main Board trailing P/E is 29.0x, or 18.7x once constituents above 100x are excluded, and 18.7x is the benchmark used throughout this report. Banking at 21.6x sits above that benchmark, but the sector average is equal weighted across nine usable observations and is therefore pulled up by its highest multiple constituents. Zenith at 9.4x and Access at 10.3x trade at </w:t>
      </w:r>
      <w:r>
        <w:lastRenderedPageBreak/>
        <w:t>roughly half the benchmark while First HoldCo at 58.4x carries a 49 point premium to Zenith on the same NGX earnings basis, a gap that widened as First HoldCo fell 9.30% this week. Excluding it, the three remaining names average 12.7x. Seplat at 70.1x and Nestlé at 67.8x imply expectations of earnings recovery that are not yet visible in trailing earnings.</w:t>
      </w:r>
    </w:p>
    <w:p w14:paraId="19DBB239" w14:textId="2D6DA465" w:rsidR="00F96C28" w:rsidRPr="0045182A" w:rsidRDefault="0045182A" w:rsidP="0045182A">
      <w:pPr>
        <w:pStyle w:val="ListParagraph"/>
        <w:numPr>
          <w:ilvl w:val="0"/>
          <w:numId w:val="11"/>
        </w:numPr>
        <w:spacing w:before="120" w:after="120"/>
        <w:rPr>
          <w:color w:val="auto"/>
        </w:rPr>
      </w:pPr>
      <w:r>
        <w:t>Dangote Cement at 1,644.1x and MTN Nigeria at 79,707.2x rest on depressed trailing earnings bases, are shown as NM in the large cap table and are excluded from every recomputed figure. BUA Foods carries no published P/E in the 11 Sep NGX file.</w:t>
      </w:r>
    </w:p>
    <w:p w14:paraId="6BB43E17" w14:textId="0F2E9C2F" w:rsidR="00935A0B" w:rsidRDefault="00F96C28" w:rsidP="00F96C28">
      <w:pPr>
        <w:pStyle w:val="ListParagraph"/>
        <w:numPr>
          <w:ilvl w:val="0"/>
          <w:numId w:val="11"/>
        </w:numPr>
        <w:spacing w:before="120" w:after="120"/>
        <w:rPr>
          <w:color w:val="auto"/>
        </w:rPr>
      </w:pPr>
      <w:r>
        <w:rPr>
          <w:color w:val="auto"/>
        </w:rPr>
        <w:t xml:space="preserve">Foreign participation collapsed in July. Buying fell to ₦41.59bn against ₦91.03bn of selling, a net outflow of ₦49.44bn, and foreign share of turnover dropped to 5.60% </w:t>
      </w:r>
      <w:r>
        <w:rPr>
          <w:color w:val="262626" w:themeColor="text1" w:themeTint="D9"/>
        </w:rPr>
        <w:t xml:space="preserve">from 10.90% in June as total transactions rose 38.17% to ₦2.37tn. Domestic institutions absorbed the gap, up 66.18% MoM to ₦1.65tn. The FTSE reclassification is a September catalyst against a July </w:t>
      </w:r>
      <w:r>
        <w:rPr>
          <w:color w:val="auto"/>
        </w:rPr>
        <w:t>flow base that is deteriorating, not stabilising.</w:t>
      </w:r>
    </w:p>
    <w:p w14:paraId="3CA13302" w14:textId="1B7B9278" w:rsidR="00C06B25" w:rsidRPr="00935A0B" w:rsidRDefault="00935A0B" w:rsidP="00935A0B">
      <w:pPr>
        <w:rPr>
          <w:color w:val="auto"/>
        </w:rPr>
      </w:pPr>
      <w:r>
        <w:rPr>
          <w:color w:val="auto"/>
        </w:rPr>
        <w:br w:type="page"/>
      </w:r>
    </w:p>
    <w:p w14:paraId="7CBEFBED" w14:textId="77777777" w:rsidR="00C06B25" w:rsidRPr="008A09F9" w:rsidRDefault="00CB3E7C" w:rsidP="008A09F9">
      <w:pPr>
        <w:shd w:val="clear" w:color="auto" w:fill="1A5C4E"/>
        <w:spacing w:before="280" w:after="120"/>
        <w:ind w:left="160"/>
        <w:rPr>
          <w:b/>
          <w:bCs/>
          <w:color w:val="D6EDF0"/>
          <w:sz w:val="22"/>
          <w:szCs w:val="22"/>
        </w:rPr>
      </w:pPr>
      <w:r>
        <w:rPr>
          <w:b/>
          <w:bCs/>
          <w:color w:val="D6EDF0"/>
          <w:sz w:val="22"/>
          <w:szCs w:val="22"/>
        </w:rPr>
        <w:lastRenderedPageBreak/>
        <w:t>SECTION 9  |  INVESTMENT THEME</w:t>
      </w:r>
    </w:p>
    <w:p w14:paraId="45D3B1CD" w14:textId="23C492F3" w:rsidR="00C06B25" w:rsidRPr="004E0858" w:rsidRDefault="00CB3E7C">
      <w:pPr>
        <w:spacing w:before="180" w:after="80"/>
        <w:rPr>
          <w:color w:val="3A3A3A" w:themeColor="background2" w:themeShade="40"/>
        </w:rPr>
      </w:pPr>
      <w:r>
        <w:rPr>
          <w:b/>
          <w:bCs/>
          <w:color w:val="3A3A3A" w:themeColor="background2" w:themeShade="40"/>
          <w:sz w:val="22"/>
          <w:szCs w:val="22"/>
        </w:rPr>
        <w:t>Theme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720"/>
      </w:tblGrid>
      <w:tr w:rsidR="0039670E" w14:paraId="282B09F1" w14:textId="77777777" w:rsidTr="008A09F9">
        <w:tc>
          <w:tcPr>
            <w:tcW w:w="2000" w:type="dxa"/>
            <w:shd w:val="clear" w:color="auto" w:fill="0C3512" w:themeFill="accent3" w:themeFillShade="80"/>
            <w:tcMar>
              <w:top w:w="80" w:type="dxa"/>
              <w:left w:w="100" w:type="dxa"/>
              <w:bottom w:w="80" w:type="dxa"/>
              <w:right w:w="100" w:type="dxa"/>
            </w:tcMar>
          </w:tcPr>
          <w:p w14:paraId="6558E54E" w14:textId="77777777" w:rsidR="00C06B25" w:rsidRPr="008A09F9" w:rsidRDefault="00CB3E7C">
            <w:pPr>
              <w:rPr>
                <w:color w:val="FFFFFF" w:themeColor="background1"/>
              </w:rPr>
            </w:pPr>
            <w:r>
              <w:rPr>
                <w:b/>
                <w:bCs/>
                <w:color w:val="FFFFFF" w:themeColor="background1"/>
                <w:sz w:val="18"/>
                <w:szCs w:val="18"/>
              </w:rPr>
              <w:t>OBSERVATION</w:t>
            </w:r>
          </w:p>
        </w:tc>
        <w:tc>
          <w:tcPr>
            <w:tcW w:w="7720" w:type="dxa"/>
            <w:shd w:val="clear" w:color="auto" w:fill="FFFFFF"/>
            <w:tcMar>
              <w:top w:w="80" w:type="dxa"/>
              <w:left w:w="100" w:type="dxa"/>
              <w:bottom w:w="80" w:type="dxa"/>
              <w:right w:w="100" w:type="dxa"/>
            </w:tcMar>
          </w:tcPr>
          <w:p w14:paraId="1E61C764" w14:textId="6DC994D2" w:rsidR="00C06B25" w:rsidRDefault="00D27BE9">
            <w:r>
              <w:rPr>
                <w:sz w:val="19"/>
                <w:szCs w:val="19"/>
              </w:rPr>
              <w:t>The Dangote Refinery IPO opened 14 Sep at ₦525 across 4.1bn shares, gross proceeds of ₦2.15tn, and the NGX has already repriced around it. Insurance fell ▼5.52% and Banking ▼4.07% on the week as investors appear to have raised liquidity, with Tuesday alone taking Banking down 5.29%. Oil &amp; Gas moved the other way, ▲2.83% WoW and ▲117.86% YTD, while the ASI shed ▼1.60% to 243,052.74 on breadth of 6 advancers against 92 decliners.</w:t>
            </w:r>
          </w:p>
        </w:tc>
      </w:tr>
      <w:tr w:rsidR="0039670E" w14:paraId="2CF65A95" w14:textId="77777777" w:rsidTr="008A09F9">
        <w:tc>
          <w:tcPr>
            <w:tcW w:w="2000" w:type="dxa"/>
            <w:shd w:val="clear" w:color="auto" w:fill="0C3512" w:themeFill="accent3" w:themeFillShade="80"/>
            <w:tcMar>
              <w:top w:w="80" w:type="dxa"/>
              <w:left w:w="100" w:type="dxa"/>
              <w:bottom w:w="80" w:type="dxa"/>
              <w:right w:w="100" w:type="dxa"/>
            </w:tcMar>
          </w:tcPr>
          <w:p w14:paraId="16292863" w14:textId="77777777" w:rsidR="00C06B25" w:rsidRPr="008A09F9" w:rsidRDefault="00CB3E7C">
            <w:pPr>
              <w:rPr>
                <w:color w:val="FFFFFF" w:themeColor="background1"/>
              </w:rPr>
            </w:pPr>
            <w:r>
              <w:rPr>
                <w:b/>
                <w:bCs/>
                <w:color w:val="FFFFFF" w:themeColor="background1"/>
                <w:sz w:val="18"/>
                <w:szCs w:val="18"/>
              </w:rPr>
              <w:t>DRIVER</w:t>
            </w:r>
          </w:p>
        </w:tc>
        <w:tc>
          <w:tcPr>
            <w:tcW w:w="7720" w:type="dxa"/>
            <w:shd w:val="clear" w:color="auto" w:fill="EEF7F5"/>
            <w:tcMar>
              <w:top w:w="80" w:type="dxa"/>
              <w:left w:w="100" w:type="dxa"/>
              <w:bottom w:w="80" w:type="dxa"/>
              <w:right w:w="100" w:type="dxa"/>
            </w:tcMar>
          </w:tcPr>
          <w:p w14:paraId="43FF1C88" w14:textId="5FA564A9" w:rsidR="00C06B25" w:rsidRDefault="00D27BE9">
            <w:r>
              <w:rPr>
                <w:sz w:val="19"/>
                <w:szCs w:val="19"/>
              </w:rPr>
              <w:t>The refinery reported H1 2026 net income of $1.82bn against a FY2025 loss of $476m. At ₦525 the offer implies an equity value of ₦63.07tn on the 120.13bn shares registered with the SEC and ₦65.22tn on enlarged capital of 124.23bn shares, against gross proceeds of ₦2.15tn. Two structural events land inside eight days: the subscription window to 13 Oct and FTSE Russell Frontier reclassification on 21 Sep. Brent above $100 has lifted Aradel and Seplat, the latter ▲10.00% to ₦14,907.80.</w:t>
            </w:r>
          </w:p>
        </w:tc>
      </w:tr>
      <w:tr w:rsidR="0039670E" w14:paraId="17328591" w14:textId="77777777" w:rsidTr="008A09F9">
        <w:tc>
          <w:tcPr>
            <w:tcW w:w="2000" w:type="dxa"/>
            <w:shd w:val="clear" w:color="auto" w:fill="0C3512" w:themeFill="accent3" w:themeFillShade="80"/>
            <w:tcMar>
              <w:top w:w="80" w:type="dxa"/>
              <w:left w:w="100" w:type="dxa"/>
              <w:bottom w:w="80" w:type="dxa"/>
              <w:right w:w="100" w:type="dxa"/>
            </w:tcMar>
          </w:tcPr>
          <w:p w14:paraId="01FDE36B" w14:textId="77777777" w:rsidR="00C06B25" w:rsidRPr="008A09F9" w:rsidRDefault="00CB3E7C">
            <w:pPr>
              <w:rPr>
                <w:color w:val="FFFFFF" w:themeColor="background1"/>
              </w:rPr>
            </w:pPr>
            <w:r>
              <w:rPr>
                <w:b/>
                <w:bCs/>
                <w:color w:val="FFFFFF" w:themeColor="background1"/>
                <w:sz w:val="18"/>
                <w:szCs w:val="18"/>
              </w:rPr>
              <w:t>IMPLICATION</w:t>
            </w:r>
          </w:p>
        </w:tc>
        <w:tc>
          <w:tcPr>
            <w:tcW w:w="7720" w:type="dxa"/>
            <w:shd w:val="clear" w:color="auto" w:fill="FFFFFF"/>
            <w:tcMar>
              <w:top w:w="80" w:type="dxa"/>
              <w:left w:w="100" w:type="dxa"/>
              <w:bottom w:w="80" w:type="dxa"/>
              <w:right w:w="100" w:type="dxa"/>
            </w:tcMar>
          </w:tcPr>
          <w:p w14:paraId="040A38D2" w14:textId="06990826" w:rsidR="00C06B25" w:rsidRDefault="00D27BE9">
            <w:r>
              <w:rPr>
                <w:color w:val="404040"/>
                <w:sz w:val="19"/>
                <w:szCs w:val="19"/>
              </w:rPr>
              <w:t>Energy is becoming an increasingly important driver of Nigeria's equity narrative. At the offer price the refinery's post money equity value of ₦65.22tn compares with NGX capitalisation of ₦157.59tn, so admission in November would materially enlarge the market, even though only ₦2.15tn of stock, 3.30% of enlarged share capital, is being offered to the public. The bank derating appears largely liquidity driven rather than earnings driven, though profit taking and FTSE positioning may also have contributed: Zenith at 9.4x and Access at 10.3x against an 18.7x benchmark price in no such distinction. Improved reserves and a narrower parallel market premium strengthen the FX leg of the foreign investor case.</w:t>
            </w:r>
          </w:p>
        </w:tc>
      </w:tr>
      <w:tr w:rsidR="0039670E" w14:paraId="0B76FE7B" w14:textId="77777777" w:rsidTr="008A09F9">
        <w:tc>
          <w:tcPr>
            <w:tcW w:w="2000" w:type="dxa"/>
            <w:shd w:val="clear" w:color="auto" w:fill="0C3512" w:themeFill="accent3" w:themeFillShade="80"/>
            <w:tcMar>
              <w:top w:w="80" w:type="dxa"/>
              <w:left w:w="100" w:type="dxa"/>
              <w:bottom w:w="80" w:type="dxa"/>
              <w:right w:w="100" w:type="dxa"/>
            </w:tcMar>
          </w:tcPr>
          <w:p w14:paraId="083ADBC5" w14:textId="77777777" w:rsidR="00C06B25" w:rsidRPr="008A09F9" w:rsidRDefault="00CB3E7C">
            <w:pPr>
              <w:rPr>
                <w:color w:val="FFFFFF" w:themeColor="background1"/>
              </w:rPr>
            </w:pPr>
            <w:r>
              <w:rPr>
                <w:b/>
                <w:bCs/>
                <w:color w:val="FFFFFF" w:themeColor="background1"/>
                <w:sz w:val="18"/>
                <w:szCs w:val="18"/>
              </w:rPr>
              <w:t>RISK</w:t>
            </w:r>
          </w:p>
        </w:tc>
        <w:tc>
          <w:tcPr>
            <w:tcW w:w="7720" w:type="dxa"/>
            <w:shd w:val="clear" w:color="auto" w:fill="EEF7F5"/>
            <w:tcMar>
              <w:top w:w="80" w:type="dxa"/>
              <w:left w:w="100" w:type="dxa"/>
              <w:bottom w:w="80" w:type="dxa"/>
              <w:right w:w="100" w:type="dxa"/>
            </w:tcMar>
          </w:tcPr>
          <w:p w14:paraId="550DBF76" w14:textId="4B9AB379" w:rsidR="00C06B25" w:rsidRPr="003C178D" w:rsidRDefault="00D27BE9">
            <w:pPr>
              <w:rPr>
                <w:color w:val="auto"/>
              </w:rPr>
            </w:pPr>
            <w:r>
              <w:rPr>
                <w:sz w:val="19"/>
                <w:szCs w:val="19"/>
              </w:rPr>
              <w:t>Higher oil cuts both ways. Brent ▲8.65% WoW feeds domestic fuel and transport costs, and with headline CPI at 15.43% and MPR held at 26.50%, a food led reacceleration would keep fixed income competitive against equities and delay any bank re rating. An undersubscribed or repriced offer, a November listing slip, or FTSE flows that arrive smaller than expected would each remove a leg. Watch the 21 and 22 Sep MPC and the August CPI print expected in the week of 14 September.</w:t>
            </w:r>
          </w:p>
        </w:tc>
      </w:tr>
    </w:tbl>
    <w:p w14:paraId="6F0D5FFD" w14:textId="77777777" w:rsidR="00C06B25" w:rsidRDefault="00C06B25">
      <w:pPr>
        <w:spacing w:before="200"/>
      </w:pPr>
    </w:p>
    <w:p w14:paraId="6F286CA9" w14:textId="77777777" w:rsidR="00C06B25" w:rsidRDefault="00CB3E7C">
      <w:r>
        <w:br w:type="page"/>
      </w:r>
    </w:p>
    <w:p w14:paraId="7CDD840E" w14:textId="77777777" w:rsidR="00C06B25" w:rsidRDefault="00CB3E7C" w:rsidP="004B6239">
      <w:pPr>
        <w:shd w:val="clear" w:color="auto" w:fill="1A5C4E"/>
        <w:spacing w:before="280" w:after="120"/>
        <w:ind w:left="160"/>
      </w:pPr>
      <w:r>
        <w:rPr>
          <w:b/>
          <w:bCs/>
          <w:color w:val="D6EDF0"/>
          <w:sz w:val="22"/>
          <w:szCs w:val="22"/>
        </w:rPr>
        <w:lastRenderedPageBreak/>
        <w:t xml:space="preserve">SECTION 10  </w:t>
      </w:r>
      <w:r>
        <w:rPr>
          <w:b/>
          <w:bCs/>
          <w:color w:val="FFFFFF"/>
          <w:sz w:val="22"/>
          <w:szCs w:val="22"/>
        </w:rPr>
        <w:t>|  OUTLOOK — SECTORAL VIEWS &amp; EVENTS TO WATCH</w:t>
      </w:r>
    </w:p>
    <w:p w14:paraId="5920063E" w14:textId="77777777" w:rsidR="00C06B25" w:rsidRDefault="00CB3E7C">
      <w:pPr>
        <w:spacing w:before="180" w:after="80"/>
      </w:pPr>
      <w:r>
        <w:rPr>
          <w:b/>
          <w:bCs/>
          <w:color w:val="1A5C4E"/>
          <w:sz w:val="22"/>
          <w:szCs w:val="22"/>
        </w:rPr>
        <w:t>Sectoral Outlook — Coming Week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5120"/>
      </w:tblGrid>
      <w:tr w:rsidR="0039670E" w14:paraId="2D2AE0AD" w14:textId="77777777">
        <w:tc>
          <w:tcPr>
            <w:tcW w:w="2200" w:type="dxa"/>
            <w:shd w:val="clear" w:color="auto" w:fill="1A5C4E"/>
            <w:tcMar>
              <w:top w:w="80" w:type="dxa"/>
              <w:left w:w="100" w:type="dxa"/>
              <w:bottom w:w="80" w:type="dxa"/>
              <w:right w:w="100" w:type="dxa"/>
            </w:tcMar>
            <w:vAlign w:val="center"/>
          </w:tcPr>
          <w:p w14:paraId="3C9C6DC9" w14:textId="77777777" w:rsidR="00C06B25" w:rsidRDefault="00CB3E7C">
            <w:r>
              <w:rPr>
                <w:b/>
                <w:bCs/>
                <w:color w:val="FFFFFF"/>
                <w:sz w:val="18"/>
                <w:szCs w:val="18"/>
              </w:rPr>
              <w:t>Sector</w:t>
            </w:r>
          </w:p>
        </w:tc>
        <w:tc>
          <w:tcPr>
            <w:tcW w:w="1200" w:type="dxa"/>
            <w:shd w:val="clear" w:color="auto" w:fill="1A5C4E"/>
            <w:tcMar>
              <w:top w:w="80" w:type="dxa"/>
              <w:left w:w="100" w:type="dxa"/>
              <w:bottom w:w="80" w:type="dxa"/>
              <w:right w:w="100" w:type="dxa"/>
            </w:tcMar>
            <w:vAlign w:val="center"/>
          </w:tcPr>
          <w:p w14:paraId="582C9C1F" w14:textId="77777777" w:rsidR="00C06B25" w:rsidRDefault="00CB3E7C">
            <w:r>
              <w:rPr>
                <w:b/>
                <w:bCs/>
                <w:color w:val="FFFFFF"/>
                <w:sz w:val="18"/>
                <w:szCs w:val="18"/>
              </w:rPr>
              <w:t>View</w:t>
            </w:r>
          </w:p>
        </w:tc>
        <w:tc>
          <w:tcPr>
            <w:tcW w:w="1200" w:type="dxa"/>
            <w:shd w:val="clear" w:color="auto" w:fill="1A5C4E"/>
            <w:tcMar>
              <w:top w:w="80" w:type="dxa"/>
              <w:left w:w="100" w:type="dxa"/>
              <w:bottom w:w="80" w:type="dxa"/>
              <w:right w:w="100" w:type="dxa"/>
            </w:tcMar>
            <w:vAlign w:val="center"/>
          </w:tcPr>
          <w:p w14:paraId="426E44E0" w14:textId="77777777" w:rsidR="00C06B25" w:rsidRDefault="00CB3E7C">
            <w:r>
              <w:rPr>
                <w:b/>
                <w:bCs/>
                <w:color w:val="FFFFFF"/>
                <w:sz w:val="18"/>
                <w:szCs w:val="18"/>
              </w:rPr>
              <w:t>Conviction</w:t>
            </w:r>
          </w:p>
        </w:tc>
        <w:tc>
          <w:tcPr>
            <w:tcW w:w="5120" w:type="dxa"/>
            <w:shd w:val="clear" w:color="auto" w:fill="1A5C4E"/>
            <w:tcMar>
              <w:top w:w="80" w:type="dxa"/>
              <w:left w:w="100" w:type="dxa"/>
              <w:bottom w:w="80" w:type="dxa"/>
              <w:right w:w="100" w:type="dxa"/>
            </w:tcMar>
            <w:vAlign w:val="center"/>
          </w:tcPr>
          <w:p w14:paraId="1B5529A2" w14:textId="77777777" w:rsidR="00C06B25" w:rsidRDefault="00CB3E7C">
            <w:r>
              <w:rPr>
                <w:b/>
                <w:bCs/>
                <w:color w:val="FFFFFF"/>
                <w:sz w:val="18"/>
                <w:szCs w:val="18"/>
              </w:rPr>
              <w:t>Rationale</w:t>
            </w:r>
          </w:p>
        </w:tc>
      </w:tr>
      <w:tr w:rsidR="0039670E" w14:paraId="605CD9E7" w14:textId="77777777" w:rsidTr="008A09F9">
        <w:tc>
          <w:tcPr>
            <w:tcW w:w="2200" w:type="dxa"/>
            <w:tcMar>
              <w:top w:w="70" w:type="dxa"/>
              <w:left w:w="100" w:type="dxa"/>
              <w:bottom w:w="70" w:type="dxa"/>
              <w:right w:w="100" w:type="dxa"/>
            </w:tcMar>
          </w:tcPr>
          <w:p w14:paraId="60FA28DC" w14:textId="77777777" w:rsidR="00C06B25" w:rsidRDefault="00CB3E7C">
            <w:r>
              <w:rPr>
                <w:b/>
                <w:bCs/>
                <w:sz w:val="19"/>
                <w:szCs w:val="19"/>
              </w:rPr>
              <w:t>Banking</w:t>
            </w:r>
          </w:p>
        </w:tc>
        <w:tc>
          <w:tcPr>
            <w:tcW w:w="1200" w:type="dxa"/>
            <w:tcMar>
              <w:top w:w="70" w:type="dxa"/>
              <w:left w:w="100" w:type="dxa"/>
              <w:bottom w:w="70" w:type="dxa"/>
              <w:right w:w="100" w:type="dxa"/>
            </w:tcMar>
          </w:tcPr>
          <w:p w14:paraId="77FE5BDB" w14:textId="77777777" w:rsidR="00C06B25" w:rsidRPr="008A09F9" w:rsidRDefault="00055BCA">
            <w:pPr>
              <w:rPr>
                <w:color w:val="0C3512" w:themeColor="accent3" w:themeShade="80"/>
              </w:rPr>
            </w:pPr>
            <w:r>
              <w:rPr>
                <w:color w:val="0C3512" w:themeColor="accent3" w:themeShade="80"/>
                <w:sz w:val="19"/>
                <w:szCs w:val="19"/>
              </w:rPr>
              <w:t>OW</w:t>
            </w:r>
          </w:p>
        </w:tc>
        <w:tc>
          <w:tcPr>
            <w:tcW w:w="1200" w:type="dxa"/>
            <w:tcMar>
              <w:top w:w="70" w:type="dxa"/>
              <w:left w:w="100" w:type="dxa"/>
              <w:bottom w:w="70" w:type="dxa"/>
              <w:right w:w="100" w:type="dxa"/>
            </w:tcMar>
          </w:tcPr>
          <w:p w14:paraId="7416DBE3" w14:textId="7AA6BCA3" w:rsidR="00C06B25" w:rsidRPr="008A09F9" w:rsidRDefault="006B1E57">
            <w:pPr>
              <w:rPr>
                <w:color w:val="0C3512" w:themeColor="accent3" w:themeShade="80"/>
              </w:rPr>
            </w:pPr>
            <w:r>
              <w:rPr>
                <w:color w:val="1A5C2E"/>
                <w:sz w:val="19"/>
                <w:szCs w:val="19"/>
              </w:rPr>
              <w:t>M</w:t>
            </w:r>
          </w:p>
        </w:tc>
        <w:tc>
          <w:tcPr>
            <w:tcW w:w="5120" w:type="dxa"/>
            <w:tcMar>
              <w:top w:w="70" w:type="dxa"/>
              <w:left w:w="100" w:type="dxa"/>
              <w:bottom w:w="70" w:type="dxa"/>
              <w:right w:w="100" w:type="dxa"/>
            </w:tcMar>
          </w:tcPr>
          <w:p w14:paraId="2BFE9312" w14:textId="3D32A2F6" w:rsidR="00C06B25" w:rsidRPr="00DB1BA8" w:rsidRDefault="00D27BE9" w:rsidP="00F7631F">
            <w:pPr>
              <w:rPr>
                <w:color w:val="000000" w:themeColor="text1"/>
              </w:rPr>
            </w:pPr>
            <w:r>
              <w:rPr>
                <w:sz w:val="19"/>
                <w:szCs w:val="19"/>
              </w:rPr>
              <w:t>Zenith at 9.4x and Access at 10.3x sit at roughly half the 18.7x benchmark after a ▼4.07% WoW derating that appears largely liquidity driven, and the sector is the most liquid proxy for FTSE inclusion flows from 21 Sep. Conviction is Medium rather than High because the subscription window runs to 13 Oct and the scale of index flows is not yet observable.</w:t>
            </w:r>
          </w:p>
        </w:tc>
      </w:tr>
      <w:tr w:rsidR="0039670E" w14:paraId="3B41A59E" w14:textId="77777777" w:rsidTr="008A09F9">
        <w:tc>
          <w:tcPr>
            <w:tcW w:w="2200" w:type="dxa"/>
            <w:shd w:val="clear" w:color="auto" w:fill="E6F4EA"/>
            <w:tcMar>
              <w:top w:w="70" w:type="dxa"/>
              <w:left w:w="100" w:type="dxa"/>
              <w:bottom w:w="70" w:type="dxa"/>
              <w:right w:w="100" w:type="dxa"/>
            </w:tcMar>
          </w:tcPr>
          <w:p w14:paraId="65204DE1" w14:textId="77777777" w:rsidR="00C06B25" w:rsidRDefault="00CB3E7C">
            <w:r>
              <w:rPr>
                <w:b/>
                <w:bCs/>
                <w:sz w:val="19"/>
                <w:szCs w:val="19"/>
              </w:rPr>
              <w:t>Consumer Goods</w:t>
            </w:r>
          </w:p>
        </w:tc>
        <w:tc>
          <w:tcPr>
            <w:tcW w:w="1200" w:type="dxa"/>
            <w:shd w:val="clear" w:color="auto" w:fill="E6F4EA"/>
            <w:tcMar>
              <w:top w:w="70" w:type="dxa"/>
              <w:left w:w="100" w:type="dxa"/>
              <w:bottom w:w="70" w:type="dxa"/>
              <w:right w:w="100" w:type="dxa"/>
            </w:tcMar>
          </w:tcPr>
          <w:p w14:paraId="23589E36" w14:textId="32D8B64A" w:rsidR="00C06B25" w:rsidRPr="008A09F9" w:rsidRDefault="00D27BE9">
            <w:pPr>
              <w:rPr>
                <w:color w:val="0C3512" w:themeColor="accent3" w:themeShade="80"/>
              </w:rPr>
            </w:pPr>
            <w:r>
              <w:rPr>
                <w:color w:val="0C3512" w:themeColor="accent3" w:themeShade="80"/>
              </w:rPr>
              <w:t>UW</w:t>
            </w:r>
          </w:p>
        </w:tc>
        <w:tc>
          <w:tcPr>
            <w:tcW w:w="1200" w:type="dxa"/>
            <w:shd w:val="clear" w:color="auto" w:fill="E6F4EA"/>
            <w:tcMar>
              <w:top w:w="70" w:type="dxa"/>
              <w:left w:w="100" w:type="dxa"/>
              <w:bottom w:w="70" w:type="dxa"/>
              <w:right w:w="100" w:type="dxa"/>
            </w:tcMar>
          </w:tcPr>
          <w:p w14:paraId="19BA3F8F" w14:textId="2E6924F2" w:rsidR="00C06B25" w:rsidRPr="008A09F9" w:rsidRDefault="000615AF">
            <w:pPr>
              <w:rPr>
                <w:color w:val="0C3512" w:themeColor="accent3" w:themeShade="80"/>
              </w:rPr>
            </w:pPr>
            <w:r>
              <w:rPr>
                <w:color w:val="0C3512" w:themeColor="accent3" w:themeShade="80"/>
                <w:sz w:val="19"/>
                <w:szCs w:val="19"/>
              </w:rPr>
              <w:t>M</w:t>
            </w:r>
          </w:p>
        </w:tc>
        <w:tc>
          <w:tcPr>
            <w:tcW w:w="5120" w:type="dxa"/>
            <w:shd w:val="clear" w:color="auto" w:fill="E6F4EA"/>
            <w:tcMar>
              <w:top w:w="70" w:type="dxa"/>
              <w:left w:w="100" w:type="dxa"/>
              <w:bottom w:w="70" w:type="dxa"/>
              <w:right w:w="100" w:type="dxa"/>
            </w:tcMar>
          </w:tcPr>
          <w:p w14:paraId="1924FE6F" w14:textId="74C1FCE6" w:rsidR="00C06B25" w:rsidRPr="00DB1BA8" w:rsidRDefault="00D27BE9">
            <w:pPr>
              <w:rPr>
                <w:color w:val="000000" w:themeColor="text1"/>
              </w:rPr>
            </w:pPr>
            <w:r>
              <w:rPr>
                <w:color w:val="000000"/>
                <w:sz w:val="19"/>
                <w:szCs w:val="19"/>
              </w:rPr>
              <w:t>The sector fell ▼2.55% WoW and ▼11.89% QtD, Nestlé at 67.8x fell ▼6.51%, and BUA Foods remains the only large cap negative YTD at ▼5%. The 59.40x equal weighted sector average is affected by composition, since Cadbury re-entered the screen this week, and is not used as the basis for the view.</w:t>
            </w:r>
          </w:p>
        </w:tc>
      </w:tr>
      <w:tr w:rsidR="0039670E" w14:paraId="6630DA7A" w14:textId="77777777" w:rsidTr="008A09F9">
        <w:tc>
          <w:tcPr>
            <w:tcW w:w="2200" w:type="dxa"/>
            <w:tcMar>
              <w:top w:w="70" w:type="dxa"/>
              <w:left w:w="100" w:type="dxa"/>
              <w:bottom w:w="70" w:type="dxa"/>
              <w:right w:w="100" w:type="dxa"/>
            </w:tcMar>
          </w:tcPr>
          <w:p w14:paraId="607B6833" w14:textId="77777777" w:rsidR="00C06B25" w:rsidRDefault="00CB3E7C">
            <w:r>
              <w:rPr>
                <w:b/>
                <w:bCs/>
                <w:sz w:val="19"/>
                <w:szCs w:val="19"/>
              </w:rPr>
              <w:t>Oil &amp; Gas</w:t>
            </w:r>
          </w:p>
        </w:tc>
        <w:tc>
          <w:tcPr>
            <w:tcW w:w="1200" w:type="dxa"/>
            <w:tcMar>
              <w:top w:w="70" w:type="dxa"/>
              <w:left w:w="100" w:type="dxa"/>
              <w:bottom w:w="70" w:type="dxa"/>
              <w:right w:w="100" w:type="dxa"/>
            </w:tcMar>
          </w:tcPr>
          <w:p w14:paraId="79596981" w14:textId="467DCB2E" w:rsidR="00C06B25" w:rsidRPr="008A09F9" w:rsidRDefault="000615AF">
            <w:pPr>
              <w:rPr>
                <w:color w:val="0C3512" w:themeColor="accent3" w:themeShade="80"/>
              </w:rPr>
            </w:pPr>
            <w:r>
              <w:rPr>
                <w:color w:val="0C3512" w:themeColor="accent3" w:themeShade="80"/>
              </w:rPr>
              <w:t>OW</w:t>
            </w:r>
          </w:p>
        </w:tc>
        <w:tc>
          <w:tcPr>
            <w:tcW w:w="1200" w:type="dxa"/>
            <w:tcMar>
              <w:top w:w="70" w:type="dxa"/>
              <w:left w:w="100" w:type="dxa"/>
              <w:bottom w:w="70" w:type="dxa"/>
              <w:right w:w="100" w:type="dxa"/>
            </w:tcMar>
          </w:tcPr>
          <w:p w14:paraId="7631792A" w14:textId="77777777" w:rsidR="00C06B25" w:rsidRPr="008A09F9" w:rsidRDefault="002C02EC">
            <w:pPr>
              <w:rPr>
                <w:color w:val="0C3512" w:themeColor="accent3" w:themeShade="80"/>
              </w:rPr>
            </w:pPr>
            <w:r>
              <w:rPr>
                <w:color w:val="0C3512" w:themeColor="accent3" w:themeShade="80"/>
                <w:sz w:val="19"/>
                <w:szCs w:val="19"/>
              </w:rPr>
              <w:t>M</w:t>
            </w:r>
          </w:p>
        </w:tc>
        <w:tc>
          <w:tcPr>
            <w:tcW w:w="5120" w:type="dxa"/>
            <w:tcMar>
              <w:top w:w="70" w:type="dxa"/>
              <w:left w:w="100" w:type="dxa"/>
              <w:bottom w:w="70" w:type="dxa"/>
              <w:right w:w="100" w:type="dxa"/>
            </w:tcMar>
          </w:tcPr>
          <w:p w14:paraId="63023179" w14:textId="0EBEB9D9" w:rsidR="00C06B25" w:rsidRPr="003C178D" w:rsidRDefault="00D27BE9">
            <w:pPr>
              <w:rPr>
                <w:color w:val="auto"/>
              </w:rPr>
            </w:pPr>
            <w:r>
              <w:rPr>
                <w:sz w:val="19"/>
                <w:szCs w:val="19"/>
              </w:rPr>
              <w:t>Brent ▲8.65% to $104.61 and Bonny Light ▲24.19% to $121.90 drove the only positive sector print at ▲2.83% WoW, and the November Dangote Refinery listing adds a large index eligible name to a sector of six. After a ▲117.86% YTD gain the call now rests on the oil price and the listing catalyst rather than on valuation support.</w:t>
            </w:r>
          </w:p>
        </w:tc>
      </w:tr>
      <w:tr w:rsidR="0039670E" w14:paraId="3F2FC1AD" w14:textId="77777777" w:rsidTr="008A09F9">
        <w:tc>
          <w:tcPr>
            <w:tcW w:w="2200" w:type="dxa"/>
            <w:shd w:val="clear" w:color="auto" w:fill="E6F4EA"/>
            <w:tcMar>
              <w:top w:w="70" w:type="dxa"/>
              <w:left w:w="100" w:type="dxa"/>
              <w:bottom w:w="70" w:type="dxa"/>
              <w:right w:w="100" w:type="dxa"/>
            </w:tcMar>
          </w:tcPr>
          <w:p w14:paraId="7B3A6D42" w14:textId="77777777" w:rsidR="00C06B25" w:rsidRDefault="00CB3E7C">
            <w:r>
              <w:rPr>
                <w:b/>
                <w:bCs/>
                <w:sz w:val="19"/>
                <w:szCs w:val="19"/>
              </w:rPr>
              <w:t>Industrial Goods</w:t>
            </w:r>
          </w:p>
        </w:tc>
        <w:tc>
          <w:tcPr>
            <w:tcW w:w="1200" w:type="dxa"/>
            <w:shd w:val="clear" w:color="auto" w:fill="E6F4EA"/>
            <w:tcMar>
              <w:top w:w="70" w:type="dxa"/>
              <w:left w:w="100" w:type="dxa"/>
              <w:bottom w:w="70" w:type="dxa"/>
              <w:right w:w="100" w:type="dxa"/>
            </w:tcMar>
          </w:tcPr>
          <w:p w14:paraId="0B7E6F3F" w14:textId="1BB12FC9" w:rsidR="00C06B25" w:rsidRPr="008A09F9" w:rsidRDefault="00D27BE9">
            <w:pPr>
              <w:rPr>
                <w:color w:val="0C3512" w:themeColor="accent3" w:themeShade="80"/>
              </w:rPr>
            </w:pPr>
            <w:r>
              <w:rPr>
                <w:color w:val="0C3512" w:themeColor="accent3" w:themeShade="80"/>
                <w:sz w:val="19"/>
                <w:szCs w:val="19"/>
              </w:rPr>
              <w:t>N</w:t>
            </w:r>
          </w:p>
        </w:tc>
        <w:tc>
          <w:tcPr>
            <w:tcW w:w="1200" w:type="dxa"/>
            <w:shd w:val="clear" w:color="auto" w:fill="E6F4EA"/>
            <w:tcMar>
              <w:top w:w="70" w:type="dxa"/>
              <w:left w:w="100" w:type="dxa"/>
              <w:bottom w:w="70" w:type="dxa"/>
              <w:right w:w="100" w:type="dxa"/>
            </w:tcMar>
          </w:tcPr>
          <w:p w14:paraId="0C7E7784" w14:textId="75D8B1B7" w:rsidR="00C06B25" w:rsidRPr="008A09F9" w:rsidRDefault="00D27BE9">
            <w:pPr>
              <w:rPr>
                <w:color w:val="0C3512" w:themeColor="accent3" w:themeShade="80"/>
              </w:rPr>
            </w:pPr>
            <w:r>
              <w:rPr>
                <w:color w:val="0C3512" w:themeColor="accent3" w:themeShade="80"/>
                <w:sz w:val="19"/>
                <w:szCs w:val="19"/>
              </w:rPr>
              <w:t>L</w:t>
            </w:r>
          </w:p>
        </w:tc>
        <w:tc>
          <w:tcPr>
            <w:tcW w:w="5120" w:type="dxa"/>
            <w:shd w:val="clear" w:color="auto" w:fill="E6F4EA"/>
            <w:tcMar>
              <w:top w:w="70" w:type="dxa"/>
              <w:left w:w="100" w:type="dxa"/>
              <w:bottom w:w="70" w:type="dxa"/>
              <w:right w:w="100" w:type="dxa"/>
            </w:tcMar>
          </w:tcPr>
          <w:p w14:paraId="6ABBBC32" w14:textId="4053577F" w:rsidR="00C06B25" w:rsidRPr="003C178D" w:rsidRDefault="00D27BE9">
            <w:pPr>
              <w:rPr>
                <w:color w:val="auto"/>
              </w:rPr>
            </w:pPr>
            <w:r>
              <w:rPr>
                <w:sz w:val="19"/>
                <w:szCs w:val="19"/>
              </w:rPr>
              <w:t>The index fell ▼3.36% WoW on BUA Cement's 10.00% limit down, but Dangote Cement has been flat at ₦1,034.00 for six weeks and its trailing multiple is shown as NM, so the sector cannot be read on trailing earnings; the 21 Sep Capital Markets Day is the next catalyst.</w:t>
            </w:r>
          </w:p>
        </w:tc>
      </w:tr>
      <w:tr w:rsidR="0039670E" w14:paraId="10C504E2" w14:textId="77777777" w:rsidTr="008A09F9">
        <w:tc>
          <w:tcPr>
            <w:tcW w:w="2200" w:type="dxa"/>
            <w:tcMar>
              <w:top w:w="70" w:type="dxa"/>
              <w:left w:w="100" w:type="dxa"/>
              <w:bottom w:w="70" w:type="dxa"/>
              <w:right w:w="100" w:type="dxa"/>
            </w:tcMar>
          </w:tcPr>
          <w:p w14:paraId="2625D8D3" w14:textId="77777777" w:rsidR="00C06B25" w:rsidRDefault="00CB3E7C">
            <w:r>
              <w:rPr>
                <w:b/>
                <w:bCs/>
                <w:sz w:val="19"/>
                <w:szCs w:val="19"/>
              </w:rPr>
              <w:t>Insurance</w:t>
            </w:r>
          </w:p>
        </w:tc>
        <w:tc>
          <w:tcPr>
            <w:tcW w:w="1200" w:type="dxa"/>
            <w:tcMar>
              <w:top w:w="70" w:type="dxa"/>
              <w:left w:w="100" w:type="dxa"/>
              <w:bottom w:w="70" w:type="dxa"/>
              <w:right w:w="100" w:type="dxa"/>
            </w:tcMar>
          </w:tcPr>
          <w:p w14:paraId="14FBDB5D" w14:textId="2DAD3824" w:rsidR="00C06B25" w:rsidRPr="008A09F9" w:rsidRDefault="00D27BE9">
            <w:pPr>
              <w:rPr>
                <w:color w:val="0C3512" w:themeColor="accent3" w:themeShade="80"/>
              </w:rPr>
            </w:pPr>
            <w:r>
              <w:rPr>
                <w:color w:val="0C3512" w:themeColor="accent3" w:themeShade="80"/>
                <w:sz w:val="19"/>
                <w:szCs w:val="19"/>
              </w:rPr>
              <w:t>UW</w:t>
            </w:r>
          </w:p>
        </w:tc>
        <w:tc>
          <w:tcPr>
            <w:tcW w:w="1200" w:type="dxa"/>
            <w:tcMar>
              <w:top w:w="70" w:type="dxa"/>
              <w:left w:w="100" w:type="dxa"/>
              <w:bottom w:w="70" w:type="dxa"/>
              <w:right w:w="100" w:type="dxa"/>
            </w:tcMar>
          </w:tcPr>
          <w:p w14:paraId="1D1B47EB" w14:textId="29E54F02" w:rsidR="00C06B25" w:rsidRPr="008A09F9" w:rsidRDefault="00D27BE9">
            <w:pPr>
              <w:rPr>
                <w:color w:val="0C3512" w:themeColor="accent3" w:themeShade="80"/>
              </w:rPr>
            </w:pPr>
            <w:r>
              <w:rPr>
                <w:color w:val="0C3512" w:themeColor="accent3" w:themeShade="80"/>
                <w:sz w:val="19"/>
                <w:szCs w:val="19"/>
              </w:rPr>
              <w:t>M</w:t>
            </w:r>
          </w:p>
        </w:tc>
        <w:tc>
          <w:tcPr>
            <w:tcW w:w="5120" w:type="dxa"/>
            <w:tcMar>
              <w:top w:w="70" w:type="dxa"/>
              <w:left w:w="100" w:type="dxa"/>
              <w:bottom w:w="70" w:type="dxa"/>
              <w:right w:w="100" w:type="dxa"/>
            </w:tcMar>
          </w:tcPr>
          <w:p w14:paraId="3AA2C0A3" w14:textId="30803DC9" w:rsidR="00C06B25" w:rsidRPr="003C178D" w:rsidRDefault="00D27BE9">
            <w:pPr>
              <w:rPr>
                <w:color w:val="auto"/>
              </w:rPr>
            </w:pPr>
            <w:r>
              <w:rPr>
                <w:sz w:val="19"/>
                <w:szCs w:val="19"/>
              </w:rPr>
              <w:t>Worst performer at ▼5.52% WoW and the only sector negative YTD at ▼10.94%, with Fortis Global ▼30.00% on 1.04bn shares and NEM ▼11.45% consistent with potentially forced or liquidity driven selling, while recapitalisation listings keep expanding share counts.</w:t>
            </w:r>
          </w:p>
        </w:tc>
      </w:tr>
      <w:tr w:rsidR="0039670E" w14:paraId="3AE047AF" w14:textId="77777777" w:rsidTr="008A09F9">
        <w:tc>
          <w:tcPr>
            <w:tcW w:w="2200" w:type="dxa"/>
            <w:shd w:val="clear" w:color="auto" w:fill="E6F4EA"/>
            <w:tcMar>
              <w:top w:w="70" w:type="dxa"/>
              <w:left w:w="100" w:type="dxa"/>
              <w:bottom w:w="70" w:type="dxa"/>
              <w:right w:w="100" w:type="dxa"/>
            </w:tcMar>
          </w:tcPr>
          <w:p w14:paraId="71591981" w14:textId="77777777" w:rsidR="00C06B25" w:rsidRDefault="00CB3E7C">
            <w:r>
              <w:rPr>
                <w:b/>
                <w:bCs/>
                <w:sz w:val="19"/>
                <w:szCs w:val="19"/>
              </w:rPr>
              <w:t>Telco (MTN/Airtel)</w:t>
            </w:r>
          </w:p>
        </w:tc>
        <w:tc>
          <w:tcPr>
            <w:tcW w:w="1200" w:type="dxa"/>
            <w:shd w:val="clear" w:color="auto" w:fill="E6F4EA"/>
            <w:tcMar>
              <w:top w:w="70" w:type="dxa"/>
              <w:left w:w="100" w:type="dxa"/>
              <w:bottom w:w="70" w:type="dxa"/>
              <w:right w:w="100" w:type="dxa"/>
            </w:tcMar>
          </w:tcPr>
          <w:p w14:paraId="02346E0A" w14:textId="66FEB4C9" w:rsidR="00C06B25" w:rsidRPr="008A09F9" w:rsidRDefault="00A661E1">
            <w:pPr>
              <w:rPr>
                <w:color w:val="0C3512" w:themeColor="accent3" w:themeShade="80"/>
              </w:rPr>
            </w:pPr>
            <w:r>
              <w:rPr>
                <w:color w:val="0C3512" w:themeColor="accent3" w:themeShade="80"/>
                <w:sz w:val="19"/>
                <w:szCs w:val="19"/>
              </w:rPr>
              <w:t>N</w:t>
            </w:r>
          </w:p>
        </w:tc>
        <w:tc>
          <w:tcPr>
            <w:tcW w:w="1200" w:type="dxa"/>
            <w:shd w:val="clear" w:color="auto" w:fill="E6F4EA"/>
            <w:tcMar>
              <w:top w:w="70" w:type="dxa"/>
              <w:left w:w="100" w:type="dxa"/>
              <w:bottom w:w="70" w:type="dxa"/>
              <w:right w:w="100" w:type="dxa"/>
            </w:tcMar>
          </w:tcPr>
          <w:p w14:paraId="306E38FF" w14:textId="1D365EE9" w:rsidR="00C06B25" w:rsidRPr="008A09F9" w:rsidRDefault="00D27BE9">
            <w:pPr>
              <w:rPr>
                <w:color w:val="0C3512" w:themeColor="accent3" w:themeShade="80"/>
              </w:rPr>
            </w:pPr>
            <w:r>
              <w:rPr>
                <w:color w:val="0C3512" w:themeColor="accent3" w:themeShade="80"/>
              </w:rPr>
              <w:t>L</w:t>
            </w:r>
          </w:p>
        </w:tc>
        <w:tc>
          <w:tcPr>
            <w:tcW w:w="5120" w:type="dxa"/>
            <w:shd w:val="clear" w:color="auto" w:fill="E6F4EA"/>
            <w:tcMar>
              <w:top w:w="70" w:type="dxa"/>
              <w:left w:w="100" w:type="dxa"/>
              <w:bottom w:w="70" w:type="dxa"/>
              <w:right w:w="100" w:type="dxa"/>
            </w:tcMar>
          </w:tcPr>
          <w:p w14:paraId="0F8D4D6F" w14:textId="4742AB63" w:rsidR="00C06B25" w:rsidRPr="003C178D" w:rsidRDefault="00D27BE9">
            <w:pPr>
              <w:rPr>
                <w:color w:val="auto"/>
              </w:rPr>
            </w:pPr>
            <w:r>
              <w:rPr>
                <w:sz w:val="19"/>
                <w:szCs w:val="19"/>
              </w:rPr>
              <w:t>Airtel Africa and MTN Nigeria were both flat on the week at ₦6,300.00 and ₦813.00 and together hold ₦40.96tn of capitalisation on combined weekly volume of 12.45m shares. The contrast between large index weights and limited weekly trading volume raises implementation costs for large passive or benchmark sensitive flows.</w:t>
            </w:r>
          </w:p>
        </w:tc>
      </w:tr>
    </w:tbl>
    <w:p w14:paraId="492ACC6E" w14:textId="77777777" w:rsidR="00C06B25" w:rsidRDefault="00CB3E7C">
      <w:pPr>
        <w:spacing w:before="40" w:after="40"/>
      </w:pPr>
      <w:r>
        <w:rPr>
          <w:color w:val="666666"/>
          <w:sz w:val="17"/>
          <w:szCs w:val="17"/>
        </w:rPr>
        <w:t>OW = Overweight (expect outperformance)  ·  N = Neutral  ·  UW = Underweight  ·  H/M/L = High/Medium/Low conviction</w:t>
      </w:r>
    </w:p>
    <w:p w14:paraId="09F17939" w14:textId="77777777" w:rsidR="00C06B25" w:rsidRDefault="00C06B25">
      <w:pPr>
        <w:spacing w:before="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39670E" w14:paraId="6D89F3D1" w14:textId="77777777">
        <w:tc>
          <w:tcPr>
            <w:tcW w:w="4860" w:type="dxa"/>
            <w:shd w:val="clear" w:color="auto" w:fill="D6EAD9"/>
            <w:tcMar>
              <w:top w:w="100" w:type="dxa"/>
              <w:left w:w="140" w:type="dxa"/>
              <w:bottom w:w="100" w:type="dxa"/>
              <w:right w:w="140" w:type="dxa"/>
            </w:tcMar>
          </w:tcPr>
          <w:p w14:paraId="0FC42A58" w14:textId="77777777" w:rsidR="00C06B25" w:rsidRDefault="00CB3E7C">
            <w:pPr>
              <w:spacing w:after="80"/>
            </w:pPr>
            <w:r>
              <w:rPr>
                <w:b/>
                <w:bCs/>
                <w:color w:val="00B050"/>
              </w:rPr>
              <w:t>▲</w:t>
            </w:r>
            <w:r>
              <w:rPr>
                <w:b/>
                <w:bCs/>
                <w:color w:val="1A5C2E"/>
              </w:rPr>
              <w:t xml:space="preserve">  BULLISH FACTORS</w:t>
            </w:r>
          </w:p>
          <w:p w14:paraId="218327CA" w14:textId="77777777" w:rsidR="00D27BE9" w:rsidRPr="00D27BE9" w:rsidRDefault="00D27BE9" w:rsidP="00D27BE9">
            <w:pPr>
              <w:pStyle w:val="ListParagraph"/>
              <w:numPr>
                <w:ilvl w:val="0"/>
                <w:numId w:val="13"/>
              </w:numPr>
              <w:spacing w:before="40" w:after="40"/>
              <w:ind w:left="277" w:hanging="142"/>
              <w:rPr>
                <w:color w:val="7F7F7F" w:themeColor="text1" w:themeTint="80"/>
                <w:sz w:val="19"/>
                <w:szCs w:val="19"/>
              </w:rPr>
            </w:pPr>
            <w:r>
              <w:rPr>
                <w:sz w:val="19"/>
                <w:szCs w:val="19"/>
              </w:rPr>
              <w:t>External reserves at $54.13bn as at 04 Sep, the highest since December 2008 on CBN data and ▲30.31% YoY, with the parallel premium compressed to 4.81% from 6.46% two weeks earlier and NFEM turnover at $1.45bn on 10 Sep, the strongest daily print since 21 Jul.</w:t>
            </w:r>
          </w:p>
          <w:p w14:paraId="3F9A4042" w14:textId="77777777" w:rsidR="00D27BE9" w:rsidRPr="00D27BE9" w:rsidRDefault="00D27BE9" w:rsidP="00D27BE9">
            <w:pPr>
              <w:pStyle w:val="ListParagraph"/>
              <w:numPr>
                <w:ilvl w:val="0"/>
                <w:numId w:val="13"/>
              </w:numPr>
              <w:spacing w:before="40" w:after="40"/>
              <w:ind w:left="277" w:hanging="142"/>
              <w:rPr>
                <w:color w:val="7F7F7F" w:themeColor="text1" w:themeTint="80"/>
                <w:sz w:val="19"/>
                <w:szCs w:val="19"/>
              </w:rPr>
            </w:pPr>
            <w:r>
              <w:rPr>
                <w:color w:val="7F7F7F" w:themeColor="text1" w:themeTint="80"/>
                <w:sz w:val="19"/>
                <w:szCs w:val="19"/>
              </w:rPr>
              <w:t>FTSE Russell Frontier Market reclassification effective 21 Sep, arriving with the ASI at ▲56.19% YTD and 4.34% below its 52 week high of 254,067.42, leaving room for index eligible names to absorb inflows.</w:t>
            </w:r>
          </w:p>
          <w:p w14:paraId="4B8EFBAB" w14:textId="1B9FEF95" w:rsidR="00C06B25" w:rsidRDefault="00D27BE9" w:rsidP="00D27BE9">
            <w:pPr>
              <w:pStyle w:val="ListParagraph"/>
              <w:numPr>
                <w:ilvl w:val="0"/>
                <w:numId w:val="13"/>
              </w:numPr>
              <w:spacing w:before="40" w:after="40"/>
              <w:ind w:left="277" w:hanging="142"/>
            </w:pPr>
            <w:r>
              <w:rPr>
                <w:sz w:val="19"/>
                <w:szCs w:val="19"/>
              </w:rPr>
              <w:lastRenderedPageBreak/>
              <w:t>The Dangote Refinery offer implies a post money equity value of ₦65.22tn against current NGX capitalisation of ₦157.59tn, so admission at the offer price would materially enlarge the market, even though only ₦2.15tn, or 3.30% of enlarged share capital, is offered. H1 2026 net income was $1.82bn against a FY2025 loss of $476m.</w:t>
            </w:r>
          </w:p>
        </w:tc>
        <w:tc>
          <w:tcPr>
            <w:tcW w:w="4860" w:type="dxa"/>
            <w:shd w:val="clear" w:color="auto" w:fill="FDE8E8"/>
            <w:tcMar>
              <w:top w:w="100" w:type="dxa"/>
              <w:left w:w="140" w:type="dxa"/>
              <w:bottom w:w="100" w:type="dxa"/>
              <w:right w:w="140" w:type="dxa"/>
            </w:tcMar>
          </w:tcPr>
          <w:p w14:paraId="47599B66" w14:textId="77777777" w:rsidR="00C06B25" w:rsidRDefault="00CB3E7C">
            <w:pPr>
              <w:spacing w:after="80"/>
            </w:pPr>
            <w:r>
              <w:rPr>
                <w:b/>
                <w:bCs/>
                <w:color w:val="EE0000"/>
              </w:rPr>
              <w:lastRenderedPageBreak/>
              <w:t>▼</w:t>
            </w:r>
            <w:r>
              <w:rPr>
                <w:b/>
                <w:bCs/>
                <w:color w:val="7B1C1C"/>
              </w:rPr>
              <w:t xml:space="preserve">  BEARISH RISKS</w:t>
            </w:r>
          </w:p>
          <w:p w14:paraId="4E182A8B" w14:textId="77777777" w:rsidR="00D27BE9" w:rsidRPr="00D27BE9" w:rsidRDefault="00D27BE9" w:rsidP="00D27BE9">
            <w:pPr>
              <w:pStyle w:val="ListParagraph"/>
              <w:numPr>
                <w:ilvl w:val="0"/>
                <w:numId w:val="14"/>
              </w:numPr>
              <w:spacing w:before="40" w:after="40"/>
              <w:ind w:left="236" w:hanging="142"/>
              <w:rPr>
                <w:color w:val="7F7F7F" w:themeColor="text1" w:themeTint="80"/>
                <w:sz w:val="19"/>
                <w:szCs w:val="19"/>
              </w:rPr>
            </w:pPr>
            <w:r>
              <w:rPr>
                <w:sz w:val="19"/>
                <w:szCs w:val="19"/>
              </w:rPr>
              <w:t>Weekly breadth was sharply negative at an advance/decline ratio of 0.07x against 2.13x the prior week, with 92 decliners against 6 advancers, so the week's ▲2.83% Oil &amp; Gas gain rests on a handful of names rather than broad participation.</w:t>
            </w:r>
          </w:p>
          <w:p w14:paraId="102503E5" w14:textId="77777777" w:rsidR="00D27BE9" w:rsidRPr="00D27BE9" w:rsidRDefault="00D27BE9" w:rsidP="00D27BE9">
            <w:pPr>
              <w:pStyle w:val="ListParagraph"/>
              <w:numPr>
                <w:ilvl w:val="0"/>
                <w:numId w:val="14"/>
              </w:numPr>
              <w:spacing w:before="40" w:after="40"/>
              <w:ind w:left="236" w:hanging="142"/>
              <w:rPr>
                <w:color w:val="7F7F7F" w:themeColor="text1" w:themeTint="80"/>
                <w:sz w:val="19"/>
                <w:szCs w:val="19"/>
              </w:rPr>
            </w:pPr>
            <w:r>
              <w:rPr>
                <w:color w:val="7F7F7F" w:themeColor="text1" w:themeTint="80"/>
                <w:sz w:val="19"/>
                <w:szCs w:val="19"/>
              </w:rPr>
              <w:t>MPR held at 26.50% against July CPI of 15.43% leaves a real policy rate above 1,100bp, and Brent ▲8.65% WoW feeds domestic fuel and transport costs that could reverse the disinflation run.</w:t>
            </w:r>
          </w:p>
          <w:p w14:paraId="3CBB03B4" w14:textId="77132328" w:rsidR="00C06B25" w:rsidRDefault="00D27BE9" w:rsidP="00D27BE9">
            <w:pPr>
              <w:pStyle w:val="ListParagraph"/>
              <w:numPr>
                <w:ilvl w:val="0"/>
                <w:numId w:val="14"/>
              </w:numPr>
              <w:spacing w:before="40" w:after="40"/>
              <w:ind w:left="236" w:hanging="142"/>
            </w:pPr>
            <w:r>
              <w:rPr>
                <w:sz w:val="19"/>
                <w:szCs w:val="19"/>
              </w:rPr>
              <w:t xml:space="preserve">Selling pressure ahead of the offer may not be finished: the subscription window runs to 13 Oct, </w:t>
            </w:r>
            <w:r>
              <w:rPr>
                <w:sz w:val="19"/>
                <w:szCs w:val="19"/>
              </w:rPr>
              <w:lastRenderedPageBreak/>
              <w:t>and Cowry Asset Management expects continued selling across Insurance and Banking, the two weakest sectors of the week.</w:t>
            </w:r>
          </w:p>
        </w:tc>
      </w:tr>
    </w:tbl>
    <w:p w14:paraId="31ABC073" w14:textId="5562196F" w:rsidR="00C06B25" w:rsidRDefault="00CB3E7C">
      <w:pPr>
        <w:spacing w:before="180" w:after="80"/>
      </w:pPr>
      <w:r>
        <w:rPr>
          <w:b/>
          <w:bCs/>
          <w:color w:val="1A5C4E"/>
          <w:sz w:val="22"/>
          <w:szCs w:val="22"/>
        </w:rPr>
        <w:t>Events to Watch — Next Week</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121"/>
        <w:gridCol w:w="6039"/>
      </w:tblGrid>
      <w:tr w:rsidR="0039670E" w14:paraId="0EAB954B" w14:textId="77777777" w:rsidTr="007C222A">
        <w:tc>
          <w:tcPr>
            <w:tcW w:w="1560" w:type="dxa"/>
            <w:shd w:val="clear" w:color="auto" w:fill="1A5C4E"/>
            <w:tcMar>
              <w:top w:w="80" w:type="dxa"/>
              <w:left w:w="100" w:type="dxa"/>
              <w:bottom w:w="80" w:type="dxa"/>
              <w:right w:w="100" w:type="dxa"/>
            </w:tcMar>
            <w:vAlign w:val="center"/>
          </w:tcPr>
          <w:p w14:paraId="2502C8E1" w14:textId="77777777" w:rsidR="00C06B25" w:rsidRDefault="00CB3E7C">
            <w:r>
              <w:rPr>
                <w:b/>
                <w:bCs/>
                <w:color w:val="FFFFFF"/>
                <w:sz w:val="18"/>
                <w:szCs w:val="18"/>
              </w:rPr>
              <w:t>Date</w:t>
            </w:r>
          </w:p>
        </w:tc>
        <w:tc>
          <w:tcPr>
            <w:tcW w:w="2121" w:type="dxa"/>
            <w:shd w:val="clear" w:color="auto" w:fill="1A5C4E"/>
            <w:tcMar>
              <w:top w:w="80" w:type="dxa"/>
              <w:left w:w="100" w:type="dxa"/>
              <w:bottom w:w="80" w:type="dxa"/>
              <w:right w:w="100" w:type="dxa"/>
            </w:tcMar>
            <w:vAlign w:val="center"/>
          </w:tcPr>
          <w:p w14:paraId="76E1360D" w14:textId="77777777" w:rsidR="00C06B25" w:rsidRDefault="00CB3E7C">
            <w:r>
              <w:rPr>
                <w:b/>
                <w:bCs/>
                <w:color w:val="FFFFFF"/>
                <w:sz w:val="18"/>
                <w:szCs w:val="18"/>
              </w:rPr>
              <w:t>Event Type</w:t>
            </w:r>
          </w:p>
        </w:tc>
        <w:tc>
          <w:tcPr>
            <w:tcW w:w="6039" w:type="dxa"/>
            <w:shd w:val="clear" w:color="auto" w:fill="1A5C4E"/>
            <w:tcMar>
              <w:top w:w="80" w:type="dxa"/>
              <w:left w:w="100" w:type="dxa"/>
              <w:bottom w:w="80" w:type="dxa"/>
              <w:right w:w="100" w:type="dxa"/>
            </w:tcMar>
            <w:vAlign w:val="center"/>
          </w:tcPr>
          <w:p w14:paraId="38E39A84" w14:textId="77777777" w:rsidR="00C06B25" w:rsidRDefault="00CB3E7C">
            <w:r>
              <w:rPr>
                <w:b/>
                <w:bCs/>
                <w:color w:val="FFFFFF"/>
                <w:sz w:val="18"/>
                <w:szCs w:val="18"/>
              </w:rPr>
              <w:t>Details &amp; Why It Matters</w:t>
            </w:r>
          </w:p>
        </w:tc>
      </w:tr>
      <w:tr w:rsidR="0039670E" w14:paraId="4A7AF30C" w14:textId="77777777" w:rsidTr="007C222A">
        <w:tc>
          <w:tcPr>
            <w:tcW w:w="1560" w:type="dxa"/>
            <w:shd w:val="clear" w:color="auto" w:fill="E6F4EA"/>
            <w:tcMar>
              <w:top w:w="70" w:type="dxa"/>
              <w:left w:w="100" w:type="dxa"/>
              <w:bottom w:w="70" w:type="dxa"/>
              <w:right w:w="100" w:type="dxa"/>
            </w:tcMar>
          </w:tcPr>
          <w:p w14:paraId="19B41612" w14:textId="7C384E49" w:rsidR="00C06B25" w:rsidRPr="00793134" w:rsidRDefault="00A661E1">
            <w:pPr>
              <w:rPr>
                <w:color w:val="404040" w:themeColor="text1" w:themeTint="BF"/>
              </w:rPr>
            </w:pPr>
            <w:r>
              <w:rPr>
                <w:color w:val="404040" w:themeColor="text1" w:themeTint="BF"/>
                <w:sz w:val="19"/>
                <w:szCs w:val="19"/>
              </w:rPr>
              <w:t>21 Sep 2026</w:t>
            </w:r>
          </w:p>
        </w:tc>
        <w:tc>
          <w:tcPr>
            <w:tcW w:w="2121" w:type="dxa"/>
            <w:shd w:val="clear" w:color="auto" w:fill="E6F4EA"/>
            <w:tcMar>
              <w:top w:w="70" w:type="dxa"/>
              <w:left w:w="100" w:type="dxa"/>
              <w:bottom w:w="70" w:type="dxa"/>
              <w:right w:w="100" w:type="dxa"/>
            </w:tcMar>
          </w:tcPr>
          <w:p w14:paraId="2CBF6A29" w14:textId="55E8D721" w:rsidR="00C06B25" w:rsidRPr="00793134" w:rsidRDefault="00D27BE9">
            <w:pPr>
              <w:rPr>
                <w:color w:val="404040" w:themeColor="text1" w:themeTint="BF"/>
              </w:rPr>
            </w:pPr>
            <w:r>
              <w:rPr>
                <w:color w:val="404040" w:themeColor="text1" w:themeTint="BF"/>
                <w:sz w:val="19"/>
                <w:szCs w:val="19"/>
              </w:rPr>
              <w:t>FTSE Russell Frontier reclassification effective at market open, and Dangote Cement Capital Markets Day in London</w:t>
            </w:r>
          </w:p>
        </w:tc>
        <w:tc>
          <w:tcPr>
            <w:tcW w:w="6039" w:type="dxa"/>
            <w:shd w:val="clear" w:color="auto" w:fill="E6F4EA"/>
            <w:tcMar>
              <w:top w:w="70" w:type="dxa"/>
              <w:left w:w="100" w:type="dxa"/>
              <w:bottom w:w="70" w:type="dxa"/>
              <w:right w:w="100" w:type="dxa"/>
            </w:tcMar>
          </w:tcPr>
          <w:p w14:paraId="46587485" w14:textId="75594D23" w:rsidR="00C06B25" w:rsidRPr="00793134" w:rsidRDefault="00D27BE9">
            <w:pPr>
              <w:rPr>
                <w:color w:val="404040" w:themeColor="text1" w:themeTint="BF"/>
              </w:rPr>
            </w:pPr>
            <w:r>
              <w:rPr>
                <w:sz w:val="19"/>
                <w:szCs w:val="19"/>
              </w:rPr>
              <w:t>Index eligible large caps, particularly Banking and Oil &amp; Gas, are the first recipients of any passive demand; Dangote Cement management guidance is the only near term read on a trailing multiple shown as NM.</w:t>
            </w:r>
          </w:p>
        </w:tc>
      </w:tr>
      <w:tr w:rsidR="000615AF" w14:paraId="563A2C3E" w14:textId="77777777" w:rsidTr="007C222A">
        <w:tc>
          <w:tcPr>
            <w:tcW w:w="1560" w:type="dxa"/>
            <w:tcMar>
              <w:top w:w="70" w:type="dxa"/>
              <w:left w:w="100" w:type="dxa"/>
              <w:bottom w:w="70" w:type="dxa"/>
              <w:right w:w="100" w:type="dxa"/>
            </w:tcMar>
          </w:tcPr>
          <w:p w14:paraId="64D19AB7" w14:textId="17FCCC0E" w:rsidR="000615AF" w:rsidRPr="00793134" w:rsidRDefault="000615AF">
            <w:pPr>
              <w:rPr>
                <w:color w:val="404040" w:themeColor="text1" w:themeTint="BF"/>
                <w:sz w:val="19"/>
                <w:szCs w:val="19"/>
              </w:rPr>
            </w:pPr>
            <w:r>
              <w:rPr>
                <w:color w:val="222222"/>
                <w:sz w:val="19"/>
                <w:szCs w:val="19"/>
              </w:rPr>
              <w:t>w/c 14 Sep 2026</w:t>
            </w:r>
          </w:p>
        </w:tc>
        <w:tc>
          <w:tcPr>
            <w:tcW w:w="2121" w:type="dxa"/>
            <w:tcMar>
              <w:top w:w="70" w:type="dxa"/>
              <w:left w:w="100" w:type="dxa"/>
              <w:bottom w:w="70" w:type="dxa"/>
              <w:right w:w="100" w:type="dxa"/>
            </w:tcMar>
          </w:tcPr>
          <w:p w14:paraId="5829588A" w14:textId="221A5F91" w:rsidR="000615AF" w:rsidRPr="00793134" w:rsidRDefault="000615AF">
            <w:pPr>
              <w:rPr>
                <w:color w:val="404040" w:themeColor="text1" w:themeTint="BF"/>
                <w:sz w:val="19"/>
                <w:szCs w:val="19"/>
              </w:rPr>
            </w:pPr>
            <w:r>
              <w:rPr>
                <w:color w:val="404040" w:themeColor="text1" w:themeTint="BF"/>
                <w:sz w:val="19"/>
                <w:szCs w:val="19"/>
              </w:rPr>
              <w:t>NBS releases August CPI, following July at 15.43% YoY</w:t>
            </w:r>
          </w:p>
        </w:tc>
        <w:tc>
          <w:tcPr>
            <w:tcW w:w="6039" w:type="dxa"/>
            <w:tcMar>
              <w:top w:w="70" w:type="dxa"/>
              <w:left w:w="100" w:type="dxa"/>
              <w:bottom w:w="70" w:type="dxa"/>
              <w:right w:w="100" w:type="dxa"/>
            </w:tcMar>
          </w:tcPr>
          <w:p w14:paraId="45367BDA" w14:textId="06A3008E" w:rsidR="000615AF" w:rsidRPr="00793134" w:rsidRDefault="000615AF">
            <w:pPr>
              <w:rPr>
                <w:color w:val="404040" w:themeColor="text1" w:themeTint="BF"/>
                <w:sz w:val="19"/>
                <w:szCs w:val="19"/>
              </w:rPr>
            </w:pPr>
            <w:r>
              <w:rPr>
                <w:sz w:val="19"/>
                <w:szCs w:val="19"/>
              </w:rPr>
              <w:t>A further deceleration would strengthen the case for a hold or a dovish tilt at the MPC and would support the naira-led equity bid; a reacceleration would revive hike risk into the reclassification date. The July report was released on 17 August 2026, so the August report is expected in the week commencing 14 September.</w:t>
            </w:r>
          </w:p>
        </w:tc>
      </w:tr>
      <w:tr w:rsidR="0039670E" w14:paraId="1E80994E" w14:textId="77777777" w:rsidTr="000615AF">
        <w:tc>
          <w:tcPr>
            <w:tcW w:w="1560" w:type="dxa"/>
            <w:shd w:val="clear" w:color="auto" w:fill="E6F4EA"/>
            <w:tcMar>
              <w:top w:w="70" w:type="dxa"/>
              <w:left w:w="100" w:type="dxa"/>
              <w:bottom w:w="70" w:type="dxa"/>
              <w:right w:w="100" w:type="dxa"/>
            </w:tcMar>
          </w:tcPr>
          <w:p w14:paraId="69CB004E" w14:textId="1B3B4529" w:rsidR="00C06B25" w:rsidRPr="00793134" w:rsidRDefault="00A661E1">
            <w:pPr>
              <w:rPr>
                <w:color w:val="404040" w:themeColor="text1" w:themeTint="BF"/>
              </w:rPr>
            </w:pPr>
            <w:r>
              <w:rPr>
                <w:color w:val="404040" w:themeColor="text1" w:themeTint="BF"/>
                <w:sz w:val="19"/>
                <w:szCs w:val="19"/>
              </w:rPr>
              <w:t>21 to 22 Sep 2026</w:t>
            </w:r>
          </w:p>
        </w:tc>
        <w:tc>
          <w:tcPr>
            <w:tcW w:w="2121" w:type="dxa"/>
            <w:shd w:val="clear" w:color="auto" w:fill="E6F4EA"/>
            <w:tcMar>
              <w:top w:w="70" w:type="dxa"/>
              <w:left w:w="100" w:type="dxa"/>
              <w:bottom w:w="70" w:type="dxa"/>
              <w:right w:w="100" w:type="dxa"/>
            </w:tcMar>
          </w:tcPr>
          <w:p w14:paraId="2BD78E39" w14:textId="11E6A179" w:rsidR="00C06B25" w:rsidRPr="00793134" w:rsidRDefault="00A661E1">
            <w:pPr>
              <w:rPr>
                <w:color w:val="404040" w:themeColor="text1" w:themeTint="BF"/>
              </w:rPr>
            </w:pPr>
            <w:r>
              <w:rPr>
                <w:color w:val="404040" w:themeColor="text1" w:themeTint="BF"/>
                <w:sz w:val="19"/>
                <w:szCs w:val="19"/>
              </w:rPr>
              <w:t>CBN MPC meeting</w:t>
            </w:r>
          </w:p>
        </w:tc>
        <w:tc>
          <w:tcPr>
            <w:tcW w:w="6039" w:type="dxa"/>
            <w:shd w:val="clear" w:color="auto" w:fill="E6F4EA"/>
            <w:tcMar>
              <w:top w:w="70" w:type="dxa"/>
              <w:left w:w="100" w:type="dxa"/>
              <w:bottom w:w="70" w:type="dxa"/>
              <w:right w:w="100" w:type="dxa"/>
            </w:tcMar>
          </w:tcPr>
          <w:p w14:paraId="0777EB0A" w14:textId="5DDCD14C" w:rsidR="00C06B25" w:rsidRPr="00793134" w:rsidRDefault="00D27BE9">
            <w:pPr>
              <w:rPr>
                <w:color w:val="404040" w:themeColor="text1" w:themeTint="BF"/>
              </w:rPr>
            </w:pPr>
            <w:r>
              <w:rPr>
                <w:color w:val="404040" w:themeColor="text1" w:themeTint="BF"/>
                <w:sz w:val="19"/>
                <w:szCs w:val="19"/>
              </w:rPr>
              <w:t>A hold at 26.50% is the base case; any hawkish shift on oil driven inflation pressures Banking and Consumer Goods multiples directly.</w:t>
            </w:r>
          </w:p>
        </w:tc>
      </w:tr>
    </w:tbl>
    <w:p w14:paraId="4686016E" w14:textId="77777777" w:rsidR="00C06B25" w:rsidRDefault="00C06B25">
      <w:pPr>
        <w:spacing w:before="160"/>
      </w:pPr>
    </w:p>
    <w:p w14:paraId="1DF1A65D" w14:textId="77777777" w:rsidR="00C06B25" w:rsidRDefault="00C06B25">
      <w:pPr>
        <w:spacing w:before="200"/>
      </w:pPr>
    </w:p>
    <w:p w14:paraId="5A88099C" w14:textId="77777777" w:rsidR="00C06B25" w:rsidRDefault="00C06B25">
      <w:pPr>
        <w:pBdr>
          <w:bottom w:val="single" w:sz="10" w:space="1" w:color="CCCCCC"/>
        </w:pBdr>
        <w:spacing w:before="60" w:after="100"/>
      </w:pPr>
    </w:p>
    <w:p w14:paraId="7C54C3ED" w14:textId="77777777" w:rsidR="00C06B25" w:rsidRDefault="00CB3E7C">
      <w:pPr>
        <w:spacing w:after="40"/>
      </w:pPr>
      <w:r>
        <w:rPr>
          <w:b/>
          <w:bCs/>
          <w:color w:val="555555"/>
          <w:sz w:val="17"/>
          <w:szCs w:val="17"/>
        </w:rPr>
        <w:t>DISCLAIMER</w:t>
      </w:r>
    </w:p>
    <w:p w14:paraId="617BDFBC" w14:textId="77777777" w:rsidR="00C06B25" w:rsidRDefault="00CB3E7C">
      <w:r>
        <w:rPr>
          <w:color w:val="777777"/>
          <w:sz w:val="16"/>
          <w:szCs w:val="16"/>
        </w:rPr>
        <w:t>This report is prepared by Equinox Research for informational purposes only and is intended solely for the recipient. It does not constitute investment advice, an offer to buy or sell securities, or a solicitation of any kind. Past performance is not indicative of future results. All data is sourced from publicly available sources believed to be reliable; Equinox Research makes no representations as to accuracy or completeness. Recipients should conduct their own due diligence before making any investment decisions.</w:t>
      </w:r>
    </w:p>
    <w:sectPr w:rsidR="00C06B25">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47AE" w14:textId="77777777" w:rsidR="0013349A" w:rsidRDefault="0013349A">
      <w:r>
        <w:separator/>
      </w:r>
    </w:p>
  </w:endnote>
  <w:endnote w:type="continuationSeparator" w:id="0">
    <w:p w14:paraId="3CC64F9C" w14:textId="77777777" w:rsidR="0013349A" w:rsidRDefault="00133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A51D" w14:textId="77777777" w:rsidR="00C06B25" w:rsidRDefault="00267660">
    <w:pPr>
      <w:pBdr>
        <w:top w:val="single" w:sz="4" w:space="0" w:color="CCCCCC"/>
      </w:pBdr>
      <w:spacing w:before="60"/>
      <w:jc w:val="center"/>
    </w:pPr>
    <w:r>
      <w:rPr>
        <w:noProof/>
      </w:rPr>
      <w:drawing>
        <wp:anchor distT="0" distB="0" distL="114300" distR="114300" simplePos="0" relativeHeight="251658240" behindDoc="0" locked="0" layoutInCell="1" allowOverlap="1" wp14:anchorId="7B98D096" wp14:editId="0CB8B78D">
          <wp:simplePos x="0" y="0"/>
          <wp:positionH relativeFrom="margin">
            <wp:align>center</wp:align>
          </wp:positionH>
          <wp:positionV relativeFrom="paragraph">
            <wp:posOffset>-9395460</wp:posOffset>
          </wp:positionV>
          <wp:extent cx="1223010" cy="371475"/>
          <wp:effectExtent l="0" t="0" r="0" b="9525"/>
          <wp:wrapThrough wrapText="bothSides">
            <wp:wrapPolygon edited="0">
              <wp:start x="14131" y="0"/>
              <wp:lineTo x="673" y="2215"/>
              <wp:lineTo x="673" y="17723"/>
              <wp:lineTo x="9084" y="21046"/>
              <wp:lineTo x="21196" y="21046"/>
              <wp:lineTo x="21196" y="3323"/>
              <wp:lineTo x="20523" y="1108"/>
              <wp:lineTo x="15813" y="0"/>
              <wp:lineTo x="14131" y="0"/>
            </wp:wrapPolygon>
          </wp:wrapThrough>
          <wp:docPr id="92509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3010" cy="371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888888"/>
        <w:sz w:val="16"/>
        <w:szCs w:val="16"/>
      </w:rPr>
      <w:t xml:space="preserve">Equinox </w:t>
    </w:r>
    <w:proofErr w:type="gramStart"/>
    <w:r>
      <w:rPr>
        <w:color w:val="888888"/>
        <w:sz w:val="16"/>
        <w:szCs w:val="16"/>
      </w:rPr>
      <w:t>Research  ·</w:t>
    </w:r>
    <w:proofErr w:type="gramEnd"/>
    <w:r>
      <w:rPr>
        <w:color w:val="888888"/>
        <w:sz w:val="16"/>
        <w:szCs w:val="16"/>
      </w:rPr>
      <w:t xml:space="preserve">  </w:t>
    </w:r>
    <w:proofErr w:type="gramStart"/>
    <w:r>
      <w:rPr>
        <w:color w:val="888888"/>
        <w:sz w:val="16"/>
        <w:szCs w:val="16"/>
      </w:rPr>
      <w:t>equinox</w:t>
    </w:r>
    <w:r w:rsidR="008A09F9">
      <w:rPr>
        <w:color w:val="888888"/>
        <w:sz w:val="16"/>
        <w:szCs w:val="16"/>
      </w:rPr>
      <w:t>edge</w:t>
    </w:r>
    <w:r>
      <w:rPr>
        <w:color w:val="888888"/>
        <w:sz w:val="16"/>
        <w:szCs w:val="16"/>
      </w:rPr>
      <w:t>.com  ·</w:t>
    </w:r>
    <w:proofErr w:type="gramEnd"/>
    <w:r>
      <w:rPr>
        <w:color w:val="888888"/>
        <w:sz w:val="16"/>
        <w:szCs w:val="16"/>
      </w:rPr>
      <w:t xml:space="preserve">  Confidential — For Institutional Client Use Only     </w:t>
    </w:r>
    <w:r>
      <w:rPr>
        <w:color w:val="888888"/>
        <w:sz w:val="16"/>
        <w:szCs w:val="16"/>
      </w:rPr>
      <w:fldChar w:fldCharType="begin"/>
    </w:r>
    <w:r>
      <w:rPr>
        <w:color w:val="888888"/>
        <w:sz w:val="16"/>
        <w:szCs w:val="16"/>
      </w:rPr>
      <w:instrText>PAGE</w:instrText>
    </w:r>
    <w:r>
      <w:rPr>
        <w:color w:val="888888"/>
        <w:sz w:val="16"/>
        <w:szCs w:val="16"/>
      </w:rPr>
      <w:fldChar w:fldCharType="separate"/>
    </w:r>
    <w:r w:rsidR="00885DDA">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885DDA">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53516" w14:textId="77777777" w:rsidR="0013349A" w:rsidRDefault="0013349A">
      <w:r>
        <w:separator/>
      </w:r>
    </w:p>
  </w:footnote>
  <w:footnote w:type="continuationSeparator" w:id="0">
    <w:p w14:paraId="473A070F" w14:textId="77777777" w:rsidR="0013349A" w:rsidRDefault="001334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none" w:sz="0" w:space="0" w:color="FFFFFF"/>
        <w:left w:val="none" w:sz="0" w:space="0" w:color="FFFFFF"/>
        <w:bottom w:val="single" w:sz="8" w:space="0" w:color="1A5C4E"/>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gridCol w:w="3520"/>
    </w:tblGrid>
    <w:tr w:rsidR="00C06B25" w14:paraId="77D9172C" w14:textId="77777777">
      <w:tc>
        <w:tcPr>
          <w:tcW w:w="6200" w:type="dxa"/>
          <w:tcBorders>
            <w:top w:val="none" w:sz="0" w:space="0" w:color="FFFFFF"/>
            <w:left w:val="none" w:sz="0" w:space="0" w:color="FFFFFF"/>
            <w:bottom w:val="none" w:sz="0" w:space="0" w:color="FFFFFF"/>
            <w:right w:val="none" w:sz="0" w:space="0" w:color="FFFFFF"/>
          </w:tcBorders>
          <w:tcMar>
            <w:bottom w:w="60" w:type="dxa"/>
          </w:tcMar>
        </w:tcPr>
        <w:p w14:paraId="640435DD" w14:textId="77777777" w:rsidR="00C06B25" w:rsidRDefault="00CB3E7C">
          <w:r>
            <w:rPr>
              <w:b/>
              <w:bCs/>
              <w:color w:val="1A5C4E"/>
            </w:rPr>
            <w:t>EQUINOX FRONTIER MARKETS WEEKLY</w:t>
          </w:r>
        </w:p>
        <w:p w14:paraId="10935CA5" w14:textId="77777777" w:rsidR="00C06B25" w:rsidRDefault="00CB3E7C">
          <w:r>
            <w:rPr>
              <w:color w:val="666666"/>
              <w:sz w:val="16"/>
              <w:szCs w:val="16"/>
            </w:rPr>
            <w:t xml:space="preserve">Equinox </w:t>
          </w:r>
          <w:proofErr w:type="gramStart"/>
          <w:r>
            <w:rPr>
              <w:color w:val="666666"/>
              <w:sz w:val="16"/>
              <w:szCs w:val="16"/>
            </w:rPr>
            <w:t>Research  ·</w:t>
          </w:r>
          <w:proofErr w:type="gramEnd"/>
          <w:r>
            <w:rPr>
              <w:color w:val="666666"/>
              <w:sz w:val="16"/>
              <w:szCs w:val="16"/>
            </w:rPr>
            <w:t xml:space="preserve">  Institutional Markets </w:t>
          </w:r>
          <w:proofErr w:type="gramStart"/>
          <w:r>
            <w:rPr>
              <w:color w:val="666666"/>
              <w:sz w:val="16"/>
              <w:szCs w:val="16"/>
            </w:rPr>
            <w:t>Intelligence  ·</w:t>
          </w:r>
          <w:proofErr w:type="gramEnd"/>
          <w:r>
            <w:rPr>
              <w:color w:val="666666"/>
              <w:sz w:val="16"/>
              <w:szCs w:val="16"/>
            </w:rPr>
            <w:t xml:space="preserve">  Confidential</w:t>
          </w:r>
        </w:p>
      </w:tc>
      <w:tc>
        <w:tcPr>
          <w:tcW w:w="3520" w:type="dxa"/>
          <w:tcBorders>
            <w:top w:val="none" w:sz="0" w:space="0" w:color="FFFFFF"/>
            <w:left w:val="none" w:sz="0" w:space="0" w:color="FFFFFF"/>
            <w:bottom w:val="none" w:sz="0" w:space="0" w:color="FFFFFF"/>
            <w:right w:val="none" w:sz="0" w:space="0" w:color="FFFFFF"/>
          </w:tcBorders>
          <w:tcMar>
            <w:bottom w:w="60" w:type="dxa"/>
          </w:tcMar>
          <w:vAlign w:val="bottom"/>
        </w:tcPr>
        <w:p w14:paraId="0055D500" w14:textId="63B9772B" w:rsidR="00C06B25" w:rsidRDefault="00CB3E7C">
          <w:pPr>
            <w:jc w:val="right"/>
          </w:pPr>
          <w:r>
            <w:rPr>
              <w:color w:val="444444"/>
              <w:sz w:val="18"/>
              <w:szCs w:val="18"/>
            </w:rPr>
            <w:t xml:space="preserve">Week of: </w:t>
          </w:r>
          <w:r w:rsidR="0086717B">
            <w:rPr>
              <w:color w:val="444444"/>
              <w:sz w:val="18"/>
              <w:szCs w:val="18"/>
            </w:rPr>
            <w:t>11</w:t>
          </w:r>
          <w:r w:rsidR="001E60D4">
            <w:rPr>
              <w:color w:val="444444"/>
              <w:sz w:val="18"/>
              <w:szCs w:val="18"/>
            </w:rPr>
            <w:t xml:space="preserve"> </w:t>
          </w:r>
          <w:r w:rsidR="00E05D85">
            <w:rPr>
              <w:color w:val="444444"/>
              <w:sz w:val="18"/>
              <w:szCs w:val="18"/>
            </w:rPr>
            <w:t>September</w:t>
          </w:r>
          <w:r w:rsidR="007733FE">
            <w:rPr>
              <w:color w:val="444444"/>
              <w:sz w:val="18"/>
              <w:szCs w:val="18"/>
            </w:rPr>
            <w:t xml:space="preserve">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13"/>
    <w:multiLevelType w:val="multilevel"/>
    <w:tmpl w:val="1B42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D2823"/>
    <w:multiLevelType w:val="hybridMultilevel"/>
    <w:tmpl w:val="207CA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E37344"/>
    <w:multiLevelType w:val="hybridMultilevel"/>
    <w:tmpl w:val="8364F1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FE5313"/>
    <w:multiLevelType w:val="hybridMultilevel"/>
    <w:tmpl w:val="79FC3B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F871CC"/>
    <w:multiLevelType w:val="hybridMultilevel"/>
    <w:tmpl w:val="EE5E3A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DF5FFA"/>
    <w:multiLevelType w:val="hybridMultilevel"/>
    <w:tmpl w:val="959AA7B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B21B80"/>
    <w:multiLevelType w:val="hybridMultilevel"/>
    <w:tmpl w:val="8662D010"/>
    <w:lvl w:ilvl="0" w:tplc="9878D3A2">
      <w:start w:val="1"/>
      <w:numFmt w:val="bullet"/>
      <w:lvlText w:val="●"/>
      <w:lvlJc w:val="left"/>
      <w:pPr>
        <w:ind w:left="720" w:hanging="360"/>
      </w:pPr>
    </w:lvl>
    <w:lvl w:ilvl="1" w:tplc="8F564218">
      <w:start w:val="1"/>
      <w:numFmt w:val="bullet"/>
      <w:lvlText w:val="○"/>
      <w:lvlJc w:val="left"/>
      <w:pPr>
        <w:ind w:left="1440" w:hanging="360"/>
      </w:pPr>
    </w:lvl>
    <w:lvl w:ilvl="2" w:tplc="26A6036E">
      <w:start w:val="1"/>
      <w:numFmt w:val="bullet"/>
      <w:lvlText w:val="■"/>
      <w:lvlJc w:val="left"/>
      <w:pPr>
        <w:ind w:left="2160" w:hanging="360"/>
      </w:pPr>
    </w:lvl>
    <w:lvl w:ilvl="3" w:tplc="CFAC7F1E">
      <w:start w:val="1"/>
      <w:numFmt w:val="bullet"/>
      <w:lvlText w:val="●"/>
      <w:lvlJc w:val="left"/>
      <w:pPr>
        <w:ind w:left="2880" w:hanging="360"/>
      </w:pPr>
    </w:lvl>
    <w:lvl w:ilvl="4" w:tplc="120CDA4A">
      <w:start w:val="1"/>
      <w:numFmt w:val="bullet"/>
      <w:lvlText w:val="○"/>
      <w:lvlJc w:val="left"/>
      <w:pPr>
        <w:ind w:left="3600" w:hanging="360"/>
      </w:pPr>
    </w:lvl>
    <w:lvl w:ilvl="5" w:tplc="DC541A40">
      <w:start w:val="1"/>
      <w:numFmt w:val="bullet"/>
      <w:lvlText w:val="■"/>
      <w:lvlJc w:val="left"/>
      <w:pPr>
        <w:ind w:left="4320" w:hanging="360"/>
      </w:pPr>
    </w:lvl>
    <w:lvl w:ilvl="6" w:tplc="63C614E4">
      <w:start w:val="1"/>
      <w:numFmt w:val="bullet"/>
      <w:lvlText w:val="●"/>
      <w:lvlJc w:val="left"/>
      <w:pPr>
        <w:ind w:left="5040" w:hanging="360"/>
      </w:pPr>
    </w:lvl>
    <w:lvl w:ilvl="7" w:tplc="EBF823F8">
      <w:start w:val="1"/>
      <w:numFmt w:val="bullet"/>
      <w:lvlText w:val="●"/>
      <w:lvlJc w:val="left"/>
      <w:pPr>
        <w:ind w:left="5760" w:hanging="360"/>
      </w:pPr>
    </w:lvl>
    <w:lvl w:ilvl="8" w:tplc="59F80B54">
      <w:start w:val="1"/>
      <w:numFmt w:val="bullet"/>
      <w:lvlText w:val="●"/>
      <w:lvlJc w:val="left"/>
      <w:pPr>
        <w:ind w:left="6480" w:hanging="360"/>
      </w:pPr>
    </w:lvl>
  </w:abstractNum>
  <w:abstractNum w:abstractNumId="7" w15:restartNumberingAfterBreak="0">
    <w:nsid w:val="14443B96"/>
    <w:multiLevelType w:val="hybridMultilevel"/>
    <w:tmpl w:val="4F480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A979E6"/>
    <w:multiLevelType w:val="hybridMultilevel"/>
    <w:tmpl w:val="6AA255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26770CB"/>
    <w:multiLevelType w:val="hybridMultilevel"/>
    <w:tmpl w:val="C088B350"/>
    <w:lvl w:ilvl="0" w:tplc="87683344">
      <w:start w:val="1"/>
      <w:numFmt w:val="bullet"/>
      <w:lvlText w:val=""/>
      <w:lvlJc w:val="left"/>
      <w:pPr>
        <w:ind w:left="1080" w:hanging="360"/>
      </w:pPr>
      <w:rPr>
        <w:rFonts w:ascii="Symbol" w:hAnsi="Symbol"/>
      </w:rPr>
    </w:lvl>
    <w:lvl w:ilvl="1" w:tplc="26E0C9FA">
      <w:start w:val="1"/>
      <w:numFmt w:val="bullet"/>
      <w:lvlText w:val=""/>
      <w:lvlJc w:val="left"/>
      <w:pPr>
        <w:ind w:left="1080" w:hanging="360"/>
      </w:pPr>
      <w:rPr>
        <w:rFonts w:ascii="Symbol" w:hAnsi="Symbol"/>
      </w:rPr>
    </w:lvl>
    <w:lvl w:ilvl="2" w:tplc="F7CE37AC">
      <w:start w:val="1"/>
      <w:numFmt w:val="bullet"/>
      <w:lvlText w:val=""/>
      <w:lvlJc w:val="left"/>
      <w:pPr>
        <w:ind w:left="1080" w:hanging="360"/>
      </w:pPr>
      <w:rPr>
        <w:rFonts w:ascii="Symbol" w:hAnsi="Symbol"/>
      </w:rPr>
    </w:lvl>
    <w:lvl w:ilvl="3" w:tplc="3ACC2D7A">
      <w:start w:val="1"/>
      <w:numFmt w:val="bullet"/>
      <w:lvlText w:val=""/>
      <w:lvlJc w:val="left"/>
      <w:pPr>
        <w:ind w:left="1080" w:hanging="360"/>
      </w:pPr>
      <w:rPr>
        <w:rFonts w:ascii="Symbol" w:hAnsi="Symbol"/>
      </w:rPr>
    </w:lvl>
    <w:lvl w:ilvl="4" w:tplc="EAC068DC">
      <w:start w:val="1"/>
      <w:numFmt w:val="bullet"/>
      <w:lvlText w:val=""/>
      <w:lvlJc w:val="left"/>
      <w:pPr>
        <w:ind w:left="1080" w:hanging="360"/>
      </w:pPr>
      <w:rPr>
        <w:rFonts w:ascii="Symbol" w:hAnsi="Symbol"/>
      </w:rPr>
    </w:lvl>
    <w:lvl w:ilvl="5" w:tplc="49E40426">
      <w:start w:val="1"/>
      <w:numFmt w:val="bullet"/>
      <w:lvlText w:val=""/>
      <w:lvlJc w:val="left"/>
      <w:pPr>
        <w:ind w:left="1080" w:hanging="360"/>
      </w:pPr>
      <w:rPr>
        <w:rFonts w:ascii="Symbol" w:hAnsi="Symbol"/>
      </w:rPr>
    </w:lvl>
    <w:lvl w:ilvl="6" w:tplc="9EE66694">
      <w:start w:val="1"/>
      <w:numFmt w:val="bullet"/>
      <w:lvlText w:val=""/>
      <w:lvlJc w:val="left"/>
      <w:pPr>
        <w:ind w:left="1080" w:hanging="360"/>
      </w:pPr>
      <w:rPr>
        <w:rFonts w:ascii="Symbol" w:hAnsi="Symbol"/>
      </w:rPr>
    </w:lvl>
    <w:lvl w:ilvl="7" w:tplc="9EF2212C">
      <w:start w:val="1"/>
      <w:numFmt w:val="bullet"/>
      <w:lvlText w:val=""/>
      <w:lvlJc w:val="left"/>
      <w:pPr>
        <w:ind w:left="1080" w:hanging="360"/>
      </w:pPr>
      <w:rPr>
        <w:rFonts w:ascii="Symbol" w:hAnsi="Symbol"/>
      </w:rPr>
    </w:lvl>
    <w:lvl w:ilvl="8" w:tplc="06DC6CB0">
      <w:start w:val="1"/>
      <w:numFmt w:val="bullet"/>
      <w:lvlText w:val=""/>
      <w:lvlJc w:val="left"/>
      <w:pPr>
        <w:ind w:left="1080" w:hanging="360"/>
      </w:pPr>
      <w:rPr>
        <w:rFonts w:ascii="Symbol" w:hAnsi="Symbol"/>
      </w:rPr>
    </w:lvl>
  </w:abstractNum>
  <w:abstractNum w:abstractNumId="10" w15:restartNumberingAfterBreak="0">
    <w:nsid w:val="2A7A395F"/>
    <w:multiLevelType w:val="hybridMultilevel"/>
    <w:tmpl w:val="48CAF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AA47A9"/>
    <w:multiLevelType w:val="hybridMultilevel"/>
    <w:tmpl w:val="A950DB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DF22CA"/>
    <w:multiLevelType w:val="hybridMultilevel"/>
    <w:tmpl w:val="392CB3C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0197C79"/>
    <w:multiLevelType w:val="hybridMultilevel"/>
    <w:tmpl w:val="E6C241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F07362"/>
    <w:multiLevelType w:val="hybridMultilevel"/>
    <w:tmpl w:val="69008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A89341B"/>
    <w:multiLevelType w:val="multilevel"/>
    <w:tmpl w:val="4A06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D0A7C"/>
    <w:multiLevelType w:val="multilevel"/>
    <w:tmpl w:val="F04A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558A3"/>
    <w:multiLevelType w:val="hybridMultilevel"/>
    <w:tmpl w:val="4330E25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02712D"/>
    <w:multiLevelType w:val="hybridMultilevel"/>
    <w:tmpl w:val="3260DB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CB5670"/>
    <w:multiLevelType w:val="multilevel"/>
    <w:tmpl w:val="A7EA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967EEA"/>
    <w:multiLevelType w:val="hybridMultilevel"/>
    <w:tmpl w:val="5184A0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DA4D05"/>
    <w:multiLevelType w:val="hybridMultilevel"/>
    <w:tmpl w:val="E12CE7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B027BAA"/>
    <w:multiLevelType w:val="hybridMultilevel"/>
    <w:tmpl w:val="DC4E38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B4D336C"/>
    <w:multiLevelType w:val="hybridMultilevel"/>
    <w:tmpl w:val="5E288486"/>
    <w:lvl w:ilvl="0" w:tplc="A1CCACA8">
      <w:start w:val="1"/>
      <w:numFmt w:val="bullet"/>
      <w:lvlText w:val=""/>
      <w:lvlJc w:val="left"/>
      <w:pPr>
        <w:ind w:left="920" w:hanging="360"/>
      </w:pPr>
      <w:rPr>
        <w:rFonts w:ascii="Symbol" w:hAnsi="Symbol" w:hint="default"/>
        <w:color w:val="7F7F7F" w:themeColor="text1" w:themeTint="80"/>
      </w:rPr>
    </w:lvl>
    <w:lvl w:ilvl="1" w:tplc="AE3CD2C0">
      <w:numFmt w:val="bullet"/>
      <w:lvlText w:val="•"/>
      <w:lvlJc w:val="left"/>
      <w:pPr>
        <w:ind w:left="1640" w:hanging="360"/>
      </w:pPr>
      <w:rPr>
        <w:rFonts w:ascii="Arial" w:eastAsia="Arial" w:hAnsi="Arial" w:cs="Arial"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4" w15:restartNumberingAfterBreak="0">
    <w:nsid w:val="72D47070"/>
    <w:multiLevelType w:val="hybridMultilevel"/>
    <w:tmpl w:val="9CA86D8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A6B28FA"/>
    <w:multiLevelType w:val="hybridMultilevel"/>
    <w:tmpl w:val="1DA83E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646458"/>
    <w:multiLevelType w:val="hybridMultilevel"/>
    <w:tmpl w:val="742892A0"/>
    <w:lvl w:ilvl="0" w:tplc="ABA8C518">
      <w:start w:val="1"/>
      <w:numFmt w:val="bullet"/>
      <w:lvlText w:val=""/>
      <w:lvlJc w:val="left"/>
      <w:pPr>
        <w:ind w:left="920" w:hanging="360"/>
      </w:pPr>
      <w:rPr>
        <w:rFonts w:ascii="Symbol" w:hAnsi="Symbol" w:hint="default"/>
        <w:color w:val="747474" w:themeColor="background2" w:themeShade="80"/>
      </w:rPr>
    </w:lvl>
    <w:lvl w:ilvl="1" w:tplc="40090003">
      <w:start w:val="1"/>
      <w:numFmt w:val="bullet"/>
      <w:lvlText w:val="o"/>
      <w:lvlJc w:val="left"/>
      <w:pPr>
        <w:ind w:left="1640" w:hanging="360"/>
      </w:pPr>
      <w:rPr>
        <w:rFonts w:ascii="Courier New" w:hAnsi="Courier New" w:cs="Courier New" w:hint="default"/>
      </w:rPr>
    </w:lvl>
    <w:lvl w:ilvl="2" w:tplc="40090005" w:tentative="1">
      <w:start w:val="1"/>
      <w:numFmt w:val="bullet"/>
      <w:lvlText w:val=""/>
      <w:lvlJc w:val="left"/>
      <w:pPr>
        <w:ind w:left="2360" w:hanging="360"/>
      </w:pPr>
      <w:rPr>
        <w:rFonts w:ascii="Wingdings" w:hAnsi="Wingdings" w:hint="default"/>
      </w:rPr>
    </w:lvl>
    <w:lvl w:ilvl="3" w:tplc="40090001" w:tentative="1">
      <w:start w:val="1"/>
      <w:numFmt w:val="bullet"/>
      <w:lvlText w:val=""/>
      <w:lvlJc w:val="left"/>
      <w:pPr>
        <w:ind w:left="3080" w:hanging="360"/>
      </w:pPr>
      <w:rPr>
        <w:rFonts w:ascii="Symbol" w:hAnsi="Symbol" w:hint="default"/>
      </w:rPr>
    </w:lvl>
    <w:lvl w:ilvl="4" w:tplc="40090003" w:tentative="1">
      <w:start w:val="1"/>
      <w:numFmt w:val="bullet"/>
      <w:lvlText w:val="o"/>
      <w:lvlJc w:val="left"/>
      <w:pPr>
        <w:ind w:left="3800" w:hanging="360"/>
      </w:pPr>
      <w:rPr>
        <w:rFonts w:ascii="Courier New" w:hAnsi="Courier New" w:cs="Courier New" w:hint="default"/>
      </w:rPr>
    </w:lvl>
    <w:lvl w:ilvl="5" w:tplc="40090005" w:tentative="1">
      <w:start w:val="1"/>
      <w:numFmt w:val="bullet"/>
      <w:lvlText w:val=""/>
      <w:lvlJc w:val="left"/>
      <w:pPr>
        <w:ind w:left="4520" w:hanging="360"/>
      </w:pPr>
      <w:rPr>
        <w:rFonts w:ascii="Wingdings" w:hAnsi="Wingdings" w:hint="default"/>
      </w:rPr>
    </w:lvl>
    <w:lvl w:ilvl="6" w:tplc="40090001" w:tentative="1">
      <w:start w:val="1"/>
      <w:numFmt w:val="bullet"/>
      <w:lvlText w:val=""/>
      <w:lvlJc w:val="left"/>
      <w:pPr>
        <w:ind w:left="5240" w:hanging="360"/>
      </w:pPr>
      <w:rPr>
        <w:rFonts w:ascii="Symbol" w:hAnsi="Symbol" w:hint="default"/>
      </w:rPr>
    </w:lvl>
    <w:lvl w:ilvl="7" w:tplc="40090003" w:tentative="1">
      <w:start w:val="1"/>
      <w:numFmt w:val="bullet"/>
      <w:lvlText w:val="o"/>
      <w:lvlJc w:val="left"/>
      <w:pPr>
        <w:ind w:left="5960" w:hanging="360"/>
      </w:pPr>
      <w:rPr>
        <w:rFonts w:ascii="Courier New" w:hAnsi="Courier New" w:cs="Courier New" w:hint="default"/>
      </w:rPr>
    </w:lvl>
    <w:lvl w:ilvl="8" w:tplc="40090005" w:tentative="1">
      <w:start w:val="1"/>
      <w:numFmt w:val="bullet"/>
      <w:lvlText w:val=""/>
      <w:lvlJc w:val="left"/>
      <w:pPr>
        <w:ind w:left="6680" w:hanging="360"/>
      </w:pPr>
      <w:rPr>
        <w:rFonts w:ascii="Wingdings" w:hAnsi="Wingdings" w:hint="default"/>
      </w:rPr>
    </w:lvl>
  </w:abstractNum>
  <w:abstractNum w:abstractNumId="27" w15:restartNumberingAfterBreak="0">
    <w:nsid w:val="7E694DD2"/>
    <w:multiLevelType w:val="hybridMultilevel"/>
    <w:tmpl w:val="8B6AFE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B41E7E"/>
    <w:multiLevelType w:val="multilevel"/>
    <w:tmpl w:val="F75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526276">
    <w:abstractNumId w:val="6"/>
    <w:lvlOverride w:ilvl="0">
      <w:startOverride w:val="1"/>
    </w:lvlOverride>
  </w:num>
  <w:num w:numId="2" w16cid:durableId="292297536">
    <w:abstractNumId w:val="10"/>
  </w:num>
  <w:num w:numId="3" w16cid:durableId="1571231342">
    <w:abstractNumId w:val="12"/>
  </w:num>
  <w:num w:numId="4" w16cid:durableId="1293249725">
    <w:abstractNumId w:val="24"/>
  </w:num>
  <w:num w:numId="5" w16cid:durableId="801848629">
    <w:abstractNumId w:val="18"/>
  </w:num>
  <w:num w:numId="6" w16cid:durableId="359823305">
    <w:abstractNumId w:val="11"/>
  </w:num>
  <w:num w:numId="7" w16cid:durableId="756941387">
    <w:abstractNumId w:val="13"/>
  </w:num>
  <w:num w:numId="8" w16cid:durableId="1343706414">
    <w:abstractNumId w:val="27"/>
  </w:num>
  <w:num w:numId="9" w16cid:durableId="75053356">
    <w:abstractNumId w:val="2"/>
  </w:num>
  <w:num w:numId="10" w16cid:durableId="57021263">
    <w:abstractNumId w:val="25"/>
  </w:num>
  <w:num w:numId="11" w16cid:durableId="35156121">
    <w:abstractNumId w:val="20"/>
  </w:num>
  <w:num w:numId="12" w16cid:durableId="1617441896">
    <w:abstractNumId w:val="14"/>
  </w:num>
  <w:num w:numId="13" w16cid:durableId="1529297499">
    <w:abstractNumId w:val="23"/>
  </w:num>
  <w:num w:numId="14" w16cid:durableId="33386533">
    <w:abstractNumId w:val="26"/>
  </w:num>
  <w:num w:numId="15" w16cid:durableId="275213606">
    <w:abstractNumId w:val="3"/>
  </w:num>
  <w:num w:numId="16" w16cid:durableId="1959484347">
    <w:abstractNumId w:val="21"/>
  </w:num>
  <w:num w:numId="17" w16cid:durableId="553780528">
    <w:abstractNumId w:val="16"/>
  </w:num>
  <w:num w:numId="18" w16cid:durableId="640185325">
    <w:abstractNumId w:val="7"/>
  </w:num>
  <w:num w:numId="19" w16cid:durableId="1007364354">
    <w:abstractNumId w:val="19"/>
  </w:num>
  <w:num w:numId="20" w16cid:durableId="176891706">
    <w:abstractNumId w:val="28"/>
  </w:num>
  <w:num w:numId="21" w16cid:durableId="1256552541">
    <w:abstractNumId w:val="0"/>
  </w:num>
  <w:num w:numId="22" w16cid:durableId="926426786">
    <w:abstractNumId w:val="15"/>
  </w:num>
  <w:num w:numId="23" w16cid:durableId="1091662708">
    <w:abstractNumId w:val="1"/>
  </w:num>
  <w:num w:numId="24" w16cid:durableId="1464543716">
    <w:abstractNumId w:val="5"/>
  </w:num>
  <w:num w:numId="25" w16cid:durableId="1691252011">
    <w:abstractNumId w:val="17"/>
  </w:num>
  <w:num w:numId="26" w16cid:durableId="637802421">
    <w:abstractNumId w:val="8"/>
  </w:num>
  <w:num w:numId="27" w16cid:durableId="272638202">
    <w:abstractNumId w:val="9"/>
  </w:num>
  <w:num w:numId="28" w16cid:durableId="705986548">
    <w:abstractNumId w:val="4"/>
  </w:num>
  <w:num w:numId="29" w16cid:durableId="6787041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25"/>
    <w:rsid w:val="0001277D"/>
    <w:rsid w:val="00027EBC"/>
    <w:rsid w:val="00035F3B"/>
    <w:rsid w:val="00042C1D"/>
    <w:rsid w:val="00043D07"/>
    <w:rsid w:val="00055BCA"/>
    <w:rsid w:val="00057AA2"/>
    <w:rsid w:val="000615AF"/>
    <w:rsid w:val="0008236F"/>
    <w:rsid w:val="000B07AB"/>
    <w:rsid w:val="000B2267"/>
    <w:rsid w:val="000C560E"/>
    <w:rsid w:val="000D4C5E"/>
    <w:rsid w:val="000F0814"/>
    <w:rsid w:val="000F700D"/>
    <w:rsid w:val="00132A3F"/>
    <w:rsid w:val="0013349A"/>
    <w:rsid w:val="00143A59"/>
    <w:rsid w:val="001451C5"/>
    <w:rsid w:val="0015301C"/>
    <w:rsid w:val="00165659"/>
    <w:rsid w:val="00170CD4"/>
    <w:rsid w:val="00173E1A"/>
    <w:rsid w:val="00185F84"/>
    <w:rsid w:val="001967CC"/>
    <w:rsid w:val="001B29B7"/>
    <w:rsid w:val="001B62E5"/>
    <w:rsid w:val="001C403D"/>
    <w:rsid w:val="001E60D4"/>
    <w:rsid w:val="00205A08"/>
    <w:rsid w:val="0021443F"/>
    <w:rsid w:val="0021632E"/>
    <w:rsid w:val="00230730"/>
    <w:rsid w:val="00233A34"/>
    <w:rsid w:val="00253D39"/>
    <w:rsid w:val="00264EBF"/>
    <w:rsid w:val="00267660"/>
    <w:rsid w:val="00271AA0"/>
    <w:rsid w:val="00280490"/>
    <w:rsid w:val="00292CE6"/>
    <w:rsid w:val="002A6BED"/>
    <w:rsid w:val="002C02EC"/>
    <w:rsid w:val="002D2714"/>
    <w:rsid w:val="002D75C1"/>
    <w:rsid w:val="0030383D"/>
    <w:rsid w:val="00350C56"/>
    <w:rsid w:val="0037747C"/>
    <w:rsid w:val="0037755D"/>
    <w:rsid w:val="00395FE2"/>
    <w:rsid w:val="0039670E"/>
    <w:rsid w:val="00397367"/>
    <w:rsid w:val="003C178D"/>
    <w:rsid w:val="003C7483"/>
    <w:rsid w:val="003E2283"/>
    <w:rsid w:val="003F0330"/>
    <w:rsid w:val="00437B33"/>
    <w:rsid w:val="0044056B"/>
    <w:rsid w:val="00450E43"/>
    <w:rsid w:val="0045182A"/>
    <w:rsid w:val="00457410"/>
    <w:rsid w:val="004708D1"/>
    <w:rsid w:val="004800DB"/>
    <w:rsid w:val="0048508F"/>
    <w:rsid w:val="004851E6"/>
    <w:rsid w:val="0049451F"/>
    <w:rsid w:val="004B6239"/>
    <w:rsid w:val="004B628F"/>
    <w:rsid w:val="004C11CC"/>
    <w:rsid w:val="004C4E6A"/>
    <w:rsid w:val="004E0858"/>
    <w:rsid w:val="004E1B03"/>
    <w:rsid w:val="004F2BF5"/>
    <w:rsid w:val="004F5214"/>
    <w:rsid w:val="004F6773"/>
    <w:rsid w:val="00501A4D"/>
    <w:rsid w:val="005129CA"/>
    <w:rsid w:val="00515C5F"/>
    <w:rsid w:val="00517153"/>
    <w:rsid w:val="00541EC8"/>
    <w:rsid w:val="005505C7"/>
    <w:rsid w:val="00551841"/>
    <w:rsid w:val="00553CE8"/>
    <w:rsid w:val="0056332B"/>
    <w:rsid w:val="005744D2"/>
    <w:rsid w:val="00577D4F"/>
    <w:rsid w:val="00582A5E"/>
    <w:rsid w:val="005A6729"/>
    <w:rsid w:val="005B3ACA"/>
    <w:rsid w:val="00603219"/>
    <w:rsid w:val="006065A9"/>
    <w:rsid w:val="00606E88"/>
    <w:rsid w:val="0062142D"/>
    <w:rsid w:val="00631ED0"/>
    <w:rsid w:val="00646672"/>
    <w:rsid w:val="00660E15"/>
    <w:rsid w:val="00665AC1"/>
    <w:rsid w:val="0066628C"/>
    <w:rsid w:val="006665E2"/>
    <w:rsid w:val="0067248B"/>
    <w:rsid w:val="00680460"/>
    <w:rsid w:val="00680578"/>
    <w:rsid w:val="006A130C"/>
    <w:rsid w:val="006A581C"/>
    <w:rsid w:val="006A640E"/>
    <w:rsid w:val="006B1E57"/>
    <w:rsid w:val="006B5A87"/>
    <w:rsid w:val="006C2BB9"/>
    <w:rsid w:val="006D1E78"/>
    <w:rsid w:val="006D1EE7"/>
    <w:rsid w:val="00705FDC"/>
    <w:rsid w:val="0072276F"/>
    <w:rsid w:val="00722888"/>
    <w:rsid w:val="00734FE0"/>
    <w:rsid w:val="00737363"/>
    <w:rsid w:val="00744B65"/>
    <w:rsid w:val="0076154E"/>
    <w:rsid w:val="00761FD2"/>
    <w:rsid w:val="007638AC"/>
    <w:rsid w:val="007733FE"/>
    <w:rsid w:val="00773AF6"/>
    <w:rsid w:val="007801C0"/>
    <w:rsid w:val="00793134"/>
    <w:rsid w:val="00796AC2"/>
    <w:rsid w:val="007C222A"/>
    <w:rsid w:val="007C2330"/>
    <w:rsid w:val="007C4BE0"/>
    <w:rsid w:val="007D563A"/>
    <w:rsid w:val="007E341C"/>
    <w:rsid w:val="007F21F9"/>
    <w:rsid w:val="00810BAC"/>
    <w:rsid w:val="008136F2"/>
    <w:rsid w:val="00816773"/>
    <w:rsid w:val="0082296D"/>
    <w:rsid w:val="0085062E"/>
    <w:rsid w:val="008545E0"/>
    <w:rsid w:val="0086717B"/>
    <w:rsid w:val="00884683"/>
    <w:rsid w:val="00885DDA"/>
    <w:rsid w:val="008A09F9"/>
    <w:rsid w:val="008A0A9E"/>
    <w:rsid w:val="008B27C8"/>
    <w:rsid w:val="008C342A"/>
    <w:rsid w:val="008E7FA6"/>
    <w:rsid w:val="008F325E"/>
    <w:rsid w:val="009008C3"/>
    <w:rsid w:val="00901E06"/>
    <w:rsid w:val="00920A3F"/>
    <w:rsid w:val="00933662"/>
    <w:rsid w:val="00935A0B"/>
    <w:rsid w:val="00943682"/>
    <w:rsid w:val="009476D2"/>
    <w:rsid w:val="009636A9"/>
    <w:rsid w:val="00967FF0"/>
    <w:rsid w:val="00974479"/>
    <w:rsid w:val="009917D4"/>
    <w:rsid w:val="00993AA7"/>
    <w:rsid w:val="009A1675"/>
    <w:rsid w:val="009E4D65"/>
    <w:rsid w:val="009E7A98"/>
    <w:rsid w:val="009F6441"/>
    <w:rsid w:val="009F7933"/>
    <w:rsid w:val="00A1002F"/>
    <w:rsid w:val="00A33136"/>
    <w:rsid w:val="00A345BA"/>
    <w:rsid w:val="00A421D2"/>
    <w:rsid w:val="00A45377"/>
    <w:rsid w:val="00A47841"/>
    <w:rsid w:val="00A61D5F"/>
    <w:rsid w:val="00A661E1"/>
    <w:rsid w:val="00A92DCA"/>
    <w:rsid w:val="00A9558F"/>
    <w:rsid w:val="00AD0FBC"/>
    <w:rsid w:val="00AD554A"/>
    <w:rsid w:val="00AF1EE4"/>
    <w:rsid w:val="00AF380C"/>
    <w:rsid w:val="00B025E6"/>
    <w:rsid w:val="00B26808"/>
    <w:rsid w:val="00B34E2E"/>
    <w:rsid w:val="00B4021A"/>
    <w:rsid w:val="00B676A9"/>
    <w:rsid w:val="00B701FD"/>
    <w:rsid w:val="00B77766"/>
    <w:rsid w:val="00B810EA"/>
    <w:rsid w:val="00B82304"/>
    <w:rsid w:val="00B83D56"/>
    <w:rsid w:val="00BA447A"/>
    <w:rsid w:val="00BB4BAD"/>
    <w:rsid w:val="00BC5169"/>
    <w:rsid w:val="00BD06B4"/>
    <w:rsid w:val="00BD2189"/>
    <w:rsid w:val="00BE297A"/>
    <w:rsid w:val="00BF4B62"/>
    <w:rsid w:val="00C06B25"/>
    <w:rsid w:val="00C15A6C"/>
    <w:rsid w:val="00C17DF0"/>
    <w:rsid w:val="00C22BAD"/>
    <w:rsid w:val="00C26AAE"/>
    <w:rsid w:val="00C500A5"/>
    <w:rsid w:val="00C57D62"/>
    <w:rsid w:val="00C6562B"/>
    <w:rsid w:val="00C80B18"/>
    <w:rsid w:val="00C86027"/>
    <w:rsid w:val="00C94181"/>
    <w:rsid w:val="00CA7A56"/>
    <w:rsid w:val="00CB0C9C"/>
    <w:rsid w:val="00CB3E7C"/>
    <w:rsid w:val="00CB50FD"/>
    <w:rsid w:val="00CC3441"/>
    <w:rsid w:val="00D03F1B"/>
    <w:rsid w:val="00D05F16"/>
    <w:rsid w:val="00D134CD"/>
    <w:rsid w:val="00D13D3C"/>
    <w:rsid w:val="00D27BE9"/>
    <w:rsid w:val="00D74DC4"/>
    <w:rsid w:val="00D75714"/>
    <w:rsid w:val="00D91157"/>
    <w:rsid w:val="00D91831"/>
    <w:rsid w:val="00D94B94"/>
    <w:rsid w:val="00D97135"/>
    <w:rsid w:val="00DB0DDD"/>
    <w:rsid w:val="00DB1520"/>
    <w:rsid w:val="00DB1BA8"/>
    <w:rsid w:val="00DC584C"/>
    <w:rsid w:val="00DD1DA6"/>
    <w:rsid w:val="00DD5C15"/>
    <w:rsid w:val="00DE07BE"/>
    <w:rsid w:val="00DE103B"/>
    <w:rsid w:val="00DE36CF"/>
    <w:rsid w:val="00DE57A6"/>
    <w:rsid w:val="00DF3B03"/>
    <w:rsid w:val="00DF5AA1"/>
    <w:rsid w:val="00E03995"/>
    <w:rsid w:val="00E05D85"/>
    <w:rsid w:val="00E074F9"/>
    <w:rsid w:val="00E30703"/>
    <w:rsid w:val="00E36D00"/>
    <w:rsid w:val="00E44389"/>
    <w:rsid w:val="00E464F8"/>
    <w:rsid w:val="00E57A4B"/>
    <w:rsid w:val="00E60158"/>
    <w:rsid w:val="00E82531"/>
    <w:rsid w:val="00EA016E"/>
    <w:rsid w:val="00EB51DD"/>
    <w:rsid w:val="00EB5D38"/>
    <w:rsid w:val="00EB7FE9"/>
    <w:rsid w:val="00EC2A5B"/>
    <w:rsid w:val="00ED0099"/>
    <w:rsid w:val="00EE3C79"/>
    <w:rsid w:val="00F25F81"/>
    <w:rsid w:val="00F27A22"/>
    <w:rsid w:val="00F5299B"/>
    <w:rsid w:val="00F53845"/>
    <w:rsid w:val="00F5664F"/>
    <w:rsid w:val="00F56AEE"/>
    <w:rsid w:val="00F611C2"/>
    <w:rsid w:val="00F703D8"/>
    <w:rsid w:val="00F7631F"/>
    <w:rsid w:val="00F82EEE"/>
    <w:rsid w:val="00F85CC4"/>
    <w:rsid w:val="00F96C28"/>
    <w:rsid w:val="00FA4A00"/>
    <w:rsid w:val="00FE0255"/>
    <w:rsid w:val="00FE2A09"/>
    <w:rsid w:val="00FE380E"/>
    <w:rsid w:val="00FF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7B491"/>
  <w15:docId w15:val="{7A661FE8-DB1A-4E81-989B-050B6A0BD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5C4E"/>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33FE"/>
    <w:pPr>
      <w:tabs>
        <w:tab w:val="center" w:pos="4513"/>
        <w:tab w:val="right" w:pos="9026"/>
      </w:tabs>
    </w:pPr>
  </w:style>
  <w:style w:type="character" w:customStyle="1" w:styleId="HeaderChar">
    <w:name w:val="Header Char"/>
    <w:basedOn w:val="DefaultParagraphFont"/>
    <w:link w:val="Header"/>
    <w:uiPriority w:val="99"/>
    <w:rsid w:val="007733FE"/>
  </w:style>
  <w:style w:type="paragraph" w:styleId="Footer">
    <w:name w:val="footer"/>
    <w:basedOn w:val="Normal"/>
    <w:link w:val="FooterChar"/>
    <w:uiPriority w:val="99"/>
    <w:unhideWhenUsed/>
    <w:rsid w:val="007733FE"/>
    <w:pPr>
      <w:tabs>
        <w:tab w:val="center" w:pos="4513"/>
        <w:tab w:val="right" w:pos="9026"/>
      </w:tabs>
    </w:pPr>
  </w:style>
  <w:style w:type="character" w:customStyle="1" w:styleId="FooterChar">
    <w:name w:val="Footer Char"/>
    <w:basedOn w:val="DefaultParagraphFont"/>
    <w:link w:val="Footer"/>
    <w:uiPriority w:val="99"/>
    <w:rsid w:val="007733FE"/>
  </w:style>
  <w:style w:type="paragraph" w:customStyle="1" w:styleId="font-claude-response-body">
    <w:name w:val="font-claude-response-body"/>
    <w:basedOn w:val="Normal"/>
    <w:rsid w:val="004B6239"/>
    <w:pPr>
      <w:spacing w:before="100" w:beforeAutospacing="1" w:after="100" w:afterAutospacing="1"/>
    </w:pPr>
    <w:rPr>
      <w:rFonts w:ascii="Times New Roman" w:eastAsia="Times New Roman" w:hAnsi="Times New Roman" w:cs="Times New Roman"/>
      <w:color w:val="auto"/>
      <w:sz w:val="24"/>
      <w:szCs w:val="24"/>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35A0B"/>
    <w:rPr>
      <w:b/>
      <w:bCs/>
    </w:rPr>
  </w:style>
  <w:style w:type="character" w:customStyle="1" w:styleId="CommentSubjectChar">
    <w:name w:val="Comment Subject Char"/>
    <w:basedOn w:val="CommentTextChar"/>
    <w:link w:val="CommentSubject"/>
    <w:uiPriority w:val="99"/>
    <w:semiHidden/>
    <w:rsid w:val="00935A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5875</Words>
  <Characters>33489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Sandeep Luthra</cp:lastModifiedBy>
  <cp:revision>2</cp:revision>
  <cp:lastPrinted>2026-09-07T07:04:00Z</cp:lastPrinted>
  <dcterms:created xsi:type="dcterms:W3CDTF">2026-09-14T11:25:00Z</dcterms:created>
  <dcterms:modified xsi:type="dcterms:W3CDTF">2026-09-14T11:25:00Z</dcterms:modified>
</cp:coreProperties>
</file>