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Respondent Profile and Sampling Plan</w:t>
      </w:r>
    </w:p>
    <w:p>
      <w:pPr>
        <w:jc w:val="center"/>
      </w:pPr>
      <w:r>
        <w:rPr>
          <w:rFonts w:ascii="Aptos" w:hAnsi="Aptos"/>
          <w:i/>
          <w:sz w:val="22"/>
        </w:rPr>
        <w:t>Respondent documentation, sampling justification, and risk flags</w:t>
      </w:r>
    </w:p>
    <w:p/>
    <w:p>
      <w:pPr>
        <w:pStyle w:val="Heading1"/>
      </w:pPr>
      <w:r>
        <w:t>Purpose of This Document</w:t>
      </w:r>
    </w:p>
    <w:p>
      <w:r>
        <w:t>Prepare the respondent profile section and sampling explanation for Chapter 4.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Statistician packet proposes respondent groups</w:t>
      </w:r>
    </w:p>
    <w:p>
      <w:pPr>
        <w:pStyle w:val="ListBullet"/>
        <w:spacing w:after="40"/>
      </w:pPr>
      <w:r>
        <w:t>ISO questionnaire draft exists</w:t>
      </w:r>
    </w:p>
    <w:p>
      <w:pPr>
        <w:pStyle w:val="ListBullet"/>
        <w:spacing w:after="40"/>
      </w:pPr>
      <w:r>
        <w:t>Nutrition expert and CS/IT validation instruments exist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respondent count</w:t>
      </w:r>
    </w:p>
    <w:p>
      <w:pPr>
        <w:pStyle w:val="ListBullet"/>
        <w:spacing w:after="40"/>
      </w:pPr>
      <w:r>
        <w:t>Final qualified PCOS respondent list/count</w:t>
      </w:r>
    </w:p>
    <w:p>
      <w:pPr>
        <w:pStyle w:val="ListBullet"/>
        <w:spacing w:after="40"/>
      </w:pPr>
      <w:r>
        <w:t>Sampling approval from statistician</w:t>
      </w:r>
    </w:p>
    <w:p>
      <w:pPr>
        <w:pStyle w:val="ListBullet"/>
        <w:spacing w:after="40"/>
      </w:pPr>
      <w:r>
        <w:t>Consent and exclusion handling notes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Respondent Group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Respondent Group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Inclusion Criteria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Exclusion Criteria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Data Needed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Documentation Risk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Diagnosed PCOS users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Self-reported diagnosis or study-approved qualification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Non-consenting users, underage users if excluded by protocol, incomplete responses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Count, age range if collected, consent, experience with meal planning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 if no final qualified count or consent record is attached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Suspected PCOS users if included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Symptoms or self-identification allowed by approved methodology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Anyone outside approved inclusion scope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Clear label separating suspected from diagnosed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 if mixed with diagnosed users without explanation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Representative student/end-user evaluators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Qualified testers approved by adviser if PCOS respondent access is limited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Unqualified random respondents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Role, reason for inclusion, limitation note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Medium to high depending on statistician approval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experts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Reviewer with technical/software validation role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Nontechnical respondent counted as expert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Credentials/role, signed validation form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 if no signed validation evidence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RND/nutrition expert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Nutrition/health domain reviewer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Medical claims beyond reviewer scope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Credentials/role, signed ratings/comments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 if no RND result is attached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Methodology/statistical-treatment reviewer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Approval of sample size, scale, formulas, reliability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 if missing</w:t>
            </w:r>
          </w:p>
        </w:tc>
      </w:tr>
    </w:tbl>
    <w:p/>
    <w:p>
      <w:pPr>
        <w:pStyle w:val="Heading1"/>
      </w:pPr>
      <w:r>
        <w:t>Safe Low-Sample Wording</w:t>
      </w:r>
    </w:p>
    <w:p>
      <w:r>
        <w:t>If the statistician validates the sample size, use this wording: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Draft wording: </w:t>
            </w:r>
            <w:r>
              <w:rPr>
                <w:rFonts w:ascii="Aptos" w:hAnsi="Aptos"/>
                <w:sz w:val="20"/>
              </w:rPr>
              <w:t>The number of respondents was based on the actual qualified and willing participants available within the study period and was reviewed with/statistically guided by the statistician.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Risk note: </w:t>
            </w:r>
            <w:r>
              <w:rPr>
                <w:rFonts w:ascii="Aptos" w:hAnsi="Aptos"/>
                <w:sz w:val="20"/>
              </w:rPr>
              <w:t>If statistician validation is missing, sample-size justification is a high-risk defense gap.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approval of sample size and sampling method</w:t>
      </w:r>
    </w:p>
    <w:p>
      <w:pPr>
        <w:pStyle w:val="ListBullet"/>
        <w:spacing w:after="40"/>
      </w:pPr>
      <w:r>
        <w:t>Adviser approval of inclusion/exclusion criteria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Export respondent profile counts</w:t>
      </w:r>
    </w:p>
    <w:p>
      <w:pPr>
        <w:pStyle w:val="ListBullet"/>
        <w:spacing w:after="40"/>
      </w:pPr>
      <w:r>
        <w:t>Separate end users from expert validators</w:t>
      </w:r>
    </w:p>
    <w:p>
      <w:pPr>
        <w:pStyle w:val="ListBullet"/>
        <w:spacing w:after="40"/>
      </w:pPr>
      <w:r>
        <w:t>Document any suspected-PCOS respondents separately from diagnosed-PCOS respondents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/ Survey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Panel may challenge validity if respondent groups are mixed or sample size is unsupported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