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F4E3D"/>
          <w:sz w:val="40"/>
        </w:rPr>
        <w:t>Statistical Treatment and Computation Formula Inventory</w:t>
      </w:r>
    </w:p>
    <w:p>
      <w:pPr>
        <w:jc w:val="center"/>
      </w:pPr>
      <w:r>
        <w:rPr>
          <w:rFonts w:ascii="Aptos" w:hAnsi="Aptos"/>
          <w:i/>
          <w:sz w:val="22"/>
        </w:rPr>
        <w:t>Formula evidence, computation status, and validator ownership</w:t>
      </w:r>
    </w:p>
    <w:p/>
    <w:p>
      <w:pPr>
        <w:pStyle w:val="Heading1"/>
      </w:pPr>
      <w:r>
        <w:t>Purpose of This Document</w:t>
      </w:r>
    </w:p>
    <w:p>
      <w:r>
        <w:t>Document all statistical and system formulas used in Chapters 4-6.</w:t>
      </w:r>
    </w:p>
    <w:p>
      <w:pPr>
        <w:pStyle w:val="Heading1"/>
      </w:pPr>
      <w:r>
        <w:t>Related SOP / Objectives</w:t>
      </w:r>
    </w:p>
    <w:p>
      <w:pPr>
        <w:pStyle w:val="ListBullet"/>
        <w:spacing w:after="40"/>
      </w:pPr>
      <w:r>
        <w:t>Develop and evaluate PCOSINA as an offline-first Filipino-PCOS wellness meal-planning decision-support application.</w:t>
      </w:r>
    </w:p>
    <w:p>
      <w:pPr>
        <w:pStyle w:val="ListBullet"/>
        <w:spacing w:after="40"/>
      </w:pPr>
      <w:r>
        <w:t>Design and validate deterministic preference-aware filtering and deterministic optimizer-backed weekly meal planning.</w:t>
      </w:r>
    </w:p>
    <w:p>
      <w:pPr>
        <w:pStyle w:val="ListBullet"/>
        <w:spacing w:after="40"/>
      </w:pPr>
      <w:r>
        <w:t>Evaluate personalization using profile, allergy, restriction, budget, pantry, and PCOS-related nutrition criteria.</w:t>
      </w:r>
    </w:p>
    <w:p>
      <w:pPr>
        <w:pStyle w:val="ListBullet"/>
        <w:spacing w:after="40"/>
      </w:pPr>
      <w:r>
        <w:t>Evaluate grocery, pantry, progress, and usability support using respondents, validators, and system evidence.</w:t>
      </w:r>
    </w:p>
    <w:p>
      <w:pPr>
        <w:pStyle w:val="ListBullet"/>
        <w:spacing w:after="40"/>
      </w:pPr>
      <w:r>
        <w:t>Document limitations and future work without claiming diagnosis, treatment, or clinical outcome improvement.</w:t>
      </w:r>
    </w:p>
    <w:p>
      <w:pPr>
        <w:pStyle w:val="Heading1"/>
      </w:pPr>
      <w:r>
        <w:t>Evidence Found in Repo / System</w:t>
      </w:r>
    </w:p>
    <w:p>
      <w:pPr>
        <w:pStyle w:val="ListBullet"/>
        <w:spacing w:after="40"/>
      </w:pPr>
      <w:r>
        <w:t>docs/thesis_validation/02_FORMULAS_AND_COMPUTATIONS.md</w:t>
      </w:r>
    </w:p>
    <w:p>
      <w:pPr>
        <w:pStyle w:val="ListBullet"/>
        <w:spacing w:after="40"/>
      </w:pPr>
      <w:r>
        <w:t>docs/thesis_validation/06_SAMPLE_MANUAL_COMPUTATION.md</w:t>
      </w:r>
    </w:p>
    <w:p>
      <w:pPr>
        <w:pStyle w:val="ListBullet"/>
        <w:spacing w:after="40"/>
      </w:pPr>
      <w:r>
        <w:t>docs/thesis_validation/07_CHAPTER_4_TABLES_READY.md</w:t>
      </w:r>
    </w:p>
    <w:p>
      <w:pPr>
        <w:pStyle w:val="ListBullet"/>
        <w:spacing w:after="40"/>
      </w:pPr>
      <w:r>
        <w:t>app/src/main/java/com/pcosina/app/domain/HealthMetrics.kt</w:t>
      </w:r>
    </w:p>
    <w:p>
      <w:pPr>
        <w:pStyle w:val="ListBullet"/>
        <w:spacing w:after="40"/>
      </w:pPr>
      <w:r>
        <w:t>backend/services/meal_planner.py</w:t>
      </w:r>
    </w:p>
    <w:p>
      <w:pPr>
        <w:pStyle w:val="Heading1"/>
      </w:pPr>
      <w:r>
        <w:t>Missing Evidence</w:t>
      </w:r>
    </w:p>
    <w:p>
      <w:pPr>
        <w:pStyle w:val="ListBullet"/>
        <w:spacing w:after="40"/>
      </w:pPr>
      <w:r>
        <w:t>Final computed statistical tables</w:t>
      </w:r>
    </w:p>
    <w:p>
      <w:pPr>
        <w:pStyle w:val="ListBullet"/>
        <w:spacing w:after="40"/>
      </w:pPr>
      <w:r>
        <w:t>Final manual-vs-system worksheet</w:t>
      </w:r>
    </w:p>
    <w:p>
      <w:pPr>
        <w:pStyle w:val="ListBullet"/>
        <w:spacing w:after="40"/>
      </w:pPr>
      <w:r>
        <w:t>Validator signatures</w:t>
      </w:r>
    </w:p>
    <w:p>
      <w:pPr>
        <w:pStyle w:val="Heading1"/>
      </w:pPr>
      <w:r>
        <w:t>Required Tables / Outputs</w:t>
      </w:r>
    </w:p>
    <w:p>
      <w:pPr>
        <w:pStyle w:val="ListBullet"/>
        <w:spacing w:after="40"/>
      </w:pPr>
      <w:r>
        <w:t>Primary thesis table or matrix for this topic.</w:t>
      </w:r>
    </w:p>
    <w:p>
      <w:pPr>
        <w:pStyle w:val="ListBullet"/>
        <w:spacing w:after="40"/>
      </w:pPr>
      <w:r>
        <w:t>Evidence source list with file paths or validator source.</w:t>
      </w:r>
    </w:p>
    <w:p>
      <w:pPr>
        <w:pStyle w:val="ListBullet"/>
        <w:spacing w:after="40"/>
      </w:pPr>
      <w:r>
        <w:t>Gap and action list for missing evidence.</w:t>
      </w:r>
    </w:p>
    <w:p>
      <w:pPr>
        <w:pStyle w:val="ListBullet"/>
        <w:spacing w:after="40"/>
      </w:pPr>
      <w:r>
        <w:t>Owner-ready checklist for completion.</w:t>
      </w:r>
    </w:p>
    <w:p>
      <w:pPr>
        <w:pStyle w:val="Heading1"/>
      </w:pPr>
      <w:r>
        <w:t>Draft-Ready Thesis Wording</w:t>
      </w:r>
    </w:p>
    <w:p>
      <w:pPr>
        <w:pStyle w:val="ListBullet"/>
        <w:spacing w:after="40"/>
      </w:pPr>
      <w:r>
        <w:t>PCOSINA was evaluated as a wellness-oriented dietary decision-support prototype, not as a diagnostic or treatment system.</w:t>
      </w:r>
    </w:p>
    <w:p>
      <w:pPr>
        <w:pStyle w:val="ListBullet"/>
        <w:spacing w:after="40"/>
      </w:pPr>
      <w:r>
        <w:t>The findings should be interpreted within the scope of system evaluation, respondent perception, expert review, and implemented computation validation.</w:t>
      </w:r>
    </w:p>
    <w:p>
      <w:pPr>
        <w:pStyle w:val="ListBullet"/>
        <w:spacing w:after="40"/>
      </w:pPr>
      <w:r>
        <w:t>Where final survey or expert results are not yet attached, the manuscript should state that the table is prepared for completion rather than reporting invented values.</w:t>
      </w:r>
    </w:p>
    <w:p>
      <w:pPr>
        <w:pStyle w:val="Heading1"/>
      </w:pPr>
      <w:r>
        <w:t>Formula Inventory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D9EAD3"/>
          </w:tcPr>
          <w:p>
            <w:pPr>
              <w:jc w:val="left"/>
            </w:pPr>
            <w:r/>
            <w:r>
              <w:rPr>
                <w:rFonts w:ascii="Aptos" w:hAnsi="Aptos"/>
                <w:b/>
                <w:sz w:val="18"/>
              </w:rPr>
              <w:t>Formula / Computation</w:t>
            </w:r>
          </w:p>
        </w:tc>
        <w:tc>
          <w:tcPr>
            <w:tcW w:type="dxa" w:w="1296"/>
            <w:shd w:fill="D9EAD3"/>
          </w:tcPr>
          <w:p>
            <w:pPr>
              <w:jc w:val="left"/>
            </w:pPr>
            <w:r/>
            <w:r>
              <w:rPr>
                <w:rFonts w:ascii="Aptos" w:hAnsi="Aptos"/>
                <w:b/>
                <w:sz w:val="18"/>
              </w:rPr>
              <w:t>Purpose</w:t>
            </w:r>
          </w:p>
        </w:tc>
        <w:tc>
          <w:tcPr>
            <w:tcW w:type="dxa" w:w="1296"/>
            <w:shd w:fill="D9EAD3"/>
          </w:tcPr>
          <w:p>
            <w:pPr>
              <w:jc w:val="left"/>
            </w:pPr>
            <w:r/>
            <w:r>
              <w:rPr>
                <w:rFonts w:ascii="Aptos" w:hAnsi="Aptos"/>
                <w:b/>
                <w:sz w:val="18"/>
              </w:rPr>
              <w:t>Exact Formula</w:t>
            </w:r>
          </w:p>
        </w:tc>
        <w:tc>
          <w:tcPr>
            <w:tcW w:type="dxa" w:w="1296"/>
            <w:shd w:fill="D9EAD3"/>
          </w:tcPr>
          <w:p>
            <w:pPr>
              <w:jc w:val="left"/>
            </w:pPr>
            <w:r/>
            <w:r>
              <w:rPr>
                <w:rFonts w:ascii="Aptos" w:hAnsi="Aptos"/>
                <w:b/>
                <w:sz w:val="18"/>
              </w:rPr>
              <w:t>Used In</w:t>
            </w:r>
          </w:p>
        </w:tc>
        <w:tc>
          <w:tcPr>
            <w:tcW w:type="dxa" w:w="1296"/>
            <w:shd w:fill="D9EAD3"/>
          </w:tcPr>
          <w:p>
            <w:pPr>
              <w:jc w:val="left"/>
            </w:pPr>
            <w:r/>
            <w:r>
              <w:rPr>
                <w:rFonts w:ascii="Aptos" w:hAnsi="Aptos"/>
                <w:b/>
                <w:sz w:val="18"/>
              </w:rPr>
              <w:t>Data Needed</w:t>
            </w:r>
          </w:p>
        </w:tc>
        <w:tc>
          <w:tcPr>
            <w:tcW w:type="dxa" w:w="1296"/>
            <w:shd w:fill="D9EAD3"/>
          </w:tcPr>
          <w:p>
            <w:pPr>
              <w:jc w:val="left"/>
            </w:pPr>
            <w:r/>
            <w:r>
              <w:rPr>
                <w:rFonts w:ascii="Aptos" w:hAnsi="Aptos"/>
                <w:b/>
                <w:sz w:val="18"/>
              </w:rPr>
              <w:t>Current Evidence</w:t>
            </w:r>
          </w:p>
        </w:tc>
        <w:tc>
          <w:tcPr>
            <w:tcW w:type="dxa" w:w="1296"/>
            <w:shd w:fill="D9EAD3"/>
          </w:tcPr>
          <w:p>
            <w:pPr>
              <w:jc w:val="left"/>
            </w:pPr>
            <w:r/>
            <w:r>
              <w:rPr>
                <w:rFonts w:ascii="Aptos" w:hAnsi="Aptos"/>
                <w:b/>
                <w:sz w:val="18"/>
              </w:rPr>
              <w:t>Validator Needed</w:t>
            </w:r>
          </w:p>
        </w:tc>
        <w:tc>
          <w:tcPr>
            <w:tcW w:type="dxa" w:w="1296"/>
            <w:shd w:fill="D9EAD3"/>
          </w:tcPr>
          <w:p>
            <w:pPr>
              <w:jc w:val="left"/>
            </w:pPr>
            <w:r/>
            <w:r>
              <w:rPr>
                <w:rFonts w:ascii="Aptos" w:hAnsi="Aptos"/>
                <w:b/>
                <w:sz w:val="18"/>
              </w:rPr>
              <w:t>Status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Frequency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Count responses per option or category.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f = number of responses in a category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Survey/profile/test pass-fail tables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Raw response matrix or validation worksheet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Statistician packet recommends it; final data missing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Statistician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Needs statistician validation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Percentage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Express category counts as proportion of respondents.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Percentage = (f / N) x 100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Respondent profile, pass/fail validation, answer distributions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Frequency and total N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Formula documented as recommended treatment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Statistician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Needs statistician validation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Weighted Mean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Summarize Likert responses.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Weighted Mean = sum(f x weight) / N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ISO/IEC 25010 tables and expert ratings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Likert-coded response matrix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Questionnaire draft and statistician packet exist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Statistician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Needs statistician validation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Cronbach's Alpha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Assess internal consistency if required.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alpha = (k/(k-1)) x (1 - sum(item variances)/total variance)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Reliability table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Completed respondent matrix by scale category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Recommended only; no computed result found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Statistician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Needs statistician validation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Absolute Error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Compare system computation to reference computation.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Absolute Error = |System Value - Reference Value|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Manual computation validation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System output and manual/reference output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Requested and planned; worksheet still needed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Statistician / Lead Developer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Needs developer confirmation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Percent Error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Normalize computation difference by reference value.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Percent Error = (Absolute Error / Reference Value) x 100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Manual computation validation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Nonzero reference value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Requested and planned; zero-reference handling needed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Statistician / Lead Developer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Needs statistician validation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BMI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Compute body mass index for Android-side profile feedback.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BMI = weightKg / ((heightCm / 100)^2)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Profile and manual computation validation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weightKg, heightCm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Confirmed in app/src/main/java/com/pcosina/app/domain/HealthMetrics.kt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Lead Developer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Confirmed in code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BMR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Estimate baseline energy needs.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BMR = (10 x weightKg) + (6.25 x heightCm) - (5 x age) - 161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Calorie target preview and backend planning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age, weightKg, heightCm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Confirmed in Android HealthMetrics and backend meal_planner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RND / Lead Developer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Confirmed in code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TDEE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Estimate total daily energy expenditure.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TDEE = BMR x activity multiplier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Calorie target preview and backend planning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BMR, activityLevel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Confirmed in Android and backend; rounding differs by one kcal in sample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RND / Lead Developer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Confirmed in code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Calorie Target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Derive daily target from TDEE and goal.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Weight Loss applies -500 kcal; backend also applies symptom deltas and clamps policy bounds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Planner target and profile preview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BMR/TDEE, goal, symptom state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Confirmed in docs/thesis_validation/02_FORMULAS_AND_COMPUTATIONS.md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RND / Lead Developer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Confirmed in code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Macro Gram Conversion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Convert target calories into protein, carbs, and fat grams.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protein = int(kcal x ratio / 4), carbs = int(kcal x ratio / 4), fats = int(kcal x ratio / 9)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Backend planner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targetCalories, insulinResistanceLevel, policy bounds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Backend-only; Android HealthMetrics does not independently compute macros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RND / Lead Developer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Confirmed in code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Grocery / Budget Total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Estimate grocery costs and budget behavior.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Android price rule scan + quantity factor + minimum PHP 5; backend estimate_price_detail and recipe cost rules differ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Grocery and planning cost evidence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ingredients, quantities, price rules, budget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Confirmed in Android PriceCatalog and backend price_catalog; catalogs are not unified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Lead Developer / CS-IT Expert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Confirmed in code with gap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Meal Adherence / Progress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Summarize self-reported meal logs.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completed meal count / planned meal count where progress logs exist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Progress screen and Chapter 4 self-reported tracking discussion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Daily logs and planned meals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Implemented in app progress domain/view-model paths; should be described as self-reported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Lead Developer</w:t>
            </w:r>
          </w:p>
        </w:tc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Confirmed in code</w:t>
            </w:r>
          </w:p>
        </w:tc>
      </w:tr>
    </w:tbl>
    <w:p/>
    <w:p>
      <w:pPr>
        <w:pStyle w:val="Heading1"/>
      </w:pPr>
      <w:r>
        <w:t>Critical Formula Notes</w:t>
      </w:r>
    </w:p>
    <w:p>
      <w:pPr>
        <w:pStyle w:val="ListBullet"/>
        <w:spacing w:after="40"/>
      </w:pPr>
      <w:r>
        <w:t>Android TDEE and calorie preview can differ from backend by one kcal because Android rounds while backend uses integer conversion.</w:t>
      </w:r>
    </w:p>
    <w:p>
      <w:pPr>
        <w:pStyle w:val="ListBullet"/>
        <w:spacing w:after="40"/>
      </w:pPr>
      <w:r>
        <w:t>Macro targets are backend-only in the documented formula evidence; do not claim Android independently computes macro targets unless code changes later.</w:t>
      </w:r>
    </w:p>
    <w:p>
      <w:pPr>
        <w:pStyle w:val="ListBullet"/>
        <w:spacing w:after="40"/>
      </w:pPr>
      <w:r>
        <w:t>Android and backend price catalogs are separate and may not produce identical estimated prices.</w:t>
      </w:r>
    </w:p>
    <w:p>
      <w:pPr>
        <w:pStyle w:val="ListBullet"/>
        <w:spacing w:after="40"/>
      </w:pPr>
      <w:r>
        <w:t>Percent error is invalid when the reference value is zero; report absolute error or special handling for zero-reference cases.</w:t>
      </w:r>
    </w:p>
    <w:p>
      <w:pPr>
        <w:pStyle w:val="Heading1"/>
      </w:pPr>
      <w:r>
        <w:t>Validation Needed</w:t>
      </w:r>
    </w:p>
    <w:p>
      <w:pPr>
        <w:pStyle w:val="ListBullet"/>
        <w:spacing w:after="40"/>
      </w:pPr>
      <w:r>
        <w:t>Statistician validation of statistical treatment</w:t>
      </w:r>
    </w:p>
    <w:p>
      <w:pPr>
        <w:pStyle w:val="ListBullet"/>
        <w:spacing w:after="40"/>
      </w:pPr>
      <w:r>
        <w:t>RND validation of nutrition formulas and safe presentation</w:t>
      </w:r>
    </w:p>
    <w:p>
      <w:pPr>
        <w:pStyle w:val="ListBullet"/>
        <w:spacing w:after="40"/>
      </w:pPr>
      <w:r>
        <w:t>Lead developer verification of source paths</w:t>
      </w:r>
    </w:p>
    <w:p>
      <w:pPr>
        <w:pStyle w:val="Heading1"/>
      </w:pPr>
      <w:r>
        <w:t>Action Checklist</w:t>
      </w:r>
    </w:p>
    <w:p>
      <w:pPr>
        <w:pStyle w:val="ListBullet"/>
        <w:spacing w:after="40"/>
      </w:pPr>
      <w:r>
        <w:t>Fill the final formula worksheet</w:t>
      </w:r>
    </w:p>
    <w:p>
      <w:pPr>
        <w:pStyle w:val="ListBullet"/>
        <w:spacing w:after="40"/>
      </w:pPr>
      <w:r>
        <w:t>Compute absolute and percent error where appropriate</w:t>
      </w:r>
    </w:p>
    <w:p>
      <w:pPr>
        <w:pStyle w:val="ListBullet"/>
        <w:spacing w:after="40"/>
      </w:pPr>
      <w:r>
        <w:t>Flag code-paper mismatches immediately</w:t>
      </w:r>
    </w:p>
    <w:p>
      <w:pPr>
        <w:pStyle w:val="Heading1"/>
      </w:pPr>
      <w:r>
        <w:t>Owner / Team Assignment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D3"/>
          </w:tcPr>
          <w:p>
            <w:pPr>
              <w:jc w:val="left"/>
            </w:pPr>
            <w:r/>
            <w:r>
              <w:rPr>
                <w:rFonts w:ascii="Aptos" w:hAnsi="Aptos"/>
                <w:b/>
                <w:sz w:val="18"/>
              </w:rPr>
              <w:t>Owner</w:t>
            </w:r>
          </w:p>
        </w:tc>
        <w:tc>
          <w:tcPr>
            <w:tcW w:type="dxa" w:w="5184"/>
            <w:shd w:fill="D9EAD3"/>
          </w:tcPr>
          <w:p>
            <w:pPr>
              <w:jc w:val="left"/>
            </w:pPr>
            <w:r/>
            <w:r>
              <w:rPr>
                <w:rFonts w:ascii="Aptos" w:hAnsi="Aptos"/>
                <w:b/>
                <w:sz w:val="18"/>
              </w:rPr>
              <w:t>Immediate Responsibility</w:t>
            </w:r>
          </w:p>
        </w:tc>
      </w:tr>
      <w:tr>
        <w:tc>
          <w:tcPr>
            <w:tcW w:type="dxa" w:w="5184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Lead Developer / Statistician Lead</w:t>
            </w:r>
          </w:p>
        </w:tc>
        <w:tc>
          <w:tcPr>
            <w:tcW w:type="dxa" w:w="5184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18"/>
              </w:rPr>
              <w:t>Complete this document's missing inputs and coordinate with the validators listed above.</w:t>
            </w:r>
          </w:p>
        </w:tc>
      </w:tr>
    </w:tbl>
    <w:p/>
    <w:p>
      <w:pPr>
        <w:pStyle w:val="Heading1"/>
      </w:pPr>
      <w:r>
        <w:t>Defense Risks If Incomplete</w:t>
      </w:r>
    </w:p>
    <w:p>
      <w:pPr>
        <w:pStyle w:val="ListBullet"/>
        <w:spacing w:after="40"/>
      </w:pPr>
      <w:r>
        <w:t>Incorrect or unsupported formulas are a high-risk defense issue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1F4E3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38761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7A4A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20"/>
      <w:contextualSpacing/>
    </w:pPr>
    <w:rPr>
      <w:rFonts w:asciiTheme="majorHAnsi" w:eastAsiaTheme="majorEastAsia" w:hAnsiTheme="majorHAnsi" w:cstheme="majorBidi" w:ascii="Aptos" w:hAnsi="Aptos"/>
      <w:color w:val="1F4E3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