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Computation Framework and Numerical Validation Plan</w:t>
      </w:r>
    </w:p>
    <w:p>
      <w:pPr>
        <w:jc w:val="center"/>
      </w:pPr>
      <w:r>
        <w:rPr>
          <w:rFonts w:ascii="Aptos" w:hAnsi="Aptos"/>
          <w:i/>
          <w:sz w:val="22"/>
        </w:rPr>
        <w:t>Survey analysis flow and system computation validation flow</w:t>
      </w:r>
    </w:p>
    <w:p/>
    <w:p>
      <w:pPr>
        <w:pStyle w:val="Heading1"/>
      </w:pPr>
      <w:r>
        <w:t>Purpose of This Document</w:t>
      </w:r>
    </w:p>
    <w:p>
      <w:r>
        <w:t>Provide a Chapter 4 and appendix-ready computation framework.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docs/thesis_validation/00_EVIDENCE_INDEX.md inventories implemented source evidence and trust levels.</w:t>
      </w:r>
    </w:p>
    <w:p>
      <w:pPr>
        <w:pStyle w:val="ListBullet"/>
        <w:spacing w:after="40"/>
      </w:pPr>
      <w:r>
        <w:t>docs/thesis_validation/02_FORMULAS_AND_COMPUTATIONS.md lists implemented formulas and source paths.</w:t>
      </w:r>
    </w:p>
    <w:p>
      <w:pPr>
        <w:pStyle w:val="ListBullet"/>
        <w:spacing w:after="40"/>
      </w:pPr>
      <w:r>
        <w:t>docs/thesis_validation/07_CHAPTER_4_TABLES_READY.md provides table-ready formula, dataset, test, and ISO mapping material.</w:t>
      </w:r>
    </w:p>
    <w:p>
      <w:pPr>
        <w:pStyle w:val="ListBullet"/>
        <w:spacing w:after="40"/>
      </w:pPr>
      <w:r>
        <w:t>docs/thesis_validation/08_STATISTICIAN_PACKET.md defines proposed statistical treatment and consultation questions.</w:t>
      </w:r>
    </w:p>
    <w:p>
      <w:pPr>
        <w:pStyle w:val="ListBullet"/>
        <w:spacing w:after="40"/>
      </w:pPr>
      <w:r>
        <w:t>docs/thesis_validation/09_ISO_25010_QUESTIONNAIRE_DRAFT.md contains an actual-feature-aligned ISO/IEC 25010 questionnaire draft.</w:t>
      </w:r>
    </w:p>
    <w:p>
      <w:pPr>
        <w:pStyle w:val="ListBullet"/>
        <w:spacing w:after="40"/>
      </w:pPr>
      <w:r>
        <w:t>docs/thesis_validation/10_NUTRITION_EXPERT_VALIDATION_FORM.md contains a nutrition expert validation form.</w:t>
      </w:r>
    </w:p>
    <w:p>
      <w:pPr>
        <w:pStyle w:val="ListBullet"/>
        <w:spacing w:after="40"/>
      </w:pPr>
      <w:r>
        <w:t>docs/thesis_validation/05_VALIDATION_TEST_CASES.csv contains completed validation case inventory material.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Raw survey responses</w:t>
      </w:r>
    </w:p>
    <w:p>
      <w:pPr>
        <w:pStyle w:val="ListBullet"/>
        <w:spacing w:after="40"/>
      </w:pPr>
      <w:r>
        <w:t>Final manual/reference computation outputs</w:t>
      </w:r>
    </w:p>
    <w:p>
      <w:pPr>
        <w:pStyle w:val="ListBullet"/>
        <w:spacing w:after="40"/>
      </w:pPr>
      <w:r>
        <w:t>Statistician-approved interpretation rules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Computation Framework Flow</w:t>
      </w:r>
    </w:p>
    <w:p>
      <w:pPr>
        <w:pStyle w:val="ListBullet"/>
        <w:spacing w:after="40"/>
      </w:pPr>
      <w:r>
        <w:t>Raw Survey Responses</w:t>
      </w:r>
    </w:p>
    <w:p>
      <w:pPr>
        <w:pStyle w:val="ListBullet"/>
        <w:spacing w:after="40"/>
      </w:pPr>
      <w:r>
        <w:t>Data Cleaning</w:t>
      </w:r>
    </w:p>
    <w:p>
      <w:pPr>
        <w:pStyle w:val="ListBullet"/>
        <w:spacing w:after="40"/>
      </w:pPr>
      <w:r>
        <w:t>Numerical Coding</w:t>
      </w:r>
    </w:p>
    <w:p>
      <w:pPr>
        <w:pStyle w:val="ListBullet"/>
        <w:spacing w:after="40"/>
      </w:pPr>
      <w:r>
        <w:t>Frequency and Percentage</w:t>
      </w:r>
    </w:p>
    <w:p>
      <w:pPr>
        <w:pStyle w:val="ListBullet"/>
        <w:spacing w:after="40"/>
      </w:pPr>
      <w:r>
        <w:t>Weighted Mean</w:t>
      </w:r>
    </w:p>
    <w:p>
      <w:pPr>
        <w:pStyle w:val="ListBullet"/>
        <w:spacing w:after="40"/>
      </w:pPr>
      <w:r>
        <w:t>Verbal Interpretation</w:t>
      </w:r>
    </w:p>
    <w:p>
      <w:pPr>
        <w:pStyle w:val="ListBullet"/>
        <w:spacing w:after="40"/>
      </w:pPr>
      <w:r>
        <w:t>Reliability Check if Cronbach's Alpha is required</w:t>
      </w:r>
    </w:p>
    <w:p>
      <w:pPr>
        <w:pStyle w:val="ListBullet"/>
        <w:spacing w:after="40"/>
      </w:pPr>
      <w:r>
        <w:t>SOP-based Interpretation</w:t>
      </w:r>
    </w:p>
    <w:p>
      <w:pPr>
        <w:pStyle w:val="ListBullet"/>
        <w:spacing w:after="40"/>
      </w:pPr>
      <w:r>
        <w:t>Chapter 4 Findings</w:t>
      </w:r>
    </w:p>
    <w:p>
      <w:pPr>
        <w:pStyle w:val="Heading1"/>
      </w:pPr>
      <w:r>
        <w:t>System Computation Validation Flow</w:t>
      </w:r>
    </w:p>
    <w:p>
      <w:pPr>
        <w:pStyle w:val="ListBullet"/>
        <w:spacing w:after="40"/>
      </w:pPr>
      <w:r>
        <w:t>User Input</w:t>
      </w:r>
    </w:p>
    <w:p>
      <w:pPr>
        <w:pStyle w:val="ListBullet"/>
        <w:spacing w:after="40"/>
      </w:pPr>
      <w:r>
        <w:t>System Computation</w:t>
      </w:r>
    </w:p>
    <w:p>
      <w:pPr>
        <w:pStyle w:val="ListBullet"/>
        <w:spacing w:after="40"/>
      </w:pPr>
      <w:r>
        <w:t>Manual Reference Computation</w:t>
      </w:r>
    </w:p>
    <w:p>
      <w:pPr>
        <w:pStyle w:val="ListBullet"/>
        <w:spacing w:after="40"/>
      </w:pPr>
      <w:r>
        <w:t>Absolute Error</w:t>
      </w:r>
    </w:p>
    <w:p>
      <w:pPr>
        <w:pStyle w:val="ListBullet"/>
        <w:spacing w:after="40"/>
      </w:pPr>
      <w:r>
        <w:t>Percent Error when reference is nonzero</w:t>
      </w:r>
    </w:p>
    <w:p>
      <w:pPr>
        <w:pStyle w:val="ListBullet"/>
        <w:spacing w:after="40"/>
      </w:pPr>
      <w:r>
        <w:t>Interpretation</w:t>
      </w:r>
    </w:p>
    <w:p>
      <w:pPr>
        <w:pStyle w:val="ListBullet"/>
        <w:spacing w:after="40"/>
      </w:pPr>
      <w:r>
        <w:t>Chapter 4 computation finding</w:t>
      </w:r>
    </w:p>
    <w:p>
      <w:pPr>
        <w:pStyle w:val="Heading1"/>
      </w:pPr>
      <w:r>
        <w:t>Process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Step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Input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Process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Output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Responsible Validator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1. Data cleaning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 export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Remove incomplete/invalid entries based on approved rules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Clean response matrix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2. Numerical coding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Likert labels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Map 5 to 1 according to approved scale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Numeric matrix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3. Descriptive analysis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Numeric matrix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Frequency, percentage, weighted mean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survey tables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4. Reliability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Item-level matrix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Cronbach's Alpha if required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 result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5. Manual computation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Profile/test inputs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Compute reference values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Reference outputs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 / RND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6. System comparison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System outputs and reference outputs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Absolute error and percent error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Validation table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 / Statistician</w:t>
            </w:r>
          </w:p>
        </w:tc>
      </w:tr>
    </w:tbl>
    <w:p/>
    <w:p>
      <w:pPr>
        <w:pStyle w:val="Heading1"/>
      </w:pPr>
      <w:r>
        <w:t>Numerical Computation Validation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Computation Tested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System Output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Manual/Reference Output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Absolute Error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Percent Error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Interpretation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filled from app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BMI formula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|system - reference|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reference nonzero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Exact/acceptable match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BMR/TDEE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Android/backend output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Mifflin-St Jeor and multiplier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|system - reference|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reference nonzero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Account for Android/backend rounding difference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Calorie target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Android/backend output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TDEE plus goal adjustment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|system - reference|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reference nonzero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 is authoritative for planner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Macro 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 output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ratio-to-grams conversion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|system - reference|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reference nonzero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Backend-only formula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Grocery 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App/backend estimate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price rule estimate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|system - reference|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reference nonzero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State catalog used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Plan calories/macros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Generated plan total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sum of recipes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|system - reference|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reference nonzero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generated plan evidence only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Generation time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Measured runtime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Stopwatch/log timing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n/a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n/a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descriptive timing, not health outcome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approval of error interpretation</w:t>
      </w:r>
    </w:p>
    <w:p>
      <w:pPr>
        <w:pStyle w:val="ListBullet"/>
        <w:spacing w:after="40"/>
      </w:pPr>
      <w:r>
        <w:t>RND approval of nutrition formula presentation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Build the final manual validation workbook</w:t>
      </w:r>
    </w:p>
    <w:p>
      <w:pPr>
        <w:pStyle w:val="ListBullet"/>
        <w:spacing w:after="40"/>
      </w:pPr>
      <w:r>
        <w:t>Use zero-reference handling for percent error</w:t>
      </w:r>
    </w:p>
    <w:p>
      <w:pPr>
        <w:pStyle w:val="ListBullet"/>
        <w:spacing w:after="40"/>
      </w:pPr>
      <w:r>
        <w:t>Separate Android preview from backend authoritative output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 / Statistician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Without final computation comparison, numerical correctness claims remain incomplete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