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PCOSINA Benchmark Code Screenshot Evidence</w:t>
      </w:r>
    </w:p>
    <w:p>
      <w:pPr>
        <w:jc w:val="center"/>
      </w:pPr>
      <w:r>
        <w:rPr>
          <w:rFonts w:ascii="Arial" w:hAnsi="Arial"/>
          <w:i/>
          <w:sz w:val="18"/>
        </w:rPr>
        <w:t>Generated 2026-06-10 from repository source files</w:t>
      </w:r>
    </w:p>
    <w:p>
      <w:pPr>
        <w:spacing w:after="80"/>
      </w:pPr>
      <w:r>
        <w:rPr>
          <w:rFonts w:ascii="Arial" w:hAnsi="Arial"/>
          <w:sz w:val="18"/>
        </w:rPr>
        <w:t>Purpose: This pack provides printable code-level evidence for how the T01-T20 planner benchmark was defined, executed, measured, summarized, and validated. It does not invent benchmark values; screenshots are rendered from the exact local source files and archived report.</w:t>
      </w:r>
    </w:p>
    <w:p>
      <w:pPr>
        <w:spacing w:after="80"/>
      </w:pPr>
      <w:r>
        <w:rPr>
          <w:rFonts w:ascii="Arial" w:hAnsi="Arial"/>
          <w:sz w:val="18"/>
        </w:rPr>
        <w:t>Defense boundary: The final 100-run benchmark is archived as machine-readable JSON/CSV. The earliest two Table 32 speed rows are documented development benchmark values, but their raw JSON/CSV artifacts were not retained.</w:t>
      </w:r>
    </w:p>
    <w:p>
      <w:pPr>
        <w:pStyle w:val="Heading1"/>
      </w:pPr>
      <w:r>
        <w:t>1. Benchmark Fixture and CLI Controls</w:t>
      </w:r>
    </w:p>
    <w:p>
      <w:r>
        <w:drawing>
          <wp:inline xmlns:a="http://schemas.openxmlformats.org/drawingml/2006/main" xmlns:pic="http://schemas.openxmlformats.org/drawingml/2006/picture">
            <wp:extent cx="6720840" cy="2735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enchmark_fixture_and_cl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2735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Arial" w:hAnsi="Arial"/>
          <w:i/>
          <w:sz w:val="16"/>
        </w:rPr>
        <w:t>Shows that the benchmark runner uses the fixed T01-T20 fixture path, supports repeated runs per profile, and can require the ML ranker to be ready.</w:t>
      </w:r>
    </w:p>
    <w:p>
      <w:pPr>
        <w:pStyle w:val="Heading1"/>
      </w:pPr>
      <w:r>
        <w:t>2. P95 Runtime Formula</w:t>
      </w:r>
    </w:p>
    <w:p>
      <w:r>
        <w:drawing>
          <wp:inline xmlns:a="http://schemas.openxmlformats.org/drawingml/2006/main" xmlns:pic="http://schemas.openxmlformats.org/drawingml/2006/picture">
            <wp:extent cx="6720840" cy="1846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95_percentile_formu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1846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Arial" w:hAnsi="Arial"/>
          <w:i/>
          <w:sz w:val="16"/>
        </w:rPr>
        <w:t>Shows the script's interpolated percentile computation used for P95 runtime.</w:t>
      </w:r>
    </w:p>
    <w:p>
      <w:pPr>
        <w:pStyle w:val="Heading1"/>
      </w:pPr>
      <w:r>
        <w:t>3. Per-Run Validation Metrics</w:t>
      </w:r>
    </w:p>
    <w:p>
      <w:r>
        <w:drawing>
          <wp:inline xmlns:a="http://schemas.openxmlformats.org/drawingml/2006/main" xmlns:pic="http://schemas.openxmlformats.org/drawingml/2006/picture">
            <wp:extent cx="6720840" cy="3328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r_run_validation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32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Arial" w:hAnsi="Arial"/>
          <w:i/>
          <w:sz w:val="16"/>
        </w:rPr>
        <w:t>Shows that each run records slot count, solver status, nutrition feasibility, constraint validation, and hard-rule violation count.</w:t>
      </w:r>
    </w:p>
    <w:p>
      <w:pPr>
        <w:pStyle w:val="Heading1"/>
      </w:pPr>
      <w:r>
        <w:t>4. Final Suite Summary Formulas</w:t>
      </w:r>
    </w:p>
    <w:p>
      <w:r>
        <w:drawing>
          <wp:inline xmlns:a="http://schemas.openxmlformats.org/drawingml/2006/main" xmlns:pic="http://schemas.openxmlformats.org/drawingml/2006/picture">
            <wp:extent cx="6720840" cy="1450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ite_summary_formul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145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Arial" w:hAnsi="Arial"/>
          <w:i/>
          <w:sz w:val="16"/>
        </w:rPr>
        <w:t>Shows how total runs, passed runs, average runtime, P95 runtime, and maximum runtime are computed for the benchmark suite.</w:t>
      </w:r>
    </w:p>
    <w:p>
      <w:pPr>
        <w:pStyle w:val="Heading1"/>
      </w:pPr>
      <w:r>
        <w:t>5. ML-Ready Benchmark Guard</w:t>
      </w:r>
    </w:p>
    <w:p>
      <w:r>
        <w:drawing>
          <wp:inline xmlns:a="http://schemas.openxmlformats.org/drawingml/2006/main" xmlns:pic="http://schemas.openxmlformats.org/drawingml/2006/picture">
            <wp:extent cx="6720840" cy="1253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l_ready_gu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1253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Arial" w:hAnsi="Arial"/>
          <w:i/>
          <w:sz w:val="16"/>
        </w:rPr>
        <w:t>Shows that --require-ml-ready fails the benchmark if the LightGBM ranker is not ready.</w:t>
      </w:r>
    </w:p>
    <w:p>
      <w:pPr>
        <w:pStyle w:val="Heading1"/>
      </w:pPr>
      <w:r>
        <w:t>6. Archived Final Benchmark Result</w:t>
      </w:r>
    </w:p>
    <w:p>
      <w:r>
        <w:drawing>
          <wp:inline xmlns:a="http://schemas.openxmlformats.org/drawingml/2006/main" xmlns:pic="http://schemas.openxmlformats.org/drawingml/2006/picture">
            <wp:extent cx="6720840" cy="31311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rchived_final_benchmark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131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Arial" w:hAnsi="Arial"/>
          <w:i/>
          <w:sz w:val="16"/>
        </w:rPr>
        <w:t>Shows the archived final result: 100 total runs, 100 passed, 5 runs per case, 257.13 ms average, 313.05 ms P95, 357 ms max, and LightGBM ready.</w:t>
      </w:r>
    </w:p>
    <w:p>
      <w:pPr>
        <w:pStyle w:val="Heading1"/>
      </w:pPr>
      <w:r>
        <w:t>7. PHP 20 No-Safe-Plan Boundary Test</w:t>
      </w:r>
    </w:p>
    <w:p>
      <w:r>
        <w:drawing>
          <wp:inline xmlns:a="http://schemas.openxmlformats.org/drawingml/2006/main" xmlns:pic="http://schemas.openxmlformats.org/drawingml/2006/picture">
            <wp:extent cx="6720840" cy="5009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hp20_no_safe_plan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5009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Arial" w:hAnsi="Arial"/>
          <w:i/>
          <w:sz w:val="16"/>
        </w:rPr>
        <w:t>Shows the separate automated budget-infeasibility test where weeklyBudgetPhp=20 must return no plan instead of an unsafe or impossible recommendation.</w:t>
      </w:r>
    </w:p>
    <w:p>
      <w:pPr>
        <w:pStyle w:val="Heading1"/>
      </w:pPr>
      <w:r>
        <w:t>8. T01-T20 Fixture Summary</w:t>
      </w:r>
    </w:p>
    <w:p>
      <w:r>
        <w:drawing>
          <wp:inline xmlns:a="http://schemas.openxmlformats.org/drawingml/2006/main" xmlns:pic="http://schemas.openxmlformats.org/drawingml/2006/picture">
            <wp:extent cx="6720840" cy="33773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01_t20_fixture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37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Arial" w:hAnsi="Arial"/>
          <w:i/>
          <w:sz w:val="16"/>
        </w:rPr>
        <w:t>Shows the 20 fixed benchmark cases read from the canonical fixture.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