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32"/>
        </w:rPr>
        <w:t>PCOSina Final Defense Hard Questions Master Guide</w:t>
      </w:r>
    </w:p>
    <w:p>
      <w:pPr>
        <w:jc w:val="center"/>
      </w:pPr>
      <w:r>
        <w:rPr>
          <w:rFonts w:ascii="Arial" w:hAnsi="Arial"/>
          <w:b w:val="0"/>
          <w:i/>
          <w:sz w:val="18"/>
        </w:rPr>
        <w:t>Prepared from repository evidence and current defense discussions, June 2026</w:t>
      </w:r>
    </w:p>
    <w:p>
      <w:pPr>
        <w:spacing w:after="60" w:line="252" w:lineRule="auto"/>
      </w:pPr>
      <w:r>
        <w:rPr>
          <w:rFonts w:ascii="Arial" w:hAnsi="Arial"/>
          <w:b/>
          <w:i w:val="0"/>
          <w:sz w:val="19"/>
        </w:rPr>
        <w:t>Scope boundary:</w:t>
      </w:r>
      <w:r>
        <w:rPr>
          <w:rFonts w:ascii="Arial" w:hAnsi="Arial"/>
          <w:b w:val="0"/>
          <w:i w:val="0"/>
          <w:sz w:val="19"/>
        </w:rPr>
        <w:t xml:space="preserve"> PCOSina is an offline-first Filipino-PCOS meal-planning wellness decision-support system. It is not a diagnosis engine, treatment system, or medical device. The safest defense style is to explain what the software actually computes and validates, then state limitations honestly.</w:t>
      </w:r>
    </w:p>
    <w:p>
      <w:pPr>
        <w:spacing w:before="160" w:after="40"/>
      </w:pPr>
      <w:r>
        <w:rPr>
          <w:rFonts w:ascii="Arial" w:hAnsi="Arial"/>
          <w:b/>
          <w:i w:val="0"/>
          <w:sz w:val="24"/>
        </w:rPr>
        <w:t>1. One-Liners To Memorize</w:t>
      </w:r>
    </w:p>
    <w:tbl>
      <w:tblPr>
        <w:tblStyle w:val="TableGrid"/>
        <w:tblW w:type="auto" w:w="0"/>
        <w:tblLook w:firstColumn="1" w:firstRow="1" w:lastColumn="0" w:lastRow="0" w:noHBand="0" w:noVBand="1" w:val="04A0"/>
      </w:tblPr>
      <w:tblGrid>
        <w:gridCol w:w="5184"/>
        <w:gridCol w:w="5184"/>
      </w:tblGrid>
      <w:tr>
        <w:tc>
          <w:tcPr>
            <w:tcW w:type="dxa" w:w="2592"/>
          </w:tcPr>
          <w:p>
            <w:r/>
            <w:r>
              <w:rPr>
                <w:rFonts w:ascii="Arial" w:hAnsi="Arial"/>
                <w:b/>
                <w:i w:val="0"/>
                <w:sz w:val="17"/>
              </w:rPr>
              <w:t>Panel concern</w:t>
            </w:r>
          </w:p>
        </w:tc>
        <w:tc>
          <w:tcPr>
            <w:tcW w:type="dxa" w:w="8496"/>
          </w:tcPr>
          <w:p>
            <w:r/>
            <w:r>
              <w:rPr>
                <w:rFonts w:ascii="Arial" w:hAnsi="Arial"/>
                <w:b/>
                <w:i w:val="0"/>
                <w:sz w:val="17"/>
              </w:rPr>
              <w:t>Best short answer</w:t>
            </w:r>
          </w:p>
        </w:tc>
      </w:tr>
      <w:tr>
        <w:tc>
          <w:tcPr>
            <w:tcW w:type="dxa" w:w="2592"/>
          </w:tcPr>
          <w:p>
            <w:r/>
            <w:r>
              <w:rPr>
                <w:rFonts w:ascii="Arial" w:hAnsi="Arial"/>
                <w:b w:val="0"/>
                <w:i w:val="0"/>
                <w:sz w:val="16"/>
              </w:rPr>
              <w:t>Greedy is faster</w:t>
            </w:r>
          </w:p>
        </w:tc>
        <w:tc>
          <w:tcPr>
            <w:tcW w:type="dxa" w:w="8496"/>
          </w:tcPr>
          <w:p>
            <w:r/>
            <w:r>
              <w:rPr>
                <w:rFonts w:ascii="Arial" w:hAnsi="Arial"/>
                <w:b w:val="0"/>
                <w:i w:val="0"/>
                <w:sz w:val="16"/>
              </w:rPr>
              <w:t>Greedy wins raw speed; PCOSina wins whole-week constraint-aware planning and explainability.</w:t>
            </w:r>
          </w:p>
        </w:tc>
      </w:tr>
      <w:tr>
        <w:tc>
          <w:tcPr>
            <w:tcW w:type="dxa" w:w="2592"/>
          </w:tcPr>
          <w:p>
            <w:r/>
            <w:r>
              <w:rPr>
                <w:rFonts w:ascii="Arial" w:hAnsi="Arial"/>
                <w:b w:val="0"/>
                <w:i w:val="0"/>
                <w:sz w:val="16"/>
              </w:rPr>
              <w:t>Why greedy baseline</w:t>
            </w:r>
          </w:p>
        </w:tc>
        <w:tc>
          <w:tcPr>
            <w:tcW w:type="dxa" w:w="8496"/>
          </w:tcPr>
          <w:p>
            <w:r/>
            <w:r>
              <w:rPr>
                <w:rFonts w:ascii="Arial" w:hAnsi="Arial"/>
                <w:b w:val="0"/>
                <w:i w:val="0"/>
                <w:sz w:val="16"/>
              </w:rPr>
              <w:t>It is the natural simple reference for a scheduling/recommendation task: rule-filter, then pick locally good meals slot by slot.</w:t>
            </w:r>
          </w:p>
        </w:tc>
      </w:tr>
      <w:tr>
        <w:tc>
          <w:tcPr>
            <w:tcW w:type="dxa" w:w="2592"/>
          </w:tcPr>
          <w:p>
            <w:r/>
            <w:r>
              <w:rPr>
                <w:rFonts w:ascii="Arial" w:hAnsi="Arial"/>
                <w:b w:val="0"/>
                <w:i w:val="0"/>
                <w:sz w:val="16"/>
              </w:rPr>
              <w:t>Why generative proxy</w:t>
            </w:r>
          </w:p>
        </w:tc>
        <w:tc>
          <w:tcPr>
            <w:tcW w:type="dxa" w:w="8496"/>
          </w:tcPr>
          <w:p>
            <w:r/>
            <w:r>
              <w:rPr>
                <w:rFonts w:ascii="Arial" w:hAnsi="Arial"/>
                <w:b w:val="0"/>
                <w:i w:val="0"/>
                <w:sz w:val="16"/>
              </w:rPr>
              <w:t>It tests the risk of fluent generated plans without deterministic constraint authority; constrained generation would need the same rule and solver guardrails.</w:t>
            </w:r>
          </w:p>
        </w:tc>
      </w:tr>
      <w:tr>
        <w:tc>
          <w:tcPr>
            <w:tcW w:type="dxa" w:w="2592"/>
          </w:tcPr>
          <w:p>
            <w:r/>
            <w:r>
              <w:rPr>
                <w:rFonts w:ascii="Arial" w:hAnsi="Arial"/>
                <w:b w:val="0"/>
                <w:i w:val="0"/>
                <w:sz w:val="16"/>
              </w:rPr>
              <w:t>Why LightGBM</w:t>
            </w:r>
          </w:p>
        </w:tc>
        <w:tc>
          <w:tcPr>
            <w:tcW w:type="dxa" w:w="8496"/>
          </w:tcPr>
          <w:p>
            <w:r/>
            <w:r>
              <w:rPr>
                <w:rFonts w:ascii="Arial" w:hAnsi="Arial"/>
                <w:b w:val="0"/>
                <w:i w:val="0"/>
                <w:sz w:val="16"/>
              </w:rPr>
              <w:t>It is a small, fast, tabular ranker for structured recipe/profile features; it assists Stage 1 ranking only and never overrides hard constraints.</w:t>
            </w:r>
          </w:p>
        </w:tc>
      </w:tr>
      <w:tr>
        <w:tc>
          <w:tcPr>
            <w:tcW w:type="dxa" w:w="2592"/>
          </w:tcPr>
          <w:p>
            <w:r/>
            <w:r>
              <w:rPr>
                <w:rFonts w:ascii="Arial" w:hAnsi="Arial"/>
                <w:b w:val="0"/>
                <w:i w:val="0"/>
                <w:sz w:val="16"/>
              </w:rPr>
              <w:t>ML accuracy</w:t>
            </w:r>
          </w:p>
        </w:tc>
        <w:tc>
          <w:tcPr>
            <w:tcW w:type="dxa" w:w="8496"/>
          </w:tcPr>
          <w:p>
            <w:r/>
            <w:r>
              <w:rPr>
                <w:rFonts w:ascii="Arial" w:hAnsi="Arial"/>
                <w:b w:val="0"/>
                <w:i w:val="0"/>
                <w:sz w:val="16"/>
              </w:rPr>
              <w:t>This is a ranking task, not a diagnosis classifier; we use AUC, log loss, NDCG@10, and MAP@10, while CP-SAT remains final authority.</w:t>
            </w:r>
          </w:p>
        </w:tc>
      </w:tr>
      <w:tr>
        <w:tc>
          <w:tcPr>
            <w:tcW w:type="dxa" w:w="2592"/>
          </w:tcPr>
          <w:p>
            <w:r/>
            <w:r>
              <w:rPr>
                <w:rFonts w:ascii="Arial" w:hAnsi="Arial"/>
                <w:b w:val="0"/>
                <w:i w:val="0"/>
                <w:sz w:val="16"/>
              </w:rPr>
              <w:t>Time complexity</w:t>
            </w:r>
          </w:p>
        </w:tc>
        <w:tc>
          <w:tcPr>
            <w:tcW w:type="dxa" w:w="8496"/>
          </w:tcPr>
          <w:p>
            <w:r/>
            <w:r>
              <w:rPr>
                <w:rFonts w:ascii="Arial" w:hAnsi="Arial"/>
                <w:b w:val="0"/>
                <w:i w:val="0"/>
                <w:sz w:val="16"/>
              </w:rPr>
              <w:t>Stage 1 is roughly linear-plus-sorting; CP-SAT is combinatorial in worst case, controlled by filtering, pruning, capping, and a fixed 21-slot horizon.</w:t>
            </w:r>
          </w:p>
        </w:tc>
      </w:tr>
      <w:tr>
        <w:tc>
          <w:tcPr>
            <w:tcW w:type="dxa" w:w="2592"/>
          </w:tcPr>
          <w:p>
            <w:r/>
            <w:r>
              <w:rPr>
                <w:rFonts w:ascii="Arial" w:hAnsi="Arial"/>
                <w:b w:val="0"/>
                <w:i w:val="0"/>
                <w:sz w:val="16"/>
              </w:rPr>
              <w:t>CP-SAT vs MILP</w:t>
            </w:r>
          </w:p>
        </w:tc>
        <w:tc>
          <w:tcPr>
            <w:tcW w:type="dxa" w:w="8496"/>
          </w:tcPr>
          <w:p>
            <w:r/>
            <w:r>
              <w:rPr>
                <w:rFonts w:ascii="Arial" w:hAnsi="Arial"/>
                <w:b w:val="0"/>
                <w:i w:val="0"/>
                <w:sz w:val="16"/>
              </w:rPr>
              <w:t>Our math is a MILP-style 0-1 linear assignment formulation; OR-Tools CP-SAT is the solver that searches for a feasible or best assignment.</w:t>
            </w:r>
          </w:p>
        </w:tc>
      </w:tr>
      <w:tr>
        <w:tc>
          <w:tcPr>
            <w:tcW w:type="dxa" w:w="2592"/>
          </w:tcPr>
          <w:p>
            <w:r/>
            <w:r>
              <w:rPr>
                <w:rFonts w:ascii="Arial" w:hAnsi="Arial"/>
                <w:b w:val="0"/>
                <w:i w:val="0"/>
                <w:sz w:val="16"/>
              </w:rPr>
              <w:t>40% carbs</w:t>
            </w:r>
          </w:p>
        </w:tc>
        <w:tc>
          <w:tcPr>
            <w:tcW w:type="dxa" w:w="8496"/>
          </w:tcPr>
          <w:p>
            <w:r/>
            <w:r>
              <w:rPr>
                <w:rFonts w:ascii="Arial" w:hAnsi="Arial"/>
                <w:b w:val="0"/>
                <w:i w:val="0"/>
                <w:sz w:val="16"/>
              </w:rPr>
              <w:t>It is a bounded moderate-carb wellness policy, not a medical prescription and not a rice-only rule.</w:t>
            </w:r>
          </w:p>
        </w:tc>
      </w:tr>
      <w:tr>
        <w:tc>
          <w:tcPr>
            <w:tcW w:type="dxa" w:w="2592"/>
          </w:tcPr>
          <w:p>
            <w:r/>
            <w:r>
              <w:rPr>
                <w:rFonts w:ascii="Arial" w:hAnsi="Arial"/>
                <w:b w:val="0"/>
                <w:i w:val="0"/>
                <w:sz w:val="16"/>
              </w:rPr>
              <w:t>Offline-first</w:t>
            </w:r>
          </w:p>
        </w:tc>
        <w:tc>
          <w:tcPr>
            <w:tcW w:type="dxa" w:w="8496"/>
          </w:tcPr>
          <w:p>
            <w:r/>
            <w:r>
              <w:rPr>
                <w:rFonts w:ascii="Arial" w:hAnsi="Arial"/>
                <w:b w:val="0"/>
                <w:i w:val="0"/>
                <w:sz w:val="16"/>
              </w:rPr>
              <w:t>Previously saved profile, plan, grocery, pantry, and progress artifacts remain readable locally; new optimization may need backend connectivity.</w:t>
            </w:r>
          </w:p>
        </w:tc>
      </w:tr>
    </w:tbl>
    <w:p/>
    <w:p>
      <w:pPr>
        <w:spacing w:before="160" w:after="40"/>
      </w:pPr>
      <w:r>
        <w:rPr>
          <w:rFonts w:ascii="Arial" w:hAnsi="Arial"/>
          <w:b/>
          <w:i w:val="0"/>
          <w:sz w:val="24"/>
        </w:rPr>
        <w:t>2. Why Greedy Heuristic Was Chosen</w:t>
      </w:r>
    </w:p>
    <w:p>
      <w:pPr>
        <w:spacing w:after="60" w:line="252" w:lineRule="auto"/>
      </w:pPr>
      <w:r>
        <w:rPr>
          <w:rFonts w:ascii="Arial" w:hAnsi="Arial"/>
          <w:b/>
          <w:i w:val="0"/>
          <w:sz w:val="19"/>
        </w:rPr>
        <w:t>Defense logic:</w:t>
      </w:r>
      <w:r>
        <w:rPr>
          <w:rFonts w:ascii="Arial" w:hAnsi="Arial"/>
          <w:b w:val="0"/>
          <w:i w:val="0"/>
          <w:sz w:val="19"/>
        </w:rPr>
        <w:t xml:space="preserve"> Greedy heuristic is the simplest credible algorithmic baseline for meal scheduling. It reflects what many simple recommenders do: filter obviously invalid recipes, then fill each meal slot with the locally best available candidate. It is fast, transparent, and easy to reproduce, so it is a fair baseline.</w:t>
      </w:r>
    </w:p>
    <w:p>
      <w:pPr>
        <w:spacing w:after="60" w:line="252" w:lineRule="auto"/>
      </w:pPr>
      <w:r>
        <w:rPr>
          <w:rFonts w:ascii="Arial" w:hAnsi="Arial"/>
          <w:b w:val="0"/>
          <w:i w:val="0"/>
          <w:sz w:val="19"/>
        </w:rPr>
        <w:t>Why not compare to binary search, sorting, or graph algorithms: those are lower-level techniques, not complete weekly meal-planning methods. Sorting can rank recipes, but it cannot by itself enforce a 7-day meal plan with budget, nutrition, allergies, meal slots, repetition, pantry, and variety. Graph or metaheuristic approaches could be future work, but they are less directly aligned with the defended 0-1 assignment formulation.</w:t>
      </w:r>
    </w:p>
    <w:p>
      <w:pPr>
        <w:spacing w:after="80"/>
        <w:ind w:left="360"/>
      </w:pPr>
      <w:r>
        <w:rPr>
          <w:rFonts w:ascii="Arial" w:hAnsi="Arial"/>
          <w:b w:val="0"/>
          <w:i/>
          <w:sz w:val="19"/>
        </w:rPr>
        <w:t>Defense script: The greedy baseline was not chosen because it is weak. It was chosen because it is the clearest simple alternative: it can generate a plan quickly using local slot decisions. PCOSina was then evaluated against that baseline to show what is gained by solving the whole week as one constrained optimization problem.</w:t>
      </w:r>
    </w:p>
    <w:p>
      <w:pPr>
        <w:spacing w:before="160" w:after="40"/>
      </w:pPr>
      <w:r>
        <w:rPr>
          <w:rFonts w:ascii="Arial" w:hAnsi="Arial"/>
          <w:b/>
          <w:i w:val="0"/>
          <w:sz w:val="24"/>
        </w:rPr>
        <w:t>3. Greedy Baseline vs PCOSina Two-Stage</w:t>
      </w:r>
    </w:p>
    <w:tbl>
      <w:tblPr>
        <w:tblStyle w:val="TableGrid"/>
        <w:tblW w:type="auto" w:w="0"/>
        <w:tblLook w:firstColumn="1" w:firstRow="1" w:lastColumn="0" w:lastRow="0" w:noHBand="0" w:noVBand="1" w:val="04A0"/>
      </w:tblPr>
      <w:tblGrid>
        <w:gridCol w:w="3456"/>
        <w:gridCol w:w="3456"/>
        <w:gridCol w:w="3456"/>
      </w:tblGrid>
      <w:tr>
        <w:tc>
          <w:tcPr>
            <w:tcW w:type="dxa" w:w="2160"/>
          </w:tcPr>
          <w:p>
            <w:r/>
            <w:r>
              <w:rPr>
                <w:rFonts w:ascii="Arial" w:hAnsi="Arial"/>
                <w:b/>
                <w:i w:val="0"/>
                <w:sz w:val="17"/>
              </w:rPr>
              <w:t>Area</w:t>
            </w:r>
          </w:p>
        </w:tc>
        <w:tc>
          <w:tcPr>
            <w:tcW w:type="dxa" w:w="4320"/>
          </w:tcPr>
          <w:p>
            <w:r/>
            <w:r>
              <w:rPr>
                <w:rFonts w:ascii="Arial" w:hAnsi="Arial"/>
                <w:b/>
                <w:i w:val="0"/>
                <w:sz w:val="17"/>
              </w:rPr>
              <w:t>Greedy baseline</w:t>
            </w:r>
          </w:p>
        </w:tc>
        <w:tc>
          <w:tcPr>
            <w:tcW w:type="dxa" w:w="4608"/>
          </w:tcPr>
          <w:p>
            <w:r/>
            <w:r>
              <w:rPr>
                <w:rFonts w:ascii="Arial" w:hAnsi="Arial"/>
                <w:b/>
                <w:i w:val="0"/>
                <w:sz w:val="17"/>
              </w:rPr>
              <w:t>PCOSina two-stage</w:t>
            </w:r>
          </w:p>
        </w:tc>
      </w:tr>
      <w:tr>
        <w:tc>
          <w:tcPr>
            <w:tcW w:type="dxa" w:w="2160"/>
          </w:tcPr>
          <w:p>
            <w:r/>
            <w:r>
              <w:rPr>
                <w:rFonts w:ascii="Arial" w:hAnsi="Arial"/>
                <w:b w:val="0"/>
                <w:i w:val="0"/>
                <w:sz w:val="16"/>
              </w:rPr>
              <w:t>Candidate safety</w:t>
            </w:r>
          </w:p>
        </w:tc>
        <w:tc>
          <w:tcPr>
            <w:tcW w:type="dxa" w:w="4320"/>
          </w:tcPr>
          <w:p>
            <w:r/>
            <w:r>
              <w:rPr>
                <w:rFonts w:ascii="Arial" w:hAnsi="Arial"/>
                <w:b w:val="0"/>
                <w:i w:val="0"/>
                <w:sz w:val="16"/>
              </w:rPr>
              <w:t>Rule-filtered candidates under the same scenarios; checked for violations.</w:t>
            </w:r>
          </w:p>
        </w:tc>
        <w:tc>
          <w:tcPr>
            <w:tcW w:type="dxa" w:w="4608"/>
          </w:tcPr>
          <w:p>
            <w:r/>
            <w:r>
              <w:rPr>
                <w:rFonts w:ascii="Arial" w:hAnsi="Arial"/>
                <w:b w:val="0"/>
                <w:i w:val="0"/>
                <w:sz w:val="16"/>
              </w:rPr>
              <w:t>Production Stage 1 filtering, scoring, optional ML ranking, pruning, and capping.</w:t>
            </w:r>
          </w:p>
        </w:tc>
      </w:tr>
      <w:tr>
        <w:tc>
          <w:tcPr>
            <w:tcW w:type="dxa" w:w="2160"/>
          </w:tcPr>
          <w:p>
            <w:r/>
            <w:r>
              <w:rPr>
                <w:rFonts w:ascii="Arial" w:hAnsi="Arial"/>
                <w:b w:val="0"/>
                <w:i w:val="0"/>
                <w:sz w:val="16"/>
              </w:rPr>
              <w:t>Selection style</w:t>
            </w:r>
          </w:p>
        </w:tc>
        <w:tc>
          <w:tcPr>
            <w:tcW w:type="dxa" w:w="4320"/>
          </w:tcPr>
          <w:p>
            <w:r/>
            <w:r>
              <w:rPr>
                <w:rFonts w:ascii="Arial" w:hAnsi="Arial"/>
                <w:b w:val="0"/>
                <w:i w:val="0"/>
                <w:sz w:val="16"/>
              </w:rPr>
              <w:t>Local: choose acceptable meals slot by slot.</w:t>
            </w:r>
          </w:p>
        </w:tc>
        <w:tc>
          <w:tcPr>
            <w:tcW w:type="dxa" w:w="4608"/>
          </w:tcPr>
          <w:p>
            <w:r/>
            <w:r>
              <w:rPr>
                <w:rFonts w:ascii="Arial" w:hAnsi="Arial"/>
                <w:b w:val="0"/>
                <w:i w:val="0"/>
                <w:sz w:val="16"/>
              </w:rPr>
              <w:t>Global: CP-SAT chooses one 21-meal weekly combination.</w:t>
            </w:r>
          </w:p>
        </w:tc>
      </w:tr>
      <w:tr>
        <w:tc>
          <w:tcPr>
            <w:tcW w:type="dxa" w:w="2160"/>
          </w:tcPr>
          <w:p>
            <w:r/>
            <w:r>
              <w:rPr>
                <w:rFonts w:ascii="Arial" w:hAnsi="Arial"/>
                <w:b w:val="0"/>
                <w:i w:val="0"/>
                <w:sz w:val="16"/>
              </w:rPr>
              <w:t>ML</w:t>
            </w:r>
          </w:p>
        </w:tc>
        <w:tc>
          <w:tcPr>
            <w:tcW w:type="dxa" w:w="4320"/>
          </w:tcPr>
          <w:p>
            <w:r/>
            <w:r>
              <w:rPr>
                <w:rFonts w:ascii="Arial" w:hAnsi="Arial"/>
                <w:b w:val="0"/>
                <w:i w:val="0"/>
                <w:sz w:val="16"/>
              </w:rPr>
              <w:t>No evidence that LightGBM was part of the greedy reference.</w:t>
            </w:r>
          </w:p>
        </w:tc>
        <w:tc>
          <w:tcPr>
            <w:tcW w:type="dxa" w:w="4608"/>
          </w:tcPr>
          <w:p>
            <w:r/>
            <w:r>
              <w:rPr>
                <w:rFonts w:ascii="Arial" w:hAnsi="Arial"/>
                <w:b w:val="0"/>
                <w:i w:val="0"/>
                <w:sz w:val="16"/>
              </w:rPr>
              <w:t>LightGBM can boost Stage 1 ranking, but only as assistive support.</w:t>
            </w:r>
          </w:p>
        </w:tc>
      </w:tr>
      <w:tr>
        <w:tc>
          <w:tcPr>
            <w:tcW w:type="dxa" w:w="2160"/>
          </w:tcPr>
          <w:p>
            <w:r/>
            <w:r>
              <w:rPr>
                <w:rFonts w:ascii="Arial" w:hAnsi="Arial"/>
                <w:b w:val="0"/>
                <w:i w:val="0"/>
                <w:sz w:val="16"/>
              </w:rPr>
              <w:t>Solver</w:t>
            </w:r>
          </w:p>
        </w:tc>
        <w:tc>
          <w:tcPr>
            <w:tcW w:type="dxa" w:w="4320"/>
          </w:tcPr>
          <w:p>
            <w:r/>
            <w:r>
              <w:rPr>
                <w:rFonts w:ascii="Arial" w:hAnsi="Arial"/>
                <w:b w:val="0"/>
                <w:i w:val="0"/>
                <w:sz w:val="16"/>
              </w:rPr>
              <w:t>No CP-SAT; no global Minimize Z.</w:t>
            </w:r>
          </w:p>
        </w:tc>
        <w:tc>
          <w:tcPr>
            <w:tcW w:type="dxa" w:w="4608"/>
          </w:tcPr>
          <w:p>
            <w:r/>
            <w:r>
              <w:rPr>
                <w:rFonts w:ascii="Arial" w:hAnsi="Arial"/>
                <w:b w:val="0"/>
                <w:i w:val="0"/>
                <w:sz w:val="16"/>
              </w:rPr>
              <w:t>Binary x[s,r] variables, linear constraints, weighted objective, CP-SAT solve.</w:t>
            </w:r>
          </w:p>
        </w:tc>
      </w:tr>
      <w:tr>
        <w:tc>
          <w:tcPr>
            <w:tcW w:type="dxa" w:w="2160"/>
          </w:tcPr>
          <w:p>
            <w:r/>
            <w:r>
              <w:rPr>
                <w:rFonts w:ascii="Arial" w:hAnsi="Arial"/>
                <w:b w:val="0"/>
                <w:i w:val="0"/>
                <w:sz w:val="16"/>
              </w:rPr>
              <w:t>Result interpretation</w:t>
            </w:r>
          </w:p>
        </w:tc>
        <w:tc>
          <w:tcPr>
            <w:tcW w:type="dxa" w:w="4320"/>
          </w:tcPr>
          <w:p>
            <w:r/>
            <w:r>
              <w:rPr>
                <w:rFonts w:ascii="Arial" w:hAnsi="Arial"/>
                <w:b w:val="0"/>
                <w:i w:val="0"/>
                <w:sz w:val="16"/>
              </w:rPr>
              <w:t>Faster and can be safe when rule-filtered.</w:t>
            </w:r>
          </w:p>
        </w:tc>
        <w:tc>
          <w:tcPr>
            <w:tcW w:type="dxa" w:w="4608"/>
          </w:tcPr>
          <w:p>
            <w:r/>
            <w:r>
              <w:rPr>
                <w:rFonts w:ascii="Arial" w:hAnsi="Arial"/>
                <w:b w:val="0"/>
                <w:i w:val="0"/>
                <w:sz w:val="16"/>
              </w:rPr>
              <w:t>Slower than greedy in the tradeoff table but more defensible for whole-week balancing.</w:t>
            </w:r>
          </w:p>
        </w:tc>
      </w:tr>
    </w:tbl>
    <w:p/>
    <w:p>
      <w:pPr>
        <w:spacing w:after="60" w:line="252" w:lineRule="auto"/>
      </w:pPr>
      <w:r>
        <w:rPr>
          <w:rFonts w:ascii="Arial" w:hAnsi="Arial"/>
          <w:b/>
          <w:i w:val="0"/>
          <w:sz w:val="19"/>
        </w:rPr>
        <w:t>Table 55/56 result boundary:</w:t>
      </w:r>
      <w:r>
        <w:rPr>
          <w:rFonts w:ascii="Arial" w:hAnsi="Arial"/>
          <w:b w:val="0"/>
          <w:i w:val="0"/>
          <w:sz w:val="19"/>
        </w:rPr>
        <w:t xml:space="preserve"> In the Comment #5 comparison, greedy and PCOSina both had zero hard violations in the matched rows. That does not mean the algorithms are the same. It means the comparison was fair: both were tested under the same scenarios and validation metrics. The stronger PCOSina claim is whole-week optimization, not that the greedy baseline was unsafe.</w:t>
      </w:r>
    </w:p>
    <w:p>
      <w:pPr>
        <w:spacing w:after="60" w:line="252" w:lineRule="auto"/>
      </w:pPr>
      <w:r>
        <w:rPr>
          <w:rFonts w:ascii="Arial" w:hAnsi="Arial"/>
          <w:b w:val="0"/>
          <w:i w:val="0"/>
          <w:sz w:val="19"/>
        </w:rPr>
        <w:t>Exact aggregate evidence: CP-SAT two-stage averaged 2.2806 s with objective surrogate J 0.2236. Greedy averaged 0.2359 s with J 0.2248. Generative proxy averaged 0.0061 s but had 100% hard violation rate. The safe statement is: greedy is much faster; CP-SAT is slightly better on the aggregate quality surrogate and has stronger global planning structure; unconstrained generation is fast but unsafe under implemented hard-rule validation.</w:t>
      </w:r>
    </w:p>
    <w:p>
      <w:pPr>
        <w:spacing w:before="160" w:after="40"/>
      </w:pPr>
      <w:r>
        <w:rPr>
          <w:rFonts w:ascii="Arial" w:hAnsi="Arial"/>
          <w:b/>
          <w:i w:val="0"/>
          <w:sz w:val="24"/>
        </w:rPr>
        <w:t>4. Why The Generative Proxy Was Unconstrained</w:t>
      </w:r>
    </w:p>
    <w:p>
      <w:pPr>
        <w:spacing w:after="60" w:line="252" w:lineRule="auto"/>
      </w:pPr>
      <w:r>
        <w:rPr>
          <w:rFonts w:ascii="Arial" w:hAnsi="Arial"/>
          <w:b w:val="0"/>
          <w:i w:val="0"/>
          <w:sz w:val="19"/>
        </w:rPr>
        <w:t>The purpose of the generative proxy was not to defeat a best possible AI planner. It was to test a realistic risk: a fluent generated meal list can look culturally relevant but fail hard constraints such as restrictions, repeats, or budget. A constrained generative system would require deterministic filters, validators, and probably a solver; at that point it becomes a hybrid architecture similar to PCOSina's safety contract.</w:t>
      </w:r>
    </w:p>
    <w:p>
      <w:pPr>
        <w:spacing w:after="80"/>
        <w:ind w:left="360"/>
      </w:pPr>
      <w:r>
        <w:rPr>
          <w:rFonts w:ascii="Arial" w:hAnsi="Arial"/>
          <w:b w:val="0"/>
          <w:i/>
          <w:sz w:val="19"/>
        </w:rPr>
        <w:t>Defense script: We used the unconstrained proxy to show that natural-looking generated output is not enough for a safety-sensitive meal-planning task. A constrained generative planner is valid future work, but it would still need the same deterministic hard-rule layer and validation contract.</w:t>
      </w:r>
    </w:p>
    <w:p>
      <w:pPr>
        <w:spacing w:before="160" w:after="40"/>
      </w:pPr>
      <w:r>
        <w:rPr>
          <w:rFonts w:ascii="Arial" w:hAnsi="Arial"/>
          <w:b/>
          <w:i w:val="0"/>
          <w:sz w:val="24"/>
        </w:rPr>
        <w:t>5. Why LightGBM Was Chosen</w:t>
      </w:r>
    </w:p>
    <w:p>
      <w:pPr>
        <w:spacing w:after="60" w:line="252" w:lineRule="auto"/>
      </w:pPr>
      <w:r>
        <w:rPr>
          <w:rFonts w:ascii="Arial" w:hAnsi="Arial"/>
          <w:b w:val="0"/>
          <w:i w:val="0"/>
          <w:sz w:val="19"/>
        </w:rPr>
        <w:t>LightGBM fits PCOSina because the ML problem is tabular ranking: recipe calories, protein, carbs, fats, fiber, cost, cooking time, meal-slot flags, pantry overlap, restrictions, and feedback tags. A deep neural model or language model would be heavier and harder to explain for this small structured ranking layer. LightGBM is fast enough for Stage 1 candidate scoring and supports feature-importance style inspection.</w:t>
      </w:r>
    </w:p>
    <w:tbl>
      <w:tblPr>
        <w:tblStyle w:val="TableGrid"/>
        <w:tblW w:type="auto" w:w="0"/>
        <w:tblLook w:firstColumn="1" w:firstRow="1" w:lastColumn="0" w:lastRow="0" w:noHBand="0" w:noVBand="1" w:val="04A0"/>
      </w:tblPr>
      <w:tblGrid>
        <w:gridCol w:w="3456"/>
        <w:gridCol w:w="3456"/>
        <w:gridCol w:w="3456"/>
      </w:tblGrid>
      <w:tr>
        <w:tc>
          <w:tcPr>
            <w:tcW w:type="dxa" w:w="2160"/>
          </w:tcPr>
          <w:p>
            <w:r/>
            <w:r>
              <w:rPr>
                <w:rFonts w:ascii="Arial" w:hAnsi="Arial"/>
                <w:b/>
                <w:i w:val="0"/>
                <w:sz w:val="17"/>
              </w:rPr>
              <w:t>Metric</w:t>
            </w:r>
          </w:p>
        </w:tc>
        <w:tc>
          <w:tcPr>
            <w:tcW w:type="dxa" w:w="2448"/>
          </w:tcPr>
          <w:p>
            <w:r/>
            <w:r>
              <w:rPr>
                <w:rFonts w:ascii="Arial" w:hAnsi="Arial"/>
                <w:b/>
                <w:i w:val="0"/>
                <w:sz w:val="17"/>
              </w:rPr>
              <w:t>Current artifact value</w:t>
            </w:r>
          </w:p>
        </w:tc>
        <w:tc>
          <w:tcPr>
            <w:tcW w:type="dxa" w:w="6480"/>
          </w:tcPr>
          <w:p>
            <w:r/>
            <w:r>
              <w:rPr>
                <w:rFonts w:ascii="Arial" w:hAnsi="Arial"/>
                <w:b/>
                <w:i w:val="0"/>
                <w:sz w:val="17"/>
              </w:rPr>
              <w:t>Defense meaning</w:t>
            </w:r>
          </w:p>
        </w:tc>
      </w:tr>
      <w:tr>
        <w:tc>
          <w:tcPr>
            <w:tcW w:type="dxa" w:w="2160"/>
          </w:tcPr>
          <w:p>
            <w:r/>
            <w:r>
              <w:rPr>
                <w:rFonts w:ascii="Arial" w:hAnsi="Arial"/>
                <w:b w:val="0"/>
                <w:i w:val="0"/>
                <w:sz w:val="16"/>
              </w:rPr>
              <w:t>Rows / positive rate</w:t>
            </w:r>
          </w:p>
        </w:tc>
        <w:tc>
          <w:tcPr>
            <w:tcW w:type="dxa" w:w="2448"/>
          </w:tcPr>
          <w:p>
            <w:r/>
            <w:r>
              <w:rPr>
                <w:rFonts w:ascii="Arial" w:hAnsi="Arial"/>
                <w:b w:val="0"/>
                <w:i w:val="0"/>
                <w:sz w:val="16"/>
              </w:rPr>
              <w:t>74,112 rows / 6.27%</w:t>
            </w:r>
          </w:p>
        </w:tc>
        <w:tc>
          <w:tcPr>
            <w:tcW w:type="dxa" w:w="6480"/>
          </w:tcPr>
          <w:p>
            <w:r/>
            <w:r>
              <w:rPr>
                <w:rFonts w:ascii="Arial" w:hAnsi="Arial"/>
                <w:b w:val="0"/>
                <w:i w:val="0"/>
                <w:sz w:val="16"/>
              </w:rPr>
              <w:t>Many safe candidate rows; selected-by-solver rows are a minority.</w:t>
            </w:r>
          </w:p>
        </w:tc>
      </w:tr>
      <w:tr>
        <w:tc>
          <w:tcPr>
            <w:tcW w:type="dxa" w:w="2160"/>
          </w:tcPr>
          <w:p>
            <w:r/>
            <w:r>
              <w:rPr>
                <w:rFonts w:ascii="Arial" w:hAnsi="Arial"/>
                <w:b w:val="0"/>
                <w:i w:val="0"/>
                <w:sz w:val="16"/>
              </w:rPr>
              <w:t>Feature count</w:t>
            </w:r>
          </w:p>
        </w:tc>
        <w:tc>
          <w:tcPr>
            <w:tcW w:type="dxa" w:w="2448"/>
          </w:tcPr>
          <w:p>
            <w:r/>
            <w:r>
              <w:rPr>
                <w:rFonts w:ascii="Arial" w:hAnsi="Arial"/>
                <w:b w:val="0"/>
                <w:i w:val="0"/>
                <w:sz w:val="16"/>
              </w:rPr>
              <w:t>46</w:t>
            </w:r>
          </w:p>
        </w:tc>
        <w:tc>
          <w:tcPr>
            <w:tcW w:type="dxa" w:w="6480"/>
          </w:tcPr>
          <w:p>
            <w:r/>
            <w:r>
              <w:rPr>
                <w:rFonts w:ascii="Arial" w:hAnsi="Arial"/>
                <w:b w:val="0"/>
                <w:i w:val="0"/>
                <w:sz w:val="16"/>
              </w:rPr>
              <w:t>Structured recipe/profile/feedback features, not free-text generation.</w:t>
            </w:r>
          </w:p>
        </w:tc>
      </w:tr>
      <w:tr>
        <w:tc>
          <w:tcPr>
            <w:tcW w:type="dxa" w:w="2160"/>
          </w:tcPr>
          <w:p>
            <w:r/>
            <w:r>
              <w:rPr>
                <w:rFonts w:ascii="Arial" w:hAnsi="Arial"/>
                <w:b w:val="0"/>
                <w:i w:val="0"/>
                <w:sz w:val="16"/>
              </w:rPr>
              <w:t>Test AUC</w:t>
            </w:r>
          </w:p>
        </w:tc>
        <w:tc>
          <w:tcPr>
            <w:tcW w:type="dxa" w:w="2448"/>
          </w:tcPr>
          <w:p>
            <w:r/>
            <w:r>
              <w:rPr>
                <w:rFonts w:ascii="Arial" w:hAnsi="Arial"/>
                <w:b w:val="0"/>
                <w:i w:val="0"/>
                <w:sz w:val="16"/>
              </w:rPr>
              <w:t>0.9373</w:t>
            </w:r>
          </w:p>
        </w:tc>
        <w:tc>
          <w:tcPr>
            <w:tcW w:type="dxa" w:w="6480"/>
          </w:tcPr>
          <w:p>
            <w:r/>
            <w:r>
              <w:rPr>
                <w:rFonts w:ascii="Arial" w:hAnsi="Arial"/>
                <w:b w:val="0"/>
                <w:i w:val="0"/>
                <w:sz w:val="16"/>
              </w:rPr>
              <w:t>Selected candidates generally score above unselected safe candidates.</w:t>
            </w:r>
          </w:p>
        </w:tc>
      </w:tr>
      <w:tr>
        <w:tc>
          <w:tcPr>
            <w:tcW w:type="dxa" w:w="2160"/>
          </w:tcPr>
          <w:p>
            <w:r/>
            <w:r>
              <w:rPr>
                <w:rFonts w:ascii="Arial" w:hAnsi="Arial"/>
                <w:b w:val="0"/>
                <w:i w:val="0"/>
                <w:sz w:val="16"/>
              </w:rPr>
              <w:t>Test log loss</w:t>
            </w:r>
          </w:p>
        </w:tc>
        <w:tc>
          <w:tcPr>
            <w:tcW w:type="dxa" w:w="2448"/>
          </w:tcPr>
          <w:p>
            <w:r/>
            <w:r>
              <w:rPr>
                <w:rFonts w:ascii="Arial" w:hAnsi="Arial"/>
                <w:b w:val="0"/>
                <w:i w:val="0"/>
                <w:sz w:val="16"/>
              </w:rPr>
              <w:t>0.1024</w:t>
            </w:r>
          </w:p>
        </w:tc>
        <w:tc>
          <w:tcPr>
            <w:tcW w:type="dxa" w:w="6480"/>
          </w:tcPr>
          <w:p>
            <w:r/>
            <w:r>
              <w:rPr>
                <w:rFonts w:ascii="Arial" w:hAnsi="Arial"/>
                <w:b w:val="0"/>
                <w:i w:val="0"/>
                <w:sz w:val="16"/>
              </w:rPr>
              <w:t>Probability confidence is reasonably controlled; lower is better.</w:t>
            </w:r>
          </w:p>
        </w:tc>
      </w:tr>
      <w:tr>
        <w:tc>
          <w:tcPr>
            <w:tcW w:type="dxa" w:w="2160"/>
          </w:tcPr>
          <w:p>
            <w:r/>
            <w:r>
              <w:rPr>
                <w:rFonts w:ascii="Arial" w:hAnsi="Arial"/>
                <w:b w:val="0"/>
                <w:i w:val="0"/>
                <w:sz w:val="16"/>
              </w:rPr>
              <w:t>Test NDCG@10</w:t>
            </w:r>
          </w:p>
        </w:tc>
        <w:tc>
          <w:tcPr>
            <w:tcW w:type="dxa" w:w="2448"/>
          </w:tcPr>
          <w:p>
            <w:r/>
            <w:r>
              <w:rPr>
                <w:rFonts w:ascii="Arial" w:hAnsi="Arial"/>
                <w:b w:val="0"/>
                <w:i w:val="0"/>
                <w:sz w:val="16"/>
              </w:rPr>
              <w:t>0.9211 vs heuristic 0.8838</w:t>
            </w:r>
          </w:p>
        </w:tc>
        <w:tc>
          <w:tcPr>
            <w:tcW w:type="dxa" w:w="6480"/>
          </w:tcPr>
          <w:p>
            <w:r/>
            <w:r>
              <w:rPr>
                <w:rFonts w:ascii="Arial" w:hAnsi="Arial"/>
                <w:b w:val="0"/>
                <w:i w:val="0"/>
                <w:sz w:val="16"/>
              </w:rPr>
              <w:t>Better top-10 ranking order than deterministic heuristic alone.</w:t>
            </w:r>
          </w:p>
        </w:tc>
      </w:tr>
      <w:tr>
        <w:tc>
          <w:tcPr>
            <w:tcW w:type="dxa" w:w="2160"/>
          </w:tcPr>
          <w:p>
            <w:r/>
            <w:r>
              <w:rPr>
                <w:rFonts w:ascii="Arial" w:hAnsi="Arial"/>
                <w:b w:val="0"/>
                <w:i w:val="0"/>
                <w:sz w:val="16"/>
              </w:rPr>
              <w:t>Test MAP@10</w:t>
            </w:r>
          </w:p>
        </w:tc>
        <w:tc>
          <w:tcPr>
            <w:tcW w:type="dxa" w:w="2448"/>
          </w:tcPr>
          <w:p>
            <w:r/>
            <w:r>
              <w:rPr>
                <w:rFonts w:ascii="Arial" w:hAnsi="Arial"/>
                <w:b w:val="0"/>
                <w:i w:val="0"/>
                <w:sz w:val="16"/>
              </w:rPr>
              <w:t>0.6779 vs heuristic 0.6275</w:t>
            </w:r>
          </w:p>
        </w:tc>
        <w:tc>
          <w:tcPr>
            <w:tcW w:type="dxa" w:w="6480"/>
          </w:tcPr>
          <w:p>
            <w:r/>
            <w:r>
              <w:rPr>
                <w:rFonts w:ascii="Arial" w:hAnsi="Arial"/>
                <w:b w:val="0"/>
                <w:i w:val="0"/>
                <w:sz w:val="16"/>
              </w:rPr>
              <w:t>More selected candidates appear early in the top-10 list.</w:t>
            </w:r>
          </w:p>
        </w:tc>
      </w:tr>
    </w:tbl>
    <w:p/>
    <w:p>
      <w:pPr>
        <w:spacing w:after="60" w:line="252" w:lineRule="auto"/>
      </w:pPr>
      <w:r>
        <w:rPr>
          <w:rFonts w:ascii="Arial" w:hAnsi="Arial"/>
          <w:b/>
          <w:i w:val="0"/>
          <w:sz w:val="19"/>
        </w:rPr>
        <w:t>Why 15% ML weight:</w:t>
      </w:r>
      <w:r>
        <w:rPr>
          <w:rFonts w:ascii="Arial" w:hAnsi="Arial"/>
          <w:b w:val="0"/>
          <w:i w:val="0"/>
          <w:sz w:val="19"/>
        </w:rPr>
        <w:t xml:space="preserve"> The ML score is intentionally a small boost, not a replacement for deterministic scoring. At 15%, it can change ordering when candidates are close, but it should not dominate safety, nutrition anchors, cost, cooking time, or hard filters. The 30% cap is the guardrail; the current 15% is conservative because ML is assistive.</w:t>
      </w:r>
    </w:p>
    <w:p>
      <w:pPr>
        <w:spacing w:after="60" w:line="252" w:lineRule="auto"/>
      </w:pPr>
      <w:r>
        <w:rPr>
          <w:rFonts w:ascii="Arial" w:hAnsi="Arial"/>
          <w:b/>
          <w:i w:val="0"/>
          <w:sz w:val="19"/>
        </w:rPr>
        <w:t>Synthetic 60 users:</w:t>
      </w:r>
      <w:r>
        <w:rPr>
          <w:rFonts w:ascii="Arial" w:hAnsi="Arial"/>
          <w:b w:val="0"/>
          <w:i w:val="0"/>
          <w:sz w:val="19"/>
        </w:rPr>
        <w:t xml:space="preserve"> The 60 unique users in Table 39 are synthetic/offline scenario identities used for reproducible training telemetry, not real respondent claims. This does not destroy credibility if stated honestly. It means the ML artifact validates ranking behavior under controlled scenario coverage, while live user generalization remains a rollout limitation and recommendation.</w:t>
      </w:r>
    </w:p>
    <w:p>
      <w:pPr>
        <w:spacing w:before="160" w:after="40"/>
      </w:pPr>
      <w:r>
        <w:rPr>
          <w:rFonts w:ascii="Arial" w:hAnsi="Arial"/>
          <w:b/>
          <w:i w:val="0"/>
          <w:sz w:val="24"/>
        </w:rPr>
        <w:t>6. ML Accuracy Defense</w:t>
      </w:r>
    </w:p>
    <w:p>
      <w:pPr>
        <w:spacing w:after="60" w:line="252" w:lineRule="auto"/>
      </w:pPr>
      <w:r>
        <w:rPr>
          <w:rFonts w:ascii="Arial" w:hAnsi="Arial"/>
          <w:b w:val="0"/>
          <w:i w:val="0"/>
          <w:sz w:val="19"/>
        </w:rPr>
        <w:t>Do not claim one overall ML accuracy percentage as the main metric. The model is not diagnosing PCOS and is not classifying users. It ranks already-safe candidate recipes. Accuracy can be computed by thresholding selected vs unselected labels, but it would be misleading because only 6.27% of candidate rows are positive. A model could get high accuracy by mostly predicting 'not selected' and still be poor at ranking useful meals.</w:t>
      </w:r>
    </w:p>
    <w:p>
      <w:pPr>
        <w:spacing w:after="80"/>
        <w:ind w:left="360"/>
      </w:pPr>
      <w:r>
        <w:rPr>
          <w:rFonts w:ascii="Arial" w:hAnsi="Arial"/>
          <w:b w:val="0"/>
          <w:i/>
          <w:sz w:val="19"/>
        </w:rPr>
        <w:t>Defense script: If the panel requires a classifier-style metric, we can provide AUC and log loss as binary evaluation metrics, but we should explain that NDCG@10 and MAP@10 are more appropriate because the app uses ML to rank safe candidate recipes, not to make a medical diagnosis or final meal-plan decision.</w:t>
      </w:r>
    </w:p>
    <w:p>
      <w:pPr>
        <w:spacing w:before="160" w:after="40"/>
      </w:pPr>
      <w:r>
        <w:rPr>
          <w:rFonts w:ascii="Arial" w:hAnsi="Arial"/>
          <w:b/>
          <w:i w:val="0"/>
          <w:sz w:val="24"/>
        </w:rPr>
        <w:t>7. Time Complexity Answer</w:t>
      </w:r>
    </w:p>
    <w:tbl>
      <w:tblPr>
        <w:tblStyle w:val="TableGrid"/>
        <w:tblW w:type="auto" w:w="0"/>
        <w:tblLook w:firstColumn="1" w:firstRow="1" w:lastColumn="0" w:lastRow="0" w:noHBand="0" w:noVBand="1" w:val="04A0"/>
      </w:tblPr>
      <w:tblGrid>
        <w:gridCol w:w="3456"/>
        <w:gridCol w:w="3456"/>
        <w:gridCol w:w="3456"/>
      </w:tblGrid>
      <w:tr>
        <w:tc>
          <w:tcPr>
            <w:tcW w:type="dxa" w:w="2160"/>
          </w:tcPr>
          <w:p>
            <w:r/>
            <w:r>
              <w:rPr>
                <w:rFonts w:ascii="Arial" w:hAnsi="Arial"/>
                <w:b/>
                <w:i w:val="0"/>
                <w:sz w:val="17"/>
              </w:rPr>
              <w:t>Part</w:t>
            </w:r>
          </w:p>
        </w:tc>
        <w:tc>
          <w:tcPr>
            <w:tcW w:type="dxa" w:w="2448"/>
          </w:tcPr>
          <w:p>
            <w:r/>
            <w:r>
              <w:rPr>
                <w:rFonts w:ascii="Arial" w:hAnsi="Arial"/>
                <w:b/>
                <w:i w:val="0"/>
                <w:sz w:val="17"/>
              </w:rPr>
              <w:t>Approximate complexity</w:t>
            </w:r>
          </w:p>
        </w:tc>
        <w:tc>
          <w:tcPr>
            <w:tcW w:type="dxa" w:w="6480"/>
          </w:tcPr>
          <w:p>
            <w:r/>
            <w:r>
              <w:rPr>
                <w:rFonts w:ascii="Arial" w:hAnsi="Arial"/>
                <w:b/>
                <w:i w:val="0"/>
                <w:sz w:val="17"/>
              </w:rPr>
              <w:t>Defense explanation</w:t>
            </w:r>
          </w:p>
        </w:tc>
      </w:tr>
      <w:tr>
        <w:tc>
          <w:tcPr>
            <w:tcW w:type="dxa" w:w="2160"/>
          </w:tcPr>
          <w:p>
            <w:r/>
            <w:r>
              <w:rPr>
                <w:rFonts w:ascii="Arial" w:hAnsi="Arial"/>
                <w:b w:val="0"/>
                <w:i w:val="0"/>
                <w:sz w:val="16"/>
              </w:rPr>
              <w:t>Filtering</w:t>
            </w:r>
          </w:p>
        </w:tc>
        <w:tc>
          <w:tcPr>
            <w:tcW w:type="dxa" w:w="2448"/>
          </w:tcPr>
          <w:p>
            <w:r/>
            <w:r>
              <w:rPr>
                <w:rFonts w:ascii="Arial" w:hAnsi="Arial"/>
                <w:b w:val="0"/>
                <w:i w:val="0"/>
                <w:sz w:val="16"/>
              </w:rPr>
              <w:t>O(R x I)</w:t>
            </w:r>
          </w:p>
        </w:tc>
        <w:tc>
          <w:tcPr>
            <w:tcW w:type="dxa" w:w="6480"/>
          </w:tcPr>
          <w:p>
            <w:r/>
            <w:r>
              <w:rPr>
                <w:rFonts w:ascii="Arial" w:hAnsi="Arial"/>
                <w:b w:val="0"/>
                <w:i w:val="0"/>
                <w:sz w:val="16"/>
              </w:rPr>
              <w:t>R recipes checked against I average ingredient/restriction tokens.</w:t>
            </w:r>
          </w:p>
        </w:tc>
      </w:tr>
      <w:tr>
        <w:tc>
          <w:tcPr>
            <w:tcW w:type="dxa" w:w="2160"/>
          </w:tcPr>
          <w:p>
            <w:r/>
            <w:r>
              <w:rPr>
                <w:rFonts w:ascii="Arial" w:hAnsi="Arial"/>
                <w:b w:val="0"/>
                <w:i w:val="0"/>
                <w:sz w:val="16"/>
              </w:rPr>
              <w:t>Scoring</w:t>
            </w:r>
          </w:p>
        </w:tc>
        <w:tc>
          <w:tcPr>
            <w:tcW w:type="dxa" w:w="2448"/>
          </w:tcPr>
          <w:p>
            <w:r/>
            <w:r>
              <w:rPr>
                <w:rFonts w:ascii="Arial" w:hAnsi="Arial"/>
                <w:b w:val="0"/>
                <w:i w:val="0"/>
                <w:sz w:val="16"/>
              </w:rPr>
              <w:t>O(C)</w:t>
            </w:r>
          </w:p>
        </w:tc>
        <w:tc>
          <w:tcPr>
            <w:tcW w:type="dxa" w:w="6480"/>
          </w:tcPr>
          <w:p>
            <w:r/>
            <w:r>
              <w:rPr>
                <w:rFonts w:ascii="Arial" w:hAnsi="Arial"/>
                <w:b w:val="0"/>
                <w:i w:val="0"/>
                <w:sz w:val="16"/>
              </w:rPr>
              <w:t>Each safe candidate receives deterministic score signals.</w:t>
            </w:r>
          </w:p>
        </w:tc>
      </w:tr>
      <w:tr>
        <w:tc>
          <w:tcPr>
            <w:tcW w:type="dxa" w:w="2160"/>
          </w:tcPr>
          <w:p>
            <w:r/>
            <w:r>
              <w:rPr>
                <w:rFonts w:ascii="Arial" w:hAnsi="Arial"/>
                <w:b w:val="0"/>
                <w:i w:val="0"/>
                <w:sz w:val="16"/>
              </w:rPr>
              <w:t>Sorting/ranking</w:t>
            </w:r>
          </w:p>
        </w:tc>
        <w:tc>
          <w:tcPr>
            <w:tcW w:type="dxa" w:w="2448"/>
          </w:tcPr>
          <w:p>
            <w:r/>
            <w:r>
              <w:rPr>
                <w:rFonts w:ascii="Arial" w:hAnsi="Arial"/>
                <w:b w:val="0"/>
                <w:i w:val="0"/>
                <w:sz w:val="16"/>
              </w:rPr>
              <w:t>O(C log C)</w:t>
            </w:r>
          </w:p>
        </w:tc>
        <w:tc>
          <w:tcPr>
            <w:tcW w:type="dxa" w:w="6480"/>
          </w:tcPr>
          <w:p>
            <w:r/>
            <w:r>
              <w:rPr>
                <w:rFonts w:ascii="Arial" w:hAnsi="Arial"/>
                <w:b w:val="0"/>
                <w:i w:val="0"/>
                <w:sz w:val="16"/>
              </w:rPr>
              <w:t>Candidates are ordered before pruning/capping.</w:t>
            </w:r>
          </w:p>
        </w:tc>
      </w:tr>
      <w:tr>
        <w:tc>
          <w:tcPr>
            <w:tcW w:type="dxa" w:w="2160"/>
          </w:tcPr>
          <w:p>
            <w:r/>
            <w:r>
              <w:rPr>
                <w:rFonts w:ascii="Arial" w:hAnsi="Arial"/>
                <w:b w:val="0"/>
                <w:i w:val="0"/>
                <w:sz w:val="16"/>
              </w:rPr>
              <w:t>Similarity dedup</w:t>
            </w:r>
          </w:p>
        </w:tc>
        <w:tc>
          <w:tcPr>
            <w:tcW w:type="dxa" w:w="2448"/>
          </w:tcPr>
          <w:p>
            <w:r/>
            <w:r>
              <w:rPr>
                <w:rFonts w:ascii="Arial" w:hAnsi="Arial"/>
                <w:b w:val="0"/>
                <w:i w:val="0"/>
                <w:sz w:val="16"/>
              </w:rPr>
              <w:t>Up to O(C^2)</w:t>
            </w:r>
          </w:p>
        </w:tc>
        <w:tc>
          <w:tcPr>
            <w:tcW w:type="dxa" w:w="6480"/>
          </w:tcPr>
          <w:p>
            <w:r/>
            <w:r>
              <w:rPr>
                <w:rFonts w:ascii="Arial" w:hAnsi="Arial"/>
                <w:b w:val="0"/>
                <w:i w:val="0"/>
                <w:sz w:val="16"/>
              </w:rPr>
              <w:t>Pairwise similarity can be quadratic, so PCOSina prunes and caps the pool.</w:t>
            </w:r>
          </w:p>
        </w:tc>
      </w:tr>
      <w:tr>
        <w:tc>
          <w:tcPr>
            <w:tcW w:type="dxa" w:w="2160"/>
          </w:tcPr>
          <w:p>
            <w:r/>
            <w:r>
              <w:rPr>
                <w:rFonts w:ascii="Arial" w:hAnsi="Arial"/>
                <w:b w:val="0"/>
                <w:i w:val="0"/>
                <w:sz w:val="16"/>
              </w:rPr>
              <w:t>LightGBM inference</w:t>
            </w:r>
          </w:p>
        </w:tc>
        <w:tc>
          <w:tcPr>
            <w:tcW w:type="dxa" w:w="2448"/>
          </w:tcPr>
          <w:p>
            <w:r/>
            <w:r>
              <w:rPr>
                <w:rFonts w:ascii="Arial" w:hAnsi="Arial"/>
                <w:b w:val="0"/>
                <w:i w:val="0"/>
                <w:sz w:val="16"/>
              </w:rPr>
              <w:t>Approximately O(C x T x L)</w:t>
            </w:r>
          </w:p>
        </w:tc>
        <w:tc>
          <w:tcPr>
            <w:tcW w:type="dxa" w:w="6480"/>
          </w:tcPr>
          <w:p>
            <w:r/>
            <w:r>
              <w:rPr>
                <w:rFonts w:ascii="Arial" w:hAnsi="Arial"/>
                <w:b w:val="0"/>
                <w:i w:val="0"/>
                <w:sz w:val="16"/>
              </w:rPr>
              <w:t>C candidates through a fixed number of trees/leaves; practically near-linear for fixed model size.</w:t>
            </w:r>
          </w:p>
        </w:tc>
      </w:tr>
      <w:tr>
        <w:tc>
          <w:tcPr>
            <w:tcW w:type="dxa" w:w="2160"/>
          </w:tcPr>
          <w:p>
            <w:r/>
            <w:r>
              <w:rPr>
                <w:rFonts w:ascii="Arial" w:hAnsi="Arial"/>
                <w:b w:val="0"/>
                <w:i w:val="0"/>
                <w:sz w:val="16"/>
              </w:rPr>
              <w:t>CP-SAT</w:t>
            </w:r>
          </w:p>
        </w:tc>
        <w:tc>
          <w:tcPr>
            <w:tcW w:type="dxa" w:w="2448"/>
          </w:tcPr>
          <w:p>
            <w:r/>
            <w:r>
              <w:rPr>
                <w:rFonts w:ascii="Arial" w:hAnsi="Arial"/>
                <w:b w:val="0"/>
                <w:i w:val="0"/>
                <w:sz w:val="16"/>
              </w:rPr>
              <w:t>Combinatorial worst case</w:t>
            </w:r>
          </w:p>
        </w:tc>
        <w:tc>
          <w:tcPr>
            <w:tcW w:type="dxa" w:w="6480"/>
          </w:tcPr>
          <w:p>
            <w:r/>
            <w:r>
              <w:rPr>
                <w:rFonts w:ascii="Arial" w:hAnsi="Arial"/>
                <w:b w:val="0"/>
                <w:i w:val="0"/>
                <w:sz w:val="16"/>
              </w:rPr>
              <w:t>The solver searches binary assignments over slots and candidates; Stage 1 controls practical size.</w:t>
            </w:r>
          </w:p>
        </w:tc>
      </w:tr>
    </w:tbl>
    <w:p/>
    <w:p>
      <w:pPr>
        <w:spacing w:after="80"/>
        <w:ind w:left="360"/>
      </w:pPr>
      <w:r>
        <w:rPr>
          <w:rFonts w:ascii="Arial" w:hAnsi="Arial"/>
          <w:b w:val="0"/>
          <w:i/>
          <w:sz w:val="19"/>
        </w:rPr>
        <w:t>Defense script: PCOSina does have time complexity, but not one single Big-O for the whole system. Filtering is roughly linear, ranking is dominated by sorting, deduplication can be quadratic, and CP-SAT is combinatorial in worst case. That is exactly why Stage 1 filtering, pruning, pool capping, and a fixed 21-slot horizon are necessary.</w:t>
      </w:r>
    </w:p>
    <w:p>
      <w:pPr>
        <w:spacing w:before="160" w:after="40"/>
      </w:pPr>
      <w:r>
        <w:rPr>
          <w:rFonts w:ascii="Arial" w:hAnsi="Arial"/>
          <w:b/>
          <w:i w:val="0"/>
          <w:sz w:val="24"/>
        </w:rPr>
        <w:t>8. CP-SAT and MILP-Style Formulation</w:t>
      </w:r>
    </w:p>
    <w:p>
      <w:pPr>
        <w:spacing w:after="60" w:line="252" w:lineRule="auto"/>
      </w:pPr>
      <w:r>
        <w:rPr>
          <w:rFonts w:ascii="Arial" w:hAnsi="Arial"/>
          <w:b/>
          <w:i w:val="0"/>
          <w:sz w:val="19"/>
        </w:rPr>
        <w:t>Best wording:</w:t>
      </w:r>
      <w:r>
        <w:rPr>
          <w:rFonts w:ascii="Arial" w:hAnsi="Arial"/>
          <w:b w:val="0"/>
          <w:i w:val="0"/>
          <w:sz w:val="19"/>
        </w:rPr>
        <w:t xml:space="preserve"> PCOSina uses a MILP-style 0-1 linear assignment formulation implemented with OR-Tools CP-SAT. It is MILP-style because the model has binary decision variables, linear constraints, and a weighted linear objective. It is not solved by a classical LP/MIP simplex/branch-and-bound MPSolver path; the actual solver is CP-SAT.</w:t>
      </w:r>
    </w:p>
    <w:tbl>
      <w:tblPr>
        <w:tblStyle w:val="TableGrid"/>
        <w:tblW w:type="auto" w:w="0"/>
        <w:tblLook w:firstColumn="1" w:firstRow="1" w:lastColumn="0" w:lastRow="0" w:noHBand="0" w:noVBand="1" w:val="04A0"/>
      </w:tblPr>
      <w:tblGrid>
        <w:gridCol w:w="3456"/>
        <w:gridCol w:w="3456"/>
        <w:gridCol w:w="3456"/>
      </w:tblGrid>
      <w:tr>
        <w:tc>
          <w:tcPr>
            <w:tcW w:type="dxa" w:w="2160"/>
          </w:tcPr>
          <w:p>
            <w:r/>
            <w:r>
              <w:rPr>
                <w:rFonts w:ascii="Arial" w:hAnsi="Arial"/>
                <w:b/>
                <w:i w:val="0"/>
                <w:sz w:val="17"/>
              </w:rPr>
              <w:t>Evidence</w:t>
            </w:r>
          </w:p>
        </w:tc>
        <w:tc>
          <w:tcPr>
            <w:tcW w:type="dxa" w:w="3168"/>
          </w:tcPr>
          <w:p>
            <w:r/>
            <w:r>
              <w:rPr>
                <w:rFonts w:ascii="Arial" w:hAnsi="Arial"/>
                <w:b/>
                <w:i w:val="0"/>
                <w:sz w:val="17"/>
              </w:rPr>
              <w:t>Code location</w:t>
            </w:r>
          </w:p>
        </w:tc>
        <w:tc>
          <w:tcPr>
            <w:tcW w:type="dxa" w:w="5760"/>
          </w:tcPr>
          <w:p>
            <w:r/>
            <w:r>
              <w:rPr>
                <w:rFonts w:ascii="Arial" w:hAnsi="Arial"/>
                <w:b/>
                <w:i w:val="0"/>
                <w:sz w:val="17"/>
              </w:rPr>
              <w:t>What it proves</w:t>
            </w:r>
          </w:p>
        </w:tc>
      </w:tr>
      <w:tr>
        <w:tc>
          <w:tcPr>
            <w:tcW w:type="dxa" w:w="2160"/>
          </w:tcPr>
          <w:p>
            <w:r/>
            <w:r>
              <w:rPr>
                <w:rFonts w:ascii="Arial" w:hAnsi="Arial"/>
                <w:b w:val="0"/>
                <w:i w:val="0"/>
                <w:sz w:val="16"/>
              </w:rPr>
              <w:t>OR-Tools import</w:t>
            </w:r>
          </w:p>
        </w:tc>
        <w:tc>
          <w:tcPr>
            <w:tcW w:type="dxa" w:w="3168"/>
          </w:tcPr>
          <w:p>
            <w:r/>
            <w:r>
              <w:rPr>
                <w:rFonts w:ascii="Arial" w:hAnsi="Arial"/>
                <w:b w:val="0"/>
                <w:i w:val="0"/>
                <w:sz w:val="16"/>
              </w:rPr>
              <w:t>backend/services/meal_planner.py:10</w:t>
            </w:r>
          </w:p>
        </w:tc>
        <w:tc>
          <w:tcPr>
            <w:tcW w:type="dxa" w:w="5760"/>
          </w:tcPr>
          <w:p>
            <w:r/>
            <w:r>
              <w:rPr>
                <w:rFonts w:ascii="Arial" w:hAnsi="Arial"/>
                <w:b w:val="0"/>
                <w:i w:val="0"/>
                <w:sz w:val="16"/>
              </w:rPr>
              <w:t>Uses OR-Tools CP-SAT API.</w:t>
            </w:r>
          </w:p>
        </w:tc>
      </w:tr>
      <w:tr>
        <w:tc>
          <w:tcPr>
            <w:tcW w:type="dxa" w:w="2160"/>
          </w:tcPr>
          <w:p>
            <w:r/>
            <w:r>
              <w:rPr>
                <w:rFonts w:ascii="Arial" w:hAnsi="Arial"/>
                <w:b w:val="0"/>
                <w:i w:val="0"/>
                <w:sz w:val="16"/>
              </w:rPr>
              <w:t>Model creation</w:t>
            </w:r>
          </w:p>
        </w:tc>
        <w:tc>
          <w:tcPr>
            <w:tcW w:type="dxa" w:w="3168"/>
          </w:tcPr>
          <w:p>
            <w:r/>
            <w:r>
              <w:rPr>
                <w:rFonts w:ascii="Arial" w:hAnsi="Arial"/>
                <w:b w:val="0"/>
                <w:i w:val="0"/>
                <w:sz w:val="16"/>
              </w:rPr>
              <w:t>backend/services/meal_planner.py:2893</w:t>
            </w:r>
          </w:p>
        </w:tc>
        <w:tc>
          <w:tcPr>
            <w:tcW w:type="dxa" w:w="5760"/>
          </w:tcPr>
          <w:p>
            <w:r/>
            <w:r>
              <w:rPr>
                <w:rFonts w:ascii="Arial" w:hAnsi="Arial"/>
                <w:b w:val="0"/>
                <w:i w:val="0"/>
                <w:sz w:val="16"/>
              </w:rPr>
              <w:t>Creates CpModel.</w:t>
            </w:r>
          </w:p>
        </w:tc>
      </w:tr>
      <w:tr>
        <w:tc>
          <w:tcPr>
            <w:tcW w:type="dxa" w:w="2160"/>
          </w:tcPr>
          <w:p>
            <w:r/>
            <w:r>
              <w:rPr>
                <w:rFonts w:ascii="Arial" w:hAnsi="Arial"/>
                <w:b w:val="0"/>
                <w:i w:val="0"/>
                <w:sz w:val="16"/>
              </w:rPr>
              <w:t>Binary variable</w:t>
            </w:r>
          </w:p>
        </w:tc>
        <w:tc>
          <w:tcPr>
            <w:tcW w:type="dxa" w:w="3168"/>
          </w:tcPr>
          <w:p>
            <w:r/>
            <w:r>
              <w:rPr>
                <w:rFonts w:ascii="Arial" w:hAnsi="Arial"/>
                <w:b w:val="0"/>
                <w:i w:val="0"/>
                <w:sz w:val="16"/>
              </w:rPr>
              <w:t>backend/services/meal_planner.py:2898</w:t>
            </w:r>
          </w:p>
        </w:tc>
        <w:tc>
          <w:tcPr>
            <w:tcW w:type="dxa" w:w="5760"/>
          </w:tcPr>
          <w:p>
            <w:r/>
            <w:r>
              <w:rPr>
                <w:rFonts w:ascii="Arial" w:hAnsi="Arial"/>
                <w:b w:val="0"/>
                <w:i w:val="0"/>
                <w:sz w:val="16"/>
              </w:rPr>
              <w:t>x[s,i] is 0/1 recipe-slot selection.</w:t>
            </w:r>
          </w:p>
        </w:tc>
      </w:tr>
      <w:tr>
        <w:tc>
          <w:tcPr>
            <w:tcW w:type="dxa" w:w="2160"/>
          </w:tcPr>
          <w:p>
            <w:r/>
            <w:r>
              <w:rPr>
                <w:rFonts w:ascii="Arial" w:hAnsi="Arial"/>
                <w:b w:val="0"/>
                <w:i w:val="0"/>
                <w:sz w:val="16"/>
              </w:rPr>
              <w:t>Slot coverage</w:t>
            </w:r>
          </w:p>
        </w:tc>
        <w:tc>
          <w:tcPr>
            <w:tcW w:type="dxa" w:w="3168"/>
          </w:tcPr>
          <w:p>
            <w:r/>
            <w:r>
              <w:rPr>
                <w:rFonts w:ascii="Arial" w:hAnsi="Arial"/>
                <w:b w:val="0"/>
                <w:i w:val="0"/>
                <w:sz w:val="16"/>
              </w:rPr>
              <w:t>backend/services/meal_planner.py:2905</w:t>
            </w:r>
          </w:p>
        </w:tc>
        <w:tc>
          <w:tcPr>
            <w:tcW w:type="dxa" w:w="5760"/>
          </w:tcPr>
          <w:p>
            <w:r/>
            <w:r>
              <w:rPr>
                <w:rFonts w:ascii="Arial" w:hAnsi="Arial"/>
                <w:b w:val="0"/>
                <w:i w:val="0"/>
                <w:sz w:val="16"/>
              </w:rPr>
              <w:t>Each slot gets exactly one recipe.</w:t>
            </w:r>
          </w:p>
        </w:tc>
      </w:tr>
      <w:tr>
        <w:tc>
          <w:tcPr>
            <w:tcW w:type="dxa" w:w="2160"/>
          </w:tcPr>
          <w:p>
            <w:r/>
            <w:r>
              <w:rPr>
                <w:rFonts w:ascii="Arial" w:hAnsi="Arial"/>
                <w:b w:val="0"/>
                <w:i w:val="0"/>
                <w:sz w:val="16"/>
              </w:rPr>
              <w:t>Repeat limit</w:t>
            </w:r>
          </w:p>
        </w:tc>
        <w:tc>
          <w:tcPr>
            <w:tcW w:type="dxa" w:w="3168"/>
          </w:tcPr>
          <w:p>
            <w:r/>
            <w:r>
              <w:rPr>
                <w:rFonts w:ascii="Arial" w:hAnsi="Arial"/>
                <w:b w:val="0"/>
                <w:i w:val="0"/>
                <w:sz w:val="16"/>
              </w:rPr>
              <w:t>backend/services/meal_planner.py:2937</w:t>
            </w:r>
          </w:p>
        </w:tc>
        <w:tc>
          <w:tcPr>
            <w:tcW w:type="dxa" w:w="5760"/>
          </w:tcPr>
          <w:p>
            <w:r/>
            <w:r>
              <w:rPr>
                <w:rFonts w:ascii="Arial" w:hAnsi="Arial"/>
                <w:b w:val="0"/>
                <w:i w:val="0"/>
                <w:sz w:val="16"/>
              </w:rPr>
              <w:t>Recipe use is bounded per plan attempt.</w:t>
            </w:r>
          </w:p>
        </w:tc>
      </w:tr>
      <w:tr>
        <w:tc>
          <w:tcPr>
            <w:tcW w:type="dxa" w:w="2160"/>
          </w:tcPr>
          <w:p>
            <w:r/>
            <w:r>
              <w:rPr>
                <w:rFonts w:ascii="Arial" w:hAnsi="Arial"/>
                <w:b w:val="0"/>
                <w:i w:val="0"/>
                <w:sz w:val="16"/>
              </w:rPr>
              <w:t>Budget cap</w:t>
            </w:r>
          </w:p>
        </w:tc>
        <w:tc>
          <w:tcPr>
            <w:tcW w:type="dxa" w:w="3168"/>
          </w:tcPr>
          <w:p>
            <w:r/>
            <w:r>
              <w:rPr>
                <w:rFonts w:ascii="Arial" w:hAnsi="Arial"/>
                <w:b w:val="0"/>
                <w:i w:val="0"/>
                <w:sz w:val="16"/>
              </w:rPr>
              <w:t>backend/services/meal_planner.py:3002</w:t>
            </w:r>
          </w:p>
        </w:tc>
        <w:tc>
          <w:tcPr>
            <w:tcW w:type="dxa" w:w="5760"/>
          </w:tcPr>
          <w:p>
            <w:r/>
            <w:r>
              <w:rPr>
                <w:rFonts w:ascii="Arial" w:hAnsi="Arial"/>
                <w:b w:val="0"/>
                <w:i w:val="0"/>
                <w:sz w:val="16"/>
              </w:rPr>
              <w:t>Weekly cost cap enforced when active.</w:t>
            </w:r>
          </w:p>
        </w:tc>
      </w:tr>
      <w:tr>
        <w:tc>
          <w:tcPr>
            <w:tcW w:type="dxa" w:w="2160"/>
          </w:tcPr>
          <w:p>
            <w:r/>
            <w:r>
              <w:rPr>
                <w:rFonts w:ascii="Arial" w:hAnsi="Arial"/>
                <w:b w:val="0"/>
                <w:i w:val="0"/>
                <w:sz w:val="16"/>
              </w:rPr>
              <w:t>Daily nutrition</w:t>
            </w:r>
          </w:p>
        </w:tc>
        <w:tc>
          <w:tcPr>
            <w:tcW w:type="dxa" w:w="3168"/>
          </w:tcPr>
          <w:p>
            <w:r/>
            <w:r>
              <w:rPr>
                <w:rFonts w:ascii="Arial" w:hAnsi="Arial"/>
                <w:b w:val="0"/>
                <w:i w:val="0"/>
                <w:sz w:val="16"/>
              </w:rPr>
              <w:t>backend/services/meal_planner.py:3017-3038</w:t>
            </w:r>
          </w:p>
        </w:tc>
        <w:tc>
          <w:tcPr>
            <w:tcW w:type="dxa" w:w="5760"/>
          </w:tcPr>
          <w:p>
            <w:r/>
            <w:r>
              <w:rPr>
                <w:rFonts w:ascii="Arial" w:hAnsi="Arial"/>
                <w:b w:val="0"/>
                <w:i w:val="0"/>
                <w:sz w:val="16"/>
              </w:rPr>
              <w:t>Calories, macros, and fiber constraints.</w:t>
            </w:r>
          </w:p>
        </w:tc>
      </w:tr>
      <w:tr>
        <w:tc>
          <w:tcPr>
            <w:tcW w:type="dxa" w:w="2160"/>
          </w:tcPr>
          <w:p>
            <w:r/>
            <w:r>
              <w:rPr>
                <w:rFonts w:ascii="Arial" w:hAnsi="Arial"/>
                <w:b w:val="0"/>
                <w:i w:val="0"/>
                <w:sz w:val="16"/>
              </w:rPr>
              <w:t>Objective</w:t>
            </w:r>
          </w:p>
        </w:tc>
        <w:tc>
          <w:tcPr>
            <w:tcW w:type="dxa" w:w="3168"/>
          </w:tcPr>
          <w:p>
            <w:r/>
            <w:r>
              <w:rPr>
                <w:rFonts w:ascii="Arial" w:hAnsi="Arial"/>
                <w:b w:val="0"/>
                <w:i w:val="0"/>
                <w:sz w:val="16"/>
              </w:rPr>
              <w:t>backend/services/meal_planner.py:3093</w:t>
            </w:r>
          </w:p>
        </w:tc>
        <w:tc>
          <w:tcPr>
            <w:tcW w:type="dxa" w:w="5760"/>
          </w:tcPr>
          <w:p>
            <w:r/>
            <w:r>
              <w:rPr>
                <w:rFonts w:ascii="Arial" w:hAnsi="Arial"/>
                <w:b w:val="0"/>
                <w:i w:val="0"/>
                <w:sz w:val="16"/>
              </w:rPr>
              <w:t>Weighted minimization objective.</w:t>
            </w:r>
          </w:p>
        </w:tc>
      </w:tr>
      <w:tr>
        <w:tc>
          <w:tcPr>
            <w:tcW w:type="dxa" w:w="2160"/>
          </w:tcPr>
          <w:p>
            <w:r/>
            <w:r>
              <w:rPr>
                <w:rFonts w:ascii="Arial" w:hAnsi="Arial"/>
                <w:b w:val="0"/>
                <w:i w:val="0"/>
                <w:sz w:val="16"/>
              </w:rPr>
              <w:t>Solve call</w:t>
            </w:r>
          </w:p>
        </w:tc>
        <w:tc>
          <w:tcPr>
            <w:tcW w:type="dxa" w:w="3168"/>
          </w:tcPr>
          <w:p>
            <w:r/>
            <w:r>
              <w:rPr>
                <w:rFonts w:ascii="Arial" w:hAnsi="Arial"/>
                <w:b w:val="0"/>
                <w:i w:val="0"/>
                <w:sz w:val="16"/>
              </w:rPr>
              <w:t>backend/services/meal_planner.py:3161</w:t>
            </w:r>
          </w:p>
        </w:tc>
        <w:tc>
          <w:tcPr>
            <w:tcW w:type="dxa" w:w="5760"/>
          </w:tcPr>
          <w:p>
            <w:r/>
            <w:r>
              <w:rPr>
                <w:rFonts w:ascii="Arial" w:hAnsi="Arial"/>
                <w:b w:val="0"/>
                <w:i w:val="0"/>
                <w:sz w:val="16"/>
              </w:rPr>
              <w:t>Solver actually solves the model.</w:t>
            </w:r>
          </w:p>
        </w:tc>
      </w:tr>
    </w:tbl>
    <w:p/>
    <w:p>
      <w:pPr>
        <w:spacing w:after="60" w:line="252" w:lineRule="auto"/>
      </w:pPr>
      <w:r>
        <w:rPr>
          <w:rFonts w:ascii="Arial" w:hAnsi="Arial"/>
          <w:b w:val="0"/>
          <w:i w:val="0"/>
          <w:sz w:val="19"/>
        </w:rPr>
        <w:t>If we only had CP-SAT without a formulation, nothing meaningful would be solved: the solver needs variables, constraints, and an objective. If we only had a formulation without a solver, we would only have math on paper. OR-Tools CP-SAT is the engine that searches the feasible space and returns OPTIMAL, FEASIBLE, INFEASIBLE, or UNKNOWN.</w:t>
      </w:r>
    </w:p>
    <w:p>
      <w:pPr>
        <w:spacing w:after="60" w:line="252" w:lineRule="auto"/>
      </w:pPr>
      <w:r>
        <w:rPr>
          <w:rFonts w:ascii="Arial" w:hAnsi="Arial"/>
          <w:b/>
          <w:i w:val="0"/>
          <w:sz w:val="19"/>
        </w:rPr>
        <w:t>Why OR-Tools CP-SAT:</w:t>
      </w:r>
      <w:r>
        <w:rPr>
          <w:rFonts w:ascii="Arial" w:hAnsi="Arial"/>
          <w:b w:val="0"/>
          <w:i w:val="0"/>
          <w:sz w:val="19"/>
        </w:rPr>
        <w:t xml:space="preserve"> It supports integer/binary constraints, assignment-style problems, feasibility statuses, time limits, multiple workers, and production Python integration. It is appropriate for a 0-1 weekly meal assignment problem where all selections are discrete.</w:t>
      </w:r>
    </w:p>
    <w:p>
      <w:pPr>
        <w:spacing w:before="160" w:after="40"/>
      </w:pPr>
      <w:r>
        <w:rPr>
          <w:rFonts w:ascii="Arial" w:hAnsi="Arial"/>
          <w:b/>
          <w:i w:val="0"/>
          <w:sz w:val="24"/>
        </w:rPr>
        <w:t>9. Macro, Calorie, and Goal Policy</w:t>
      </w:r>
    </w:p>
    <w:tbl>
      <w:tblPr>
        <w:tblStyle w:val="TableGrid"/>
        <w:tblW w:type="auto" w:w="0"/>
        <w:tblLook w:firstColumn="1" w:firstRow="1" w:lastColumn="0" w:lastRow="0" w:noHBand="0" w:noVBand="1" w:val="04A0"/>
      </w:tblPr>
      <w:tblGrid>
        <w:gridCol w:w="3456"/>
        <w:gridCol w:w="3456"/>
        <w:gridCol w:w="3456"/>
      </w:tblGrid>
      <w:tr>
        <w:tc>
          <w:tcPr>
            <w:tcW w:type="dxa" w:w="2160"/>
          </w:tcPr>
          <w:p>
            <w:r/>
            <w:r>
              <w:rPr>
                <w:rFonts w:ascii="Arial" w:hAnsi="Arial"/>
                <w:b/>
                <w:i w:val="0"/>
                <w:sz w:val="17"/>
              </w:rPr>
              <w:t>Policy item</w:t>
            </w:r>
          </w:p>
        </w:tc>
        <w:tc>
          <w:tcPr>
            <w:tcW w:type="dxa" w:w="3600"/>
          </w:tcPr>
          <w:p>
            <w:r/>
            <w:r>
              <w:rPr>
                <w:rFonts w:ascii="Arial" w:hAnsi="Arial"/>
                <w:b/>
                <w:i w:val="0"/>
                <w:sz w:val="17"/>
              </w:rPr>
              <w:t>Current system behavior</w:t>
            </w:r>
          </w:p>
        </w:tc>
        <w:tc>
          <w:tcPr>
            <w:tcW w:type="dxa" w:w="5328"/>
          </w:tcPr>
          <w:p>
            <w:r/>
            <w:r>
              <w:rPr>
                <w:rFonts w:ascii="Arial" w:hAnsi="Arial"/>
                <w:b/>
                <w:i w:val="0"/>
                <w:sz w:val="17"/>
              </w:rPr>
              <w:t>Defense wording</w:t>
            </w:r>
          </w:p>
        </w:tc>
      </w:tr>
      <w:tr>
        <w:tc>
          <w:tcPr>
            <w:tcW w:type="dxa" w:w="2160"/>
          </w:tcPr>
          <w:p>
            <w:r/>
            <w:r>
              <w:rPr>
                <w:rFonts w:ascii="Arial" w:hAnsi="Arial"/>
                <w:b w:val="0"/>
                <w:i w:val="0"/>
                <w:sz w:val="16"/>
              </w:rPr>
              <w:t>BMR</w:t>
            </w:r>
          </w:p>
        </w:tc>
        <w:tc>
          <w:tcPr>
            <w:tcW w:type="dxa" w:w="3600"/>
          </w:tcPr>
          <w:p>
            <w:r/>
            <w:r>
              <w:rPr>
                <w:rFonts w:ascii="Arial" w:hAnsi="Arial"/>
                <w:b w:val="0"/>
                <w:i w:val="0"/>
                <w:sz w:val="16"/>
              </w:rPr>
              <w:t>(10 x kg) + (6.25 x cm) - (5 x age) - 161</w:t>
            </w:r>
          </w:p>
        </w:tc>
        <w:tc>
          <w:tcPr>
            <w:tcW w:type="dxa" w:w="5328"/>
          </w:tcPr>
          <w:p>
            <w:r/>
            <w:r>
              <w:rPr>
                <w:rFonts w:ascii="Arial" w:hAnsi="Arial"/>
                <w:b w:val="0"/>
                <w:i w:val="0"/>
                <w:sz w:val="16"/>
              </w:rPr>
              <w:t>Uses a recognized female BMR estimation equation as planning input, not diagnosis.</w:t>
            </w:r>
          </w:p>
        </w:tc>
      </w:tr>
      <w:tr>
        <w:tc>
          <w:tcPr>
            <w:tcW w:type="dxa" w:w="2160"/>
          </w:tcPr>
          <w:p>
            <w:r/>
            <w:r>
              <w:rPr>
                <w:rFonts w:ascii="Arial" w:hAnsi="Arial"/>
                <w:b w:val="0"/>
                <w:i w:val="0"/>
                <w:sz w:val="16"/>
              </w:rPr>
              <w:t>TDEE</w:t>
            </w:r>
          </w:p>
        </w:tc>
        <w:tc>
          <w:tcPr>
            <w:tcW w:type="dxa" w:w="3600"/>
          </w:tcPr>
          <w:p>
            <w:r/>
            <w:r>
              <w:rPr>
                <w:rFonts w:ascii="Arial" w:hAnsi="Arial"/>
                <w:b w:val="0"/>
                <w:i w:val="0"/>
                <w:sz w:val="16"/>
              </w:rPr>
              <w:t>BMR x activity multiplier</w:t>
            </w:r>
          </w:p>
        </w:tc>
        <w:tc>
          <w:tcPr>
            <w:tcW w:type="dxa" w:w="5328"/>
          </w:tcPr>
          <w:p>
            <w:r/>
            <w:r>
              <w:rPr>
                <w:rFonts w:ascii="Arial" w:hAnsi="Arial"/>
                <w:b w:val="0"/>
                <w:i w:val="0"/>
                <w:sz w:val="16"/>
              </w:rPr>
              <w:t>Estimates maintenance energy before goal adjustment.</w:t>
            </w:r>
          </w:p>
        </w:tc>
      </w:tr>
      <w:tr>
        <w:tc>
          <w:tcPr>
            <w:tcW w:type="dxa" w:w="2160"/>
          </w:tcPr>
          <w:p>
            <w:r/>
            <w:r>
              <w:rPr>
                <w:rFonts w:ascii="Arial" w:hAnsi="Arial"/>
                <w:b w:val="0"/>
                <w:i w:val="0"/>
                <w:sz w:val="16"/>
              </w:rPr>
              <w:t>Weight loss</w:t>
            </w:r>
          </w:p>
        </w:tc>
        <w:tc>
          <w:tcPr>
            <w:tcW w:type="dxa" w:w="3600"/>
          </w:tcPr>
          <w:p>
            <w:r/>
            <w:r>
              <w:rPr>
                <w:rFonts w:ascii="Arial" w:hAnsi="Arial"/>
                <w:b w:val="0"/>
                <w:i w:val="0"/>
                <w:sz w:val="16"/>
              </w:rPr>
              <w:t>TDEE - 500 kcal, then clamp</w:t>
            </w:r>
          </w:p>
        </w:tc>
        <w:tc>
          <w:tcPr>
            <w:tcW w:type="dxa" w:w="5328"/>
          </w:tcPr>
          <w:p>
            <w:r/>
            <w:r>
              <w:rPr>
                <w:rFonts w:ascii="Arial" w:hAnsi="Arial"/>
                <w:b w:val="0"/>
                <w:i w:val="0"/>
                <w:sz w:val="16"/>
              </w:rPr>
              <w:t>Moderate planning deficit; not a prescription.</w:t>
            </w:r>
          </w:p>
        </w:tc>
      </w:tr>
      <w:tr>
        <w:tc>
          <w:tcPr>
            <w:tcW w:type="dxa" w:w="2160"/>
          </w:tcPr>
          <w:p>
            <w:r/>
            <w:r>
              <w:rPr>
                <w:rFonts w:ascii="Arial" w:hAnsi="Arial"/>
                <w:b w:val="0"/>
                <w:i w:val="0"/>
                <w:sz w:val="16"/>
              </w:rPr>
              <w:t>General health</w:t>
            </w:r>
          </w:p>
        </w:tc>
        <w:tc>
          <w:tcPr>
            <w:tcW w:type="dxa" w:w="3600"/>
          </w:tcPr>
          <w:p>
            <w:r/>
            <w:r>
              <w:rPr>
                <w:rFonts w:ascii="Arial" w:hAnsi="Arial"/>
                <w:b w:val="0"/>
                <w:i w:val="0"/>
                <w:sz w:val="16"/>
              </w:rPr>
              <w:t>Keeps balanced default targets</w:t>
            </w:r>
          </w:p>
        </w:tc>
        <w:tc>
          <w:tcPr>
            <w:tcW w:type="dxa" w:w="5328"/>
          </w:tcPr>
          <w:p>
            <w:r/>
            <w:r>
              <w:rPr>
                <w:rFonts w:ascii="Arial" w:hAnsi="Arial"/>
                <w:b w:val="0"/>
                <w:i w:val="0"/>
                <w:sz w:val="16"/>
              </w:rPr>
              <w:t>No forced deficit; favors balanced meals.</w:t>
            </w:r>
          </w:p>
        </w:tc>
      </w:tr>
      <w:tr>
        <w:tc>
          <w:tcPr>
            <w:tcW w:type="dxa" w:w="2160"/>
          </w:tcPr>
          <w:p>
            <w:r/>
            <w:r>
              <w:rPr>
                <w:rFonts w:ascii="Arial" w:hAnsi="Arial"/>
                <w:b w:val="0"/>
                <w:i w:val="0"/>
                <w:sz w:val="16"/>
              </w:rPr>
              <w:t>Symptom management</w:t>
            </w:r>
          </w:p>
        </w:tc>
        <w:tc>
          <w:tcPr>
            <w:tcW w:type="dxa" w:w="3600"/>
          </w:tcPr>
          <w:p>
            <w:r/>
            <w:r>
              <w:rPr>
                <w:rFonts w:ascii="Arial" w:hAnsi="Arial"/>
                <w:b w:val="0"/>
                <w:i w:val="0"/>
                <w:sz w:val="16"/>
              </w:rPr>
              <w:t>+4g fiber min, -8g sugar max, -10g carb target; boosts high-fiber/steady-carb candidates</w:t>
            </w:r>
          </w:p>
        </w:tc>
        <w:tc>
          <w:tcPr>
            <w:tcW w:type="dxa" w:w="5328"/>
          </w:tcPr>
          <w:p>
            <w:r/>
            <w:r>
              <w:rPr>
                <w:rFonts w:ascii="Arial" w:hAnsi="Arial"/>
                <w:b w:val="0"/>
                <w:i w:val="0"/>
                <w:sz w:val="16"/>
              </w:rPr>
              <w:t>Nutrition nudges, not medical treatment.</w:t>
            </w:r>
          </w:p>
        </w:tc>
      </w:tr>
      <w:tr>
        <w:tc>
          <w:tcPr>
            <w:tcW w:type="dxa" w:w="2160"/>
          </w:tcPr>
          <w:p>
            <w:r/>
            <w:r>
              <w:rPr>
                <w:rFonts w:ascii="Arial" w:hAnsi="Arial"/>
                <w:b w:val="0"/>
                <w:i w:val="0"/>
                <w:sz w:val="16"/>
              </w:rPr>
              <w:t>Macro ratio</w:t>
            </w:r>
          </w:p>
        </w:tc>
        <w:tc>
          <w:tcPr>
            <w:tcW w:type="dxa" w:w="3600"/>
          </w:tcPr>
          <w:p>
            <w:r/>
            <w:r>
              <w:rPr>
                <w:rFonts w:ascii="Arial" w:hAnsi="Arial"/>
                <w:b w:val="0"/>
                <w:i w:val="0"/>
                <w:sz w:val="16"/>
              </w:rPr>
              <w:t>25% protein / 40% carbs / 35% fat</w:t>
            </w:r>
          </w:p>
        </w:tc>
        <w:tc>
          <w:tcPr>
            <w:tcW w:type="dxa" w:w="5328"/>
          </w:tcPr>
          <w:p>
            <w:r/>
            <w:r>
              <w:rPr>
                <w:rFonts w:ascii="Arial" w:hAnsi="Arial"/>
                <w:b w:val="0"/>
                <w:i w:val="0"/>
                <w:sz w:val="16"/>
              </w:rPr>
              <w:t>Moderated-carb PCOS wellness policy with guardrails.</w:t>
            </w:r>
          </w:p>
        </w:tc>
      </w:tr>
      <w:tr>
        <w:tc>
          <w:tcPr>
            <w:tcW w:type="dxa" w:w="2160"/>
          </w:tcPr>
          <w:p>
            <w:r/>
            <w:r>
              <w:rPr>
                <w:rFonts w:ascii="Arial" w:hAnsi="Arial"/>
                <w:b w:val="0"/>
                <w:i w:val="0"/>
                <w:sz w:val="16"/>
              </w:rPr>
              <w:t>Calorie floor/ceiling</w:t>
            </w:r>
          </w:p>
        </w:tc>
        <w:tc>
          <w:tcPr>
            <w:tcW w:type="dxa" w:w="3600"/>
          </w:tcPr>
          <w:p>
            <w:r/>
            <w:r>
              <w:rPr>
                <w:rFonts w:ascii="Arial" w:hAnsi="Arial"/>
                <w:b w:val="0"/>
                <w:i w:val="0"/>
                <w:sz w:val="16"/>
              </w:rPr>
              <w:t>1200 / 3200 kcal</w:t>
            </w:r>
          </w:p>
        </w:tc>
        <w:tc>
          <w:tcPr>
            <w:tcW w:type="dxa" w:w="5328"/>
          </w:tcPr>
          <w:p>
            <w:r/>
            <w:r>
              <w:rPr>
                <w:rFonts w:ascii="Arial" w:hAnsi="Arial"/>
                <w:b w:val="0"/>
                <w:i w:val="0"/>
                <w:sz w:val="16"/>
              </w:rPr>
              <w:t>Prevents extreme targets in the planner.</w:t>
            </w:r>
          </w:p>
        </w:tc>
      </w:tr>
    </w:tbl>
    <w:p/>
    <w:p>
      <w:pPr>
        <w:spacing w:after="60" w:line="252" w:lineRule="auto"/>
      </w:pPr>
      <w:r>
        <w:rPr>
          <w:rFonts w:ascii="Arial" w:hAnsi="Arial"/>
          <w:b/>
          <w:i w:val="0"/>
          <w:sz w:val="19"/>
        </w:rPr>
        <w:t>Better defense for 40% carbohydrates:</w:t>
      </w:r>
      <w:r>
        <w:rPr>
          <w:rFonts w:ascii="Arial" w:hAnsi="Arial"/>
          <w:b w:val="0"/>
          <w:i w:val="0"/>
          <w:sz w:val="19"/>
        </w:rPr>
        <w:t xml:space="preserve"> Do not say it is only because there is no rice control. Say: PCOSina controls total carbohydrate exposure rather than only rice because rice is only one carbohydrate source. The 40% policy is a moderated-carb wellness target: lower than a high-carb pattern, not extreme low-carb or keto, and protected by minimum grams, calorie floors, fiber targets, and solver bounds. Rice portion control is a valid future enhancement, but total carb control is a broader first implementation.</w:t>
      </w:r>
    </w:p>
    <w:p>
      <w:pPr>
        <w:spacing w:after="60" w:line="252" w:lineRule="auto"/>
      </w:pPr>
      <w:r>
        <w:rPr>
          <w:rFonts w:ascii="Arial" w:hAnsi="Arial"/>
          <w:b/>
          <w:i w:val="0"/>
          <w:sz w:val="19"/>
        </w:rPr>
        <w:t>Do not overclaim:</w:t>
      </w:r>
      <w:r>
        <w:rPr>
          <w:rFonts w:ascii="Arial" w:hAnsi="Arial"/>
          <w:b w:val="0"/>
          <w:i w:val="0"/>
          <w:sz w:val="19"/>
        </w:rPr>
        <w:t xml:space="preserve"> These values are not personalized medical prescriptions and do not prove clinical outcomes. They are planning parameters for a wellness decision-support tool and should be reviewed by nutrition professionals before clinical use.</w:t>
      </w:r>
    </w:p>
    <w:p>
      <w:pPr>
        <w:spacing w:before="160" w:after="40"/>
      </w:pPr>
      <w:r>
        <w:rPr>
          <w:rFonts w:ascii="Arial" w:hAnsi="Arial"/>
          <w:b/>
          <w:i w:val="0"/>
          <w:sz w:val="24"/>
        </w:rPr>
        <w:t>10. Benchmark Defense</w:t>
      </w:r>
    </w:p>
    <w:p>
      <w:pPr>
        <w:spacing w:after="60" w:line="252" w:lineRule="auto"/>
      </w:pPr>
      <w:r>
        <w:rPr>
          <w:rFonts w:ascii="Arial" w:hAnsi="Arial"/>
          <w:b w:val="0"/>
          <w:i w:val="0"/>
          <w:sz w:val="19"/>
        </w:rPr>
        <w:t>Benchmark means controlled automated evaluation. In PCOSina, it means predefined scenarios/profiles were run through Python benchmark scripts and archived artifacts. The benchmark measured runtime, completion, hard-rule violations, nutrition gaps, repeat violations, budget overage, and objective surrogate values. It is not AI guessing and not manual timing.</w:t>
      </w:r>
    </w:p>
    <w:p>
      <w:pPr>
        <w:spacing w:after="80"/>
        <w:ind w:left="360"/>
      </w:pPr>
      <w:r>
        <w:rPr>
          <w:rFonts w:ascii="Arial" w:hAnsi="Arial"/>
          <w:b w:val="0"/>
          <w:i/>
          <w:sz w:val="19"/>
        </w:rPr>
        <w:t>Defense script: We used automated benchmark testing. The inputs were predefined to control the experiment, the actual planner or reference implementation produced the outputs, and the script computed metrics such as runtime, pass/fail, hard violations, calorie gap, macro gap, P95 runtime, and objective surrogate. Predefined data improves reproducibility; it does not mean the results were invented.</w:t>
      </w:r>
    </w:p>
    <w:p>
      <w:pPr>
        <w:spacing w:before="160" w:after="40"/>
      </w:pPr>
      <w:r>
        <w:rPr>
          <w:rFonts w:ascii="Arial" w:hAnsi="Arial"/>
          <w:b/>
          <w:i w:val="0"/>
          <w:sz w:val="24"/>
        </w:rPr>
        <w:t>11. Why PCOS and Not Diabetes</w:t>
      </w:r>
    </w:p>
    <w:p>
      <w:pPr>
        <w:spacing w:after="60" w:line="252" w:lineRule="auto"/>
      </w:pPr>
      <w:r>
        <w:rPr>
          <w:rFonts w:ascii="Arial" w:hAnsi="Arial"/>
          <w:b w:val="0"/>
          <w:i w:val="0"/>
          <w:sz w:val="19"/>
        </w:rPr>
        <w:t>PCOS is a valid scope because it is a common hormonal and metabolic condition affecting reproductive-aged women, with nutrition, weight management, insulin resistance risk, symptom burden, fertility concerns, and mental well-being implications. Diabetes is also important, but it has different clinical monitoring needs and higher medical-device risk. PCOSina deliberately limits itself to wellness meal planning for a specific underserved group.</w:t>
      </w:r>
    </w:p>
    <w:p>
      <w:pPr>
        <w:spacing w:after="80"/>
        <w:ind w:left="360"/>
      </w:pPr>
      <w:r>
        <w:rPr>
          <w:rFonts w:ascii="Arial" w:hAnsi="Arial"/>
          <w:b w:val="0"/>
          <w:i/>
          <w:sz w:val="19"/>
        </w:rPr>
        <w:t>Defense script: Diabetes apps usually focus on blood glucose tracking and medical monitoring. PCOSina focuses on PCOS-oriented meal planning, Filipino food context, pantry-aware groceries, offline access, restrictions/allergies, and weekly planning. That focus is the edge: it is not a generic calorie tracker and it is not a diabetes medical device.</w:t>
      </w:r>
    </w:p>
    <w:p>
      <w:pPr>
        <w:spacing w:before="160" w:after="40"/>
      </w:pPr>
      <w:r>
        <w:rPr>
          <w:rFonts w:ascii="Arial" w:hAnsi="Arial"/>
          <w:b/>
          <w:i w:val="0"/>
          <w:sz w:val="24"/>
        </w:rPr>
        <w:t>12. Adherence and Progress Features</w:t>
      </w:r>
    </w:p>
    <w:p>
      <w:pPr>
        <w:spacing w:after="60" w:line="252" w:lineRule="auto"/>
      </w:pPr>
      <w:r>
        <w:rPr>
          <w:rFonts w:ascii="Arial" w:hAnsi="Arial"/>
          <w:b w:val="0"/>
          <w:i w:val="0"/>
          <w:sz w:val="19"/>
        </w:rPr>
        <w:t>The adherence defense is not that the app guarantees behavior change. The defense is that it reduces friction: saved plans, grocery guidance, reminders, progress logging, meal feedback, swap options, and local trends make it easier for users to continue. Actual long-term adherence is a limitation and recommendation for future longitudinal evaluation.</w:t>
      </w:r>
    </w:p>
    <w:p>
      <w:pPr>
        <w:spacing w:before="160" w:after="40"/>
      </w:pPr>
      <w:r>
        <w:rPr>
          <w:rFonts w:ascii="Arial" w:hAnsi="Arial"/>
          <w:b/>
          <w:i w:val="0"/>
          <w:sz w:val="24"/>
        </w:rPr>
        <w:t>13. Admin and Operator Side</w:t>
      </w:r>
    </w:p>
    <w:p>
      <w:pPr>
        <w:spacing w:after="60" w:line="252" w:lineRule="auto"/>
      </w:pPr>
      <w:r>
        <w:rPr>
          <w:rFonts w:ascii="Arial" w:hAnsi="Arial"/>
          <w:b w:val="0"/>
          <w:i w:val="0"/>
          <w:sz w:val="19"/>
        </w:rPr>
        <w:t>The admin side is for controlled maintenance: recipe/content correction, nutrition corrections, policy or operations review, and support workflows. It is a strength because datasets change and recipe/nutrition data need governance. It is also a risk: careless admin edits can damage credibility. The defense is role-based access, review workflow, auditability, and the limitation that unvalidated new meals should not be claimed as nutritionist-approved.</w:t>
      </w:r>
    </w:p>
    <w:p>
      <w:pPr>
        <w:spacing w:before="160" w:after="40"/>
      </w:pPr>
      <w:r>
        <w:rPr>
          <w:rFonts w:ascii="Arial" w:hAnsi="Arial"/>
          <w:b/>
          <w:i w:val="0"/>
          <w:sz w:val="24"/>
        </w:rPr>
        <w:t>14. Render, Backend, and Cloud Backup</w:t>
      </w:r>
    </w:p>
    <w:p>
      <w:pPr>
        <w:spacing w:after="60" w:line="252" w:lineRule="auto"/>
      </w:pPr>
      <w:r>
        <w:rPr>
          <w:rFonts w:ascii="Arial" w:hAnsi="Arial"/>
          <w:b w:val="0"/>
          <w:i w:val="0"/>
          <w:sz w:val="19"/>
        </w:rPr>
        <w:t>Why backend/Render is needed: The mobile app is Kotlin/Android; the authoritative optimizer uses Python OR-Tools CP-SAT and ML tooling. Running the solver backend-side avoids shipping heavy solver/ML dependencies into the mobile client and keeps policy, telemetry, and no-safe-plan handling centralized. If there is no network, the app should still show previously saved local artifacts, but generating a fresh optimized plan may require backend access.</w:t>
      </w:r>
    </w:p>
    <w:p>
      <w:pPr>
        <w:spacing w:after="60" w:line="252" w:lineRule="auto"/>
      </w:pPr>
      <w:r>
        <w:rPr>
          <w:rFonts w:ascii="Arial" w:hAnsi="Arial"/>
          <w:b/>
          <w:i w:val="0"/>
          <w:sz w:val="19"/>
        </w:rPr>
        <w:t>Cloud backup wording:</w:t>
      </w:r>
      <w:r>
        <w:rPr>
          <w:rFonts w:ascii="Arial" w:hAnsi="Arial"/>
          <w:b w:val="0"/>
          <w:i w:val="0"/>
          <w:sz w:val="19"/>
        </w:rPr>
        <w:t xml:space="preserve"> Use careful wording. Cloud sync is optional/supplementary for account continuity, backup, reinstall, or multi-device support. Local app storage remains the main offline source for day-to-day use. Do not claim that every feature is fully cloud-backed unless you show the specific sync evidence.</w:t>
      </w:r>
    </w:p>
    <w:p>
      <w:pPr>
        <w:spacing w:before="160" w:after="40"/>
      </w:pPr>
      <w:r>
        <w:rPr>
          <w:rFonts w:ascii="Arial" w:hAnsi="Arial"/>
          <w:b/>
          <w:i w:val="0"/>
          <w:sz w:val="24"/>
        </w:rPr>
        <w:t>15. Offline-First and DataStore</w:t>
      </w:r>
    </w:p>
    <w:p>
      <w:pPr>
        <w:spacing w:after="60" w:line="252" w:lineRule="auto"/>
      </w:pPr>
      <w:r>
        <w:rPr>
          <w:rFonts w:ascii="Arial" w:hAnsi="Arial"/>
          <w:b w:val="0"/>
          <w:i w:val="0"/>
          <w:sz w:val="19"/>
        </w:rPr>
        <w:t>DataStore is Jetpack's local persistence library for storing app preferences and small structured local state inside the PCOSina app's private app storage. It is not a separate external database app. It contributes to offline-first behavior because saved profile/session/preference artifacts can be read without internet. PCOSina also uses encrypted shared preferences/local artifacts for sensitive or local content. Android does not currently use Room/SQLite as the mobile database.</w:t>
      </w:r>
    </w:p>
    <w:p>
      <w:pPr>
        <w:spacing w:after="80"/>
        <w:ind w:left="360"/>
      </w:pPr>
      <w:r>
        <w:rPr>
          <w:rFonts w:ascii="Arial" w:hAnsi="Arial"/>
          <w:b w:val="0"/>
          <w:i/>
          <w:sz w:val="19"/>
        </w:rPr>
        <w:t>Defense script: Offline-first does not mean every action works without internet. It means the app is still usable with previously saved local state: profile, saved plan, grocery guidance, pantry/progress artifacts, and reminders. New optimization may need the backend, but the user does not lose the current saved experience in airplane mode.</w:t>
      </w:r>
    </w:p>
    <w:p>
      <w:pPr>
        <w:spacing w:before="160" w:after="40"/>
      </w:pPr>
      <w:r>
        <w:rPr>
          <w:rFonts w:ascii="Arial" w:hAnsi="Arial"/>
          <w:b/>
          <w:i w:val="0"/>
          <w:sz w:val="24"/>
        </w:rPr>
        <w:t>16. Evidence and Source Map</w:t>
      </w:r>
    </w:p>
    <w:tbl>
      <w:tblPr>
        <w:tblStyle w:val="TableGrid"/>
        <w:tblW w:type="auto" w:w="0"/>
        <w:tblLook w:firstColumn="1" w:firstRow="1" w:lastColumn="0" w:lastRow="0" w:noHBand="0" w:noVBand="1" w:val="04A0"/>
      </w:tblPr>
      <w:tblGrid>
        <w:gridCol w:w="5184"/>
        <w:gridCol w:w="5184"/>
      </w:tblGrid>
      <w:tr>
        <w:tc>
          <w:tcPr>
            <w:tcW w:type="dxa" w:w="2880"/>
          </w:tcPr>
          <w:p>
            <w:r/>
            <w:r>
              <w:rPr>
                <w:rFonts w:ascii="Arial" w:hAnsi="Arial"/>
                <w:b/>
                <w:i w:val="0"/>
                <w:sz w:val="17"/>
              </w:rPr>
              <w:t>Question area</w:t>
            </w:r>
          </w:p>
        </w:tc>
        <w:tc>
          <w:tcPr>
            <w:tcW w:type="dxa" w:w="8208"/>
          </w:tcPr>
          <w:p>
            <w:r/>
            <w:r>
              <w:rPr>
                <w:rFonts w:ascii="Arial" w:hAnsi="Arial"/>
                <w:b/>
                <w:i w:val="0"/>
                <w:sz w:val="17"/>
              </w:rPr>
              <w:t>Repository evidence</w:t>
            </w:r>
          </w:p>
        </w:tc>
      </w:tr>
      <w:tr>
        <w:tc>
          <w:tcPr>
            <w:tcW w:type="dxa" w:w="2880"/>
          </w:tcPr>
          <w:p>
            <w:r/>
            <w:r>
              <w:rPr>
                <w:rFonts w:ascii="Arial" w:hAnsi="Arial"/>
                <w:b w:val="0"/>
                <w:i w:val="0"/>
                <w:sz w:val="16"/>
              </w:rPr>
              <w:t>Planner CP-SAT</w:t>
            </w:r>
          </w:p>
        </w:tc>
        <w:tc>
          <w:tcPr>
            <w:tcW w:type="dxa" w:w="8208"/>
          </w:tcPr>
          <w:p>
            <w:r/>
            <w:r>
              <w:rPr>
                <w:rFonts w:ascii="Arial" w:hAnsi="Arial"/>
                <w:b w:val="0"/>
                <w:i w:val="0"/>
                <w:sz w:val="16"/>
              </w:rPr>
              <w:t>backend/services/meal_planner.py</w:t>
            </w:r>
          </w:p>
        </w:tc>
      </w:tr>
      <w:tr>
        <w:tc>
          <w:tcPr>
            <w:tcW w:type="dxa" w:w="2880"/>
          </w:tcPr>
          <w:p>
            <w:r/>
            <w:r>
              <w:rPr>
                <w:rFonts w:ascii="Arial" w:hAnsi="Arial"/>
                <w:b w:val="0"/>
                <w:i w:val="0"/>
                <w:sz w:val="16"/>
              </w:rPr>
              <w:t>Policy values</w:t>
            </w:r>
          </w:p>
        </w:tc>
        <w:tc>
          <w:tcPr>
            <w:tcW w:type="dxa" w:w="8208"/>
          </w:tcPr>
          <w:p>
            <w:r/>
            <w:r>
              <w:rPr>
                <w:rFonts w:ascii="Arial" w:hAnsi="Arial"/>
                <w:b w:val="0"/>
                <w:i w:val="0"/>
                <w:sz w:val="16"/>
              </w:rPr>
              <w:t>backend/policy_config.py</w:t>
            </w:r>
          </w:p>
        </w:tc>
      </w:tr>
      <w:tr>
        <w:tc>
          <w:tcPr>
            <w:tcW w:type="dxa" w:w="2880"/>
          </w:tcPr>
          <w:p>
            <w:r/>
            <w:r>
              <w:rPr>
                <w:rFonts w:ascii="Arial" w:hAnsi="Arial"/>
                <w:b w:val="0"/>
                <w:i w:val="0"/>
                <w:sz w:val="16"/>
              </w:rPr>
              <w:t>20-profile benchmark</w:t>
            </w:r>
          </w:p>
        </w:tc>
        <w:tc>
          <w:tcPr>
            <w:tcW w:type="dxa" w:w="8208"/>
          </w:tcPr>
          <w:p>
            <w:r/>
            <w:r>
              <w:rPr>
                <w:rFonts w:ascii="Arial" w:hAnsi="Arial"/>
                <w:b w:val="0"/>
                <w:i w:val="0"/>
                <w:sz w:val="16"/>
              </w:rPr>
              <w:t>benchmarks/reports/planner_realistic_profiles.local.lightgbm.final.json</w:t>
            </w:r>
          </w:p>
        </w:tc>
      </w:tr>
      <w:tr>
        <w:tc>
          <w:tcPr>
            <w:tcW w:type="dxa" w:w="2880"/>
          </w:tcPr>
          <w:p>
            <w:r/>
            <w:r>
              <w:rPr>
                <w:rFonts w:ascii="Arial" w:hAnsi="Arial"/>
                <w:b w:val="0"/>
                <w:i w:val="0"/>
                <w:sz w:val="16"/>
              </w:rPr>
              <w:t>Tradeoff comparison</w:t>
            </w:r>
          </w:p>
        </w:tc>
        <w:tc>
          <w:tcPr>
            <w:tcW w:type="dxa" w:w="8208"/>
          </w:tcPr>
          <w:p>
            <w:r/>
            <w:r>
              <w:rPr>
                <w:rFonts w:ascii="Arial" w:hAnsi="Arial"/>
                <w:b w:val="0"/>
                <w:i w:val="0"/>
                <w:sz w:val="16"/>
              </w:rPr>
              <w:t>backend/comment5_algorithm_tradeoff_summary.csv and records.csv</w:t>
            </w:r>
          </w:p>
        </w:tc>
      </w:tr>
      <w:tr>
        <w:tc>
          <w:tcPr>
            <w:tcW w:type="dxa" w:w="2880"/>
          </w:tcPr>
          <w:p>
            <w:r/>
            <w:r>
              <w:rPr>
                <w:rFonts w:ascii="Arial" w:hAnsi="Arial"/>
                <w:b w:val="0"/>
                <w:i w:val="0"/>
                <w:sz w:val="16"/>
              </w:rPr>
              <w:t>ML dataset/metrics</w:t>
            </w:r>
          </w:p>
        </w:tc>
        <w:tc>
          <w:tcPr>
            <w:tcW w:type="dxa" w:w="8208"/>
          </w:tcPr>
          <w:p>
            <w:r/>
            <w:r>
              <w:rPr>
                <w:rFonts w:ascii="Arial" w:hAnsi="Arial"/>
                <w:b w:val="0"/>
                <w:i w:val="0"/>
                <w:sz w:val="16"/>
              </w:rPr>
              <w:t>ml/offline_training/artifacts/dataset_v1/dataset_manifest.json and model_v1/training_metrics.json</w:t>
            </w:r>
          </w:p>
        </w:tc>
      </w:tr>
      <w:tr>
        <w:tc>
          <w:tcPr>
            <w:tcW w:type="dxa" w:w="2880"/>
          </w:tcPr>
          <w:p>
            <w:r/>
            <w:r>
              <w:rPr>
                <w:rFonts w:ascii="Arial" w:hAnsi="Arial"/>
                <w:b w:val="0"/>
                <w:i w:val="0"/>
                <w:sz w:val="16"/>
              </w:rPr>
              <w:t>ML safety role</w:t>
            </w:r>
          </w:p>
        </w:tc>
        <w:tc>
          <w:tcPr>
            <w:tcW w:type="dxa" w:w="8208"/>
          </w:tcPr>
          <w:p>
            <w:r/>
            <w:r>
              <w:rPr>
                <w:rFonts w:ascii="Arial" w:hAnsi="Arial"/>
                <w:b w:val="0"/>
                <w:i w:val="0"/>
                <w:sz w:val="16"/>
              </w:rPr>
              <w:t>docs/ml/model_card_lightgbm_v1.md and ml/offline_training/README.md</w:t>
            </w:r>
          </w:p>
        </w:tc>
      </w:tr>
      <w:tr>
        <w:tc>
          <w:tcPr>
            <w:tcW w:type="dxa" w:w="2880"/>
          </w:tcPr>
          <w:p>
            <w:r/>
            <w:r>
              <w:rPr>
                <w:rFonts w:ascii="Arial" w:hAnsi="Arial"/>
                <w:b w:val="0"/>
                <w:i w:val="0"/>
                <w:sz w:val="16"/>
              </w:rPr>
              <w:t>Architecture/offline</w:t>
            </w:r>
          </w:p>
        </w:tc>
        <w:tc>
          <w:tcPr>
            <w:tcW w:type="dxa" w:w="8208"/>
          </w:tcPr>
          <w:p>
            <w:r/>
            <w:r>
              <w:rPr>
                <w:rFonts w:ascii="Arial" w:hAnsi="Arial"/>
                <w:b w:val="0"/>
                <w:i w:val="0"/>
                <w:sz w:val="16"/>
              </w:rPr>
              <w:t>ARCHITECTURE.md, README.md, docs/adr/ADR-002-offline-first-sync-contract.md</w:t>
            </w:r>
          </w:p>
        </w:tc>
      </w:tr>
      <w:tr>
        <w:tc>
          <w:tcPr>
            <w:tcW w:type="dxa" w:w="2880"/>
          </w:tcPr>
          <w:p>
            <w:r/>
            <w:r>
              <w:rPr>
                <w:rFonts w:ascii="Arial" w:hAnsi="Arial"/>
                <w:b w:val="0"/>
                <w:i w:val="0"/>
                <w:sz w:val="16"/>
              </w:rPr>
              <w:t>No-safe-plan contract</w:t>
            </w:r>
          </w:p>
        </w:tc>
        <w:tc>
          <w:tcPr>
            <w:tcW w:type="dxa" w:w="8208"/>
          </w:tcPr>
          <w:p>
            <w:r/>
            <w:r>
              <w:rPr>
                <w:rFonts w:ascii="Arial" w:hAnsi="Arial"/>
                <w:b w:val="0"/>
                <w:i w:val="0"/>
                <w:sz w:val="16"/>
              </w:rPr>
              <w:t>docs/safety/no_safe_plan_contract.md and backend tests</w:t>
            </w:r>
          </w:p>
        </w:tc>
      </w:tr>
    </w:tbl>
    <w:p/>
    <w:p>
      <w:pPr>
        <w:spacing w:before="160" w:after="40"/>
      </w:pPr>
      <w:r>
        <w:rPr>
          <w:rFonts w:ascii="Arial" w:hAnsi="Arial"/>
          <w:b/>
          <w:i w:val="0"/>
          <w:sz w:val="24"/>
        </w:rPr>
        <w:t>17. External References Used For Defense Framing</w:t>
      </w:r>
    </w:p>
    <w:p>
      <w:pPr>
        <w:spacing w:after="60" w:line="252" w:lineRule="auto"/>
      </w:pPr>
      <w:r>
        <w:rPr>
          <w:rFonts w:ascii="Arial" w:hAnsi="Arial"/>
          <w:b w:val="0"/>
          <w:i w:val="0"/>
          <w:sz w:val="19"/>
        </w:rPr>
        <w:t>WHO PCOS fact sheet: https://www.who.int/news-room/fact-sheets/detail/polycystic-ovary-syndrome</w:t>
      </w:r>
    </w:p>
    <w:p>
      <w:pPr>
        <w:spacing w:after="60" w:line="252" w:lineRule="auto"/>
      </w:pPr>
      <w:r>
        <w:rPr>
          <w:rFonts w:ascii="Arial" w:hAnsi="Arial"/>
          <w:b w:val="0"/>
          <w:i w:val="0"/>
          <w:sz w:val="19"/>
        </w:rPr>
        <w:t>Google OR-Tools CP-SAT documentation: https://developers.google.com/optimization/cp/cp_solver</w:t>
      </w:r>
    </w:p>
    <w:p>
      <w:pPr>
        <w:spacing w:after="60" w:line="252" w:lineRule="auto"/>
      </w:pPr>
      <w:r>
        <w:rPr>
          <w:rFonts w:ascii="Arial" w:hAnsi="Arial"/>
          <w:b w:val="0"/>
          <w:i w:val="0"/>
          <w:sz w:val="19"/>
        </w:rPr>
        <w:t>USDA National Agricultural Library Dietary Guidance and DRI resources: https://www.nal.usda.gov/human-nutrition-and-food-safety/dietary-guidance</w:t>
      </w:r>
    </w:p>
    <w:p>
      <w:pPr>
        <w:spacing w:after="60" w:line="252" w:lineRule="auto"/>
      </w:pPr>
      <w:r>
        <w:rPr>
          <w:rFonts w:ascii="Arial" w:hAnsi="Arial"/>
          <w:b w:val="0"/>
          <w:i w:val="0"/>
          <w:sz w:val="19"/>
        </w:rPr>
        <w:t>Dietary Guidelines for Americans portal: https://www.dietaryguidelines.gov/</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