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PCOSina Final System Status and SOP5 Action Report</w:t>
      </w:r>
    </w:p>
    <w:p>
      <w:r>
        <w:t>Status date: 2026-05-26</w:t>
      </w:r>
    </w:p>
    <w:p>
      <w:r>
        <w:t>This report supersedes the earlier 2026-05-25 cleanup checklist for the current thesis/compliance submission package.</w:t>
      </w:r>
    </w:p>
    <w:p>
      <w:pPr>
        <w:pStyle w:val="Heading2"/>
      </w:pPr>
      <w:r>
        <w:t>Current Runtime Status</w:t>
      </w:r>
    </w:p>
    <w:p>
      <w:pPr>
        <w:pStyle w:val="ListBullet"/>
      </w:pPr>
      <w:r>
        <w:t>Android and backend runtime profile contracts no longer expose the removed medical-severity or profile serving-count fields.</w:t>
      </w:r>
    </w:p>
    <w:p>
      <w:pPr>
        <w:pStyle w:val="ListBullet"/>
      </w:pPr>
      <w:r>
        <w:t>The backend macro policy uses one fixed PCOS wellness tuple and ignores legacy severity arguments.</w:t>
      </w:r>
    </w:p>
    <w:p>
      <w:pPr>
        <w:pStyle w:val="ListBullet"/>
      </w:pPr>
      <w:r>
        <w:t>Recipe cost estimation is based on recipe pricing and serving metadata, not a user profile serving multiplier.</w:t>
      </w:r>
    </w:p>
    <w:p>
      <w:pPr>
        <w:pStyle w:val="ListBullet"/>
      </w:pPr>
      <w:r>
        <w:t>Hard constraints remain deterministic: allergies, dietary restrictions, explicit exclusions, budget ceilings, cooking-time limits, meal-slot validity, repetition rules, and nutrition bounds.</w:t>
      </w:r>
    </w:p>
    <w:p>
      <w:pPr>
        <w:pStyle w:val="Heading2"/>
      </w:pPr>
      <w:r>
        <w:t>Evidence Pack Status</w:t>
      </w:r>
    </w:p>
    <w:p>
      <w:pPr>
        <w:pStyle w:val="ListBullet"/>
      </w:pPr>
      <w:r>
        <w:t>Benchmark profiles were refreshed to match the current request schema.</w:t>
      </w:r>
    </w:p>
    <w:p>
      <w:pPr>
        <w:pStyle w:val="ListBullet"/>
      </w:pPr>
      <w:r>
        <w:t>Thesis validation CSV and Markdown outputs were regenerated from the cleaned generator.</w:t>
      </w:r>
    </w:p>
    <w:p>
      <w:pPr>
        <w:pStyle w:val="ListBullet"/>
      </w:pPr>
      <w:r>
        <w:t>The centralized computation reference and DOCX copy now describe the fixed macro policy and serving-aware cost handling.</w:t>
      </w:r>
    </w:p>
    <w:p>
      <w:pPr>
        <w:pStyle w:val="ListBullet"/>
      </w:pPr>
      <w:r>
        <w:t>Historical audit files may remain in the repository, but they should not be submitted as the current system truth.</w:t>
      </w:r>
    </w:p>
    <w:p>
      <w:pPr>
        <w:pStyle w:val="Heading2"/>
      </w:pPr>
      <w:r>
        <w:t>Submission Boundary</w:t>
      </w:r>
    </w:p>
    <w:p>
      <w:r>
        <w:t>Submit the current evidence pack, refreshed benchmark fixture, and cleaned defense/manuscript files. Treat older audit reports, backups, and output drafts as archive material unless they are separately refreshed.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