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4.4 Algorithm Evaluation Results</w:t>
      </w:r>
    </w:p>
    <w:p>
      <w:pPr>
        <w:jc w:val="center"/>
      </w:pPr>
      <w:r>
        <w:rPr>
          <w:b/>
          <w:color w:val="2F6F73"/>
          <w:sz w:val="22"/>
        </w:rPr>
        <w:t>Final defense-ready evidence pack for PCOSina</w:t>
      </w:r>
    </w:p>
    <w:p>
      <w:pPr>
        <w:jc w:val="center"/>
      </w:pPr>
      <w:r>
        <w:t>Generated and locally revalidated: 2026-05-17 14:45:08 PHT | Checkout: 2f0bd7e</w:t>
      </w:r>
    </w:p>
    <w:tbl>
      <w:tblPr>
        <w:tblW w:type="auto" w:w="0"/>
        <w:jc w:val="center"/>
        <w:tblLook w:firstColumn="1" w:firstRow="1" w:lastColumn="0" w:lastRow="0" w:noHBand="0" w:noVBand="1" w:val="04A0"/>
      </w:tblPr>
      <w:tblGrid>
        <w:gridCol w:w="10166"/>
      </w:tblGrid>
      <w:tr>
        <w:tc>
          <w:tcPr>
            <w:tcW w:type="dxa" w:w="10166"/>
            <w:shd w:fill="F7E9EE"/>
          </w:tcPr>
          <w:p>
            <w:r>
              <w:rPr>
                <w:b/>
                <w:color w:val="7A263A"/>
                <w:sz w:val="19"/>
              </w:rPr>
              <w:t xml:space="preserve">Bottom line. </w:t>
            </w:r>
            <w:r>
              <w:rPr>
                <w:sz w:val="19"/>
              </w:rPr>
              <w:t>The section is now defense-ready if it is presented as software and algorithm validation, not clinical validation. The main result is the deterministic hard-filter plus OR-Tools CP-SAT planner. LightGBM is included only as an optional Stage 1 ranking assist. A compact algorithm comparison is useful, but it should stay short so it does not distract from the final chosen approach.</w:t>
            </w:r>
          </w:p>
        </w:tc>
      </w:tr>
    </w:tbl>
    <w:p/>
    <w:p>
      <w:pPr>
        <w:pStyle w:val="Heading1"/>
      </w:pPr>
      <w:r>
        <w:t>4.4.1 Algorithm Evaluation Setup and Retest Status</w:t>
      </w:r>
    </w:p>
    <w:p>
      <w:r>
        <w:t>PCOSina was evaluated as an offline-first wellness decision-support planner. The tested algorithmic contract is deterministic candidate filtering, optional assistive candidate ranking, and deterministic 0-1 weekly assignment optimization implemented through OR-Tools CP-SAT. ML is not the final authority and cannot override allergies, exclusions, hard budget caps, pantry feasibility rules, nutrition bounds, repetition/variety rules, or explicit hard preferences.</w:t>
      </w:r>
    </w:p>
    <w:p>
      <w:pPr>
        <w:pStyle w:val="Caption"/>
      </w:pPr>
      <w:r>
        <w:rPr>
          <w:b/>
        </w:rPr>
        <w:t>Table 4.4.1 Evaluation Setup and Traceability</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7A263A"/>
          </w:tcPr>
          <w:p>
            <w:pPr>
              <w:jc w:val="left"/>
            </w:pPr>
            <w:r>
              <w:rPr>
                <w:b/>
                <w:color w:val="FFFFFF"/>
                <w:sz w:val="17"/>
              </w:rPr>
            </w:r>
            <w:r>
              <w:rPr>
                <w:b/>
                <w:color w:val="FFFFFF"/>
                <w:sz w:val="17"/>
              </w:rPr>
              <w:t>Setup Item</w:t>
            </w:r>
          </w:p>
        </w:tc>
        <w:tc>
          <w:tcPr>
            <w:tcW w:type="dxa" w:w="7920"/>
            <w:vAlign w:val="center"/>
            <w:shd w:fill="7A263A"/>
          </w:tcPr>
          <w:p>
            <w:pPr>
              <w:jc w:val="left"/>
            </w:pPr>
            <w:r>
              <w:rPr>
                <w:b/>
                <w:color w:val="FFFFFF"/>
                <w:sz w:val="17"/>
              </w:rPr>
            </w:r>
            <w:r>
              <w:rPr>
                <w:b/>
                <w:color w:val="FFFFFF"/>
                <w:sz w:val="17"/>
              </w:rPr>
              <w:t>Final Evidence Used</w:t>
            </w:r>
          </w:p>
        </w:tc>
      </w:tr>
      <w:tr>
        <w:tc>
          <w:tcPr>
            <w:tcW w:type="dxa" w:w="3024"/>
            <w:vAlign w:val="center"/>
          </w:tcPr>
          <w:p>
            <w:pPr>
              <w:jc w:val="left"/>
            </w:pPr>
            <w:r>
              <w:rPr>
                <w:sz w:val="17"/>
              </w:rPr>
            </w:r>
            <w:r>
              <w:rPr>
                <w:b w:val="0"/>
                <w:sz w:val="17"/>
              </w:rPr>
              <w:t>Local validation date</w:t>
            </w:r>
          </w:p>
        </w:tc>
        <w:tc>
          <w:tcPr>
            <w:tcW w:type="dxa" w:w="7920"/>
            <w:vAlign w:val="center"/>
          </w:tcPr>
          <w:p>
            <w:pPr>
              <w:jc w:val="left"/>
            </w:pPr>
            <w:r>
              <w:rPr>
                <w:sz w:val="17"/>
              </w:rPr>
            </w:r>
            <w:r>
              <w:rPr>
                <w:b w:val="0"/>
                <w:sz w:val="17"/>
              </w:rPr>
              <w:t>2026-05-17 14:45:08 PHT</w:t>
            </w:r>
          </w:p>
        </w:tc>
      </w:tr>
      <w:tr>
        <w:tc>
          <w:tcPr>
            <w:tcW w:type="dxa" w:w="3024"/>
            <w:vAlign w:val="center"/>
            <w:shd w:fill="F8F3F5"/>
          </w:tcPr>
          <w:p>
            <w:pPr>
              <w:jc w:val="left"/>
            </w:pPr>
            <w:r>
              <w:rPr>
                <w:sz w:val="17"/>
              </w:rPr>
            </w:r>
            <w:r>
              <w:rPr>
                <w:b w:val="0"/>
                <w:sz w:val="17"/>
              </w:rPr>
              <w:t>Checkout recorded</w:t>
            </w:r>
          </w:p>
        </w:tc>
        <w:tc>
          <w:tcPr>
            <w:tcW w:type="dxa" w:w="7920"/>
            <w:vAlign w:val="center"/>
            <w:shd w:fill="F8F3F5"/>
          </w:tcPr>
          <w:p>
            <w:pPr>
              <w:jc w:val="left"/>
            </w:pPr>
            <w:r>
              <w:rPr>
                <w:sz w:val="17"/>
              </w:rPr>
            </w:r>
            <w:r>
              <w:rPr>
                <w:b w:val="0"/>
                <w:sz w:val="17"/>
              </w:rPr>
              <w:t>2f0bd7e; local working tree had uncommitted thesis/application changes, so the final submitted branch should be tagged after commit.</w:t>
            </w:r>
          </w:p>
        </w:tc>
      </w:tr>
      <w:tr>
        <w:tc>
          <w:tcPr>
            <w:tcW w:type="dxa" w:w="3024"/>
            <w:vAlign w:val="center"/>
          </w:tcPr>
          <w:p>
            <w:pPr>
              <w:jc w:val="left"/>
            </w:pPr>
            <w:r>
              <w:rPr>
                <w:sz w:val="17"/>
              </w:rPr>
            </w:r>
            <w:r>
              <w:rPr>
                <w:b w:val="0"/>
                <w:sz w:val="17"/>
              </w:rPr>
              <w:t>Environment</w:t>
            </w:r>
          </w:p>
        </w:tc>
        <w:tc>
          <w:tcPr>
            <w:tcW w:type="dxa" w:w="7920"/>
            <w:vAlign w:val="center"/>
          </w:tcPr>
          <w:p>
            <w:pPr>
              <w:jc w:val="left"/>
            </w:pPr>
            <w:r>
              <w:rPr>
                <w:sz w:val="17"/>
              </w:rPr>
            </w:r>
            <w:r>
              <w:rPr>
                <w:b w:val="0"/>
                <w:sz w:val="17"/>
              </w:rPr>
              <w:t>Windows 11 Home Single Language 10.0.26200, 64-bit; Intel Core i5-11400H, 6 cores / 12 logical processors; about 7.7 GB RAM; Python 3.12.10</w:t>
            </w:r>
          </w:p>
        </w:tc>
      </w:tr>
      <w:tr>
        <w:tc>
          <w:tcPr>
            <w:tcW w:type="dxa" w:w="3024"/>
            <w:vAlign w:val="center"/>
            <w:shd w:fill="F8F3F5"/>
          </w:tcPr>
          <w:p>
            <w:pPr>
              <w:jc w:val="left"/>
            </w:pPr>
            <w:r>
              <w:rPr>
                <w:sz w:val="17"/>
              </w:rPr>
            </w:r>
            <w:r>
              <w:rPr>
                <w:b w:val="0"/>
                <w:sz w:val="17"/>
              </w:rPr>
              <w:t>Final planner under evaluation</w:t>
            </w:r>
          </w:p>
        </w:tc>
        <w:tc>
          <w:tcPr>
            <w:tcW w:type="dxa" w:w="7920"/>
            <w:vAlign w:val="center"/>
            <w:shd w:fill="F8F3F5"/>
          </w:tcPr>
          <w:p>
            <w:pPr>
              <w:jc w:val="left"/>
            </w:pPr>
            <w:r>
              <w:rPr>
                <w:sz w:val="17"/>
              </w:rPr>
            </w:r>
            <w:r>
              <w:rPr>
                <w:b w:val="0"/>
                <w:sz w:val="17"/>
              </w:rPr>
              <w:t>Deterministic hard filtering + Stage 1 shortlist/ranking + OR-Tools CP-SAT weekly assignment.</w:t>
            </w:r>
          </w:p>
        </w:tc>
      </w:tr>
      <w:tr>
        <w:tc>
          <w:tcPr>
            <w:tcW w:type="dxa" w:w="3024"/>
            <w:vAlign w:val="center"/>
          </w:tcPr>
          <w:p>
            <w:pPr>
              <w:jc w:val="left"/>
            </w:pPr>
            <w:r>
              <w:rPr>
                <w:sz w:val="17"/>
              </w:rPr>
            </w:r>
            <w:r>
              <w:rPr>
                <w:b w:val="0"/>
                <w:sz w:val="17"/>
              </w:rPr>
              <w:t>Scenario benchmark policy</w:t>
            </w:r>
          </w:p>
        </w:tc>
        <w:tc>
          <w:tcPr>
            <w:tcW w:type="dxa" w:w="7920"/>
            <w:vAlign w:val="center"/>
          </w:tcPr>
          <w:p>
            <w:pPr>
              <w:jc w:val="left"/>
            </w:pPr>
            <w:r>
              <w:rPr>
                <w:sz w:val="17"/>
              </w:rPr>
            </w:r>
            <w:r>
              <w:rPr>
                <w:b w:val="0"/>
                <w:sz w:val="17"/>
              </w:rPr>
              <w:t>Five thesis-facing scenarios S1-S5; successful scenarios expected to fill 21 meal slots; S5 intentionally infeasible.</w:t>
            </w:r>
          </w:p>
        </w:tc>
      </w:tr>
      <w:tr>
        <w:tc>
          <w:tcPr>
            <w:tcW w:type="dxa" w:w="3024"/>
            <w:vAlign w:val="center"/>
            <w:shd w:fill="F8F3F5"/>
          </w:tcPr>
          <w:p>
            <w:pPr>
              <w:jc w:val="left"/>
            </w:pPr>
            <w:r>
              <w:rPr>
                <w:sz w:val="17"/>
              </w:rPr>
            </w:r>
            <w:r>
              <w:rPr>
                <w:b w:val="0"/>
                <w:sz w:val="17"/>
              </w:rPr>
              <w:t>Stage 1 candidate pool cap</w:t>
            </w:r>
          </w:p>
        </w:tc>
        <w:tc>
          <w:tcPr>
            <w:tcW w:type="dxa" w:w="7920"/>
            <w:vAlign w:val="center"/>
            <w:shd w:fill="F8F3F5"/>
          </w:tcPr>
          <w:p>
            <w:pPr>
              <w:jc w:val="left"/>
            </w:pPr>
            <w:r>
              <w:rPr>
                <w:sz w:val="17"/>
              </w:rPr>
            </w:r>
            <w:r>
              <w:rPr>
                <w:b w:val="0"/>
                <w:sz w:val="17"/>
              </w:rPr>
              <w:t>120 candidates in the final scenario benchmark table when the filtered pool exceeded the cap.</w:t>
            </w:r>
          </w:p>
        </w:tc>
      </w:tr>
      <w:tr>
        <w:tc>
          <w:tcPr>
            <w:tcW w:type="dxa" w:w="3024"/>
            <w:vAlign w:val="center"/>
          </w:tcPr>
          <w:p>
            <w:pPr>
              <w:jc w:val="left"/>
            </w:pPr>
            <w:r>
              <w:rPr>
                <w:sz w:val="17"/>
              </w:rPr>
            </w:r>
            <w:r>
              <w:rPr>
                <w:b w:val="0"/>
                <w:sz w:val="17"/>
              </w:rPr>
              <w:t>LightGBM artifact</w:t>
            </w:r>
          </w:p>
        </w:tc>
        <w:tc>
          <w:tcPr>
            <w:tcW w:type="dxa" w:w="7920"/>
            <w:vAlign w:val="center"/>
          </w:tcPr>
          <w:p>
            <w:pPr>
              <w:jc w:val="left"/>
            </w:pPr>
            <w:r>
              <w:rPr>
                <w:sz w:val="17"/>
              </w:rPr>
            </w:r>
            <w:r>
              <w:rPr>
                <w:b w:val="0"/>
                <w:sz w:val="17"/>
              </w:rPr>
              <w:t>ml/offline_training/artifacts/model_v1/training_metrics.json; model_v1 trained with request-level leakage control.</w:t>
            </w:r>
          </w:p>
        </w:tc>
      </w:tr>
      <w:tr>
        <w:tc>
          <w:tcPr>
            <w:tcW w:type="dxa" w:w="3024"/>
            <w:vAlign w:val="center"/>
            <w:shd w:fill="F8F3F5"/>
          </w:tcPr>
          <w:p>
            <w:pPr>
              <w:jc w:val="left"/>
            </w:pPr>
            <w:r>
              <w:rPr>
                <w:sz w:val="17"/>
              </w:rPr>
            </w:r>
            <w:r>
              <w:rPr>
                <w:b w:val="0"/>
                <w:sz w:val="17"/>
              </w:rPr>
              <w:t>Success definition</w:t>
            </w:r>
          </w:p>
        </w:tc>
        <w:tc>
          <w:tcPr>
            <w:tcW w:type="dxa" w:w="7920"/>
            <w:vAlign w:val="center"/>
            <w:shd w:fill="F8F3F5"/>
          </w:tcPr>
          <w:p>
            <w:pPr>
              <w:jc w:val="left"/>
            </w:pPr>
            <w:r>
              <w:rPr>
                <w:sz w:val="17"/>
              </w:rPr>
            </w:r>
            <w:r>
              <w:rPr>
                <w:b w:val="0"/>
                <w:sz w:val="17"/>
              </w:rPr>
              <w:t>Complete 7-day, 3-meal plan with 21 / 21 slots and no observed hard-constraint violation.</w:t>
            </w:r>
          </w:p>
        </w:tc>
      </w:tr>
      <w:tr>
        <w:tc>
          <w:tcPr>
            <w:tcW w:type="dxa" w:w="3024"/>
            <w:vAlign w:val="center"/>
          </w:tcPr>
          <w:p>
            <w:pPr>
              <w:jc w:val="left"/>
            </w:pPr>
            <w:r>
              <w:rPr>
                <w:sz w:val="17"/>
              </w:rPr>
            </w:r>
            <w:r>
              <w:rPr>
                <w:b w:val="0"/>
                <w:sz w:val="17"/>
              </w:rPr>
              <w:t>Failure success definition</w:t>
            </w:r>
          </w:p>
        </w:tc>
        <w:tc>
          <w:tcPr>
            <w:tcW w:type="dxa" w:w="7920"/>
            <w:vAlign w:val="center"/>
          </w:tcPr>
          <w:p>
            <w:pPr>
              <w:jc w:val="left"/>
            </w:pPr>
            <w:r>
              <w:rPr>
                <w:sz w:val="17"/>
              </w:rPr>
            </w:r>
            <w:r>
              <w:rPr>
                <w:b w:val="0"/>
                <w:sz w:val="17"/>
              </w:rPr>
              <w:t>For infeasible hard constraints, return a structured no-safe-plan response instead of forcing an unsafe plan.</w:t>
            </w:r>
          </w:p>
        </w:tc>
      </w:tr>
    </w:tbl>
    <w:p/>
    <w:p>
      <w:pPr>
        <w:pStyle w:val="Caption"/>
      </w:pPr>
      <w:r>
        <w:rPr>
          <w:b/>
        </w:rPr>
        <w:t>Table 4.4.2 Local Retest Receipt</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7A263A"/>
          </w:tcPr>
          <w:p>
            <w:pPr>
              <w:jc w:val="left"/>
            </w:pPr>
            <w:r>
              <w:rPr>
                <w:b/>
                <w:color w:val="FFFFFF"/>
                <w:sz w:val="17"/>
              </w:rPr>
            </w:r>
            <w:r>
              <w:rPr>
                <w:b/>
                <w:color w:val="FFFFFF"/>
                <w:sz w:val="17"/>
              </w:rPr>
              <w:t>Retest Area</w:t>
            </w:r>
          </w:p>
        </w:tc>
        <w:tc>
          <w:tcPr>
            <w:tcW w:type="dxa" w:w="5904"/>
            <w:vAlign w:val="center"/>
            <w:shd w:fill="7A263A"/>
          </w:tcPr>
          <w:p>
            <w:pPr>
              <w:jc w:val="left"/>
            </w:pPr>
            <w:r>
              <w:rPr>
                <w:b/>
                <w:color w:val="FFFFFF"/>
                <w:sz w:val="17"/>
              </w:rPr>
            </w:r>
            <w:r>
              <w:rPr>
                <w:b/>
                <w:color w:val="FFFFFF"/>
                <w:sz w:val="17"/>
              </w:rPr>
              <w:t>Command</w:t>
            </w:r>
          </w:p>
        </w:tc>
        <w:tc>
          <w:tcPr>
            <w:tcW w:type="dxa" w:w="2880"/>
            <w:vAlign w:val="center"/>
            <w:shd w:fill="7A263A"/>
          </w:tcPr>
          <w:p>
            <w:pPr>
              <w:jc w:val="left"/>
            </w:pPr>
            <w:r>
              <w:rPr>
                <w:b/>
                <w:color w:val="FFFFFF"/>
                <w:sz w:val="17"/>
              </w:rPr>
            </w:r>
            <w:r>
              <w:rPr>
                <w:b/>
                <w:color w:val="FFFFFF"/>
                <w:sz w:val="17"/>
              </w:rPr>
              <w:t>Observed Result</w:t>
            </w:r>
          </w:p>
        </w:tc>
      </w:tr>
      <w:tr>
        <w:tc>
          <w:tcPr>
            <w:tcW w:type="dxa" w:w="2160"/>
            <w:vAlign w:val="center"/>
          </w:tcPr>
          <w:p>
            <w:pPr>
              <w:jc w:val="left"/>
            </w:pPr>
            <w:r>
              <w:rPr>
                <w:sz w:val="17"/>
              </w:rPr>
            </w:r>
            <w:r>
              <w:rPr>
                <w:b w:val="0"/>
                <w:sz w:val="17"/>
              </w:rPr>
              <w:t>Backend planner/contract tests</w:t>
            </w:r>
          </w:p>
        </w:tc>
        <w:tc>
          <w:tcPr>
            <w:tcW w:type="dxa" w:w="5904"/>
            <w:vAlign w:val="center"/>
          </w:tcPr>
          <w:p>
            <w:pPr>
              <w:jc w:val="left"/>
            </w:pPr>
            <w:r>
              <w:rPr>
                <w:sz w:val="17"/>
              </w:rPr>
            </w:r>
            <w:r>
              <w:rPr>
                <w:b w:val="0"/>
                <w:sz w:val="17"/>
              </w:rPr>
              <w:t>python -m pytest backend/tests/test_policy_config.py backend/tests/test_schema_contract.py backend/tests/test_planner_response_contract.py backend/tests/test_no_safe_plan_contract.py backend/tests/test_worker_plan_jobs.py backend/tests/test_meal_planner.py -q</w:t>
            </w:r>
          </w:p>
        </w:tc>
        <w:tc>
          <w:tcPr>
            <w:tcW w:type="dxa" w:w="2880"/>
            <w:vAlign w:val="center"/>
          </w:tcPr>
          <w:p>
            <w:pPr>
              <w:jc w:val="left"/>
            </w:pPr>
            <w:r>
              <w:rPr>
                <w:sz w:val="17"/>
              </w:rPr>
            </w:r>
            <w:r>
              <w:rPr>
                <w:b w:val="0"/>
                <w:sz w:val="17"/>
              </w:rPr>
              <w:t>74 passed in 8.46 s</w:t>
            </w:r>
          </w:p>
        </w:tc>
      </w:tr>
      <w:tr>
        <w:tc>
          <w:tcPr>
            <w:tcW w:type="dxa" w:w="2160"/>
            <w:vAlign w:val="center"/>
            <w:shd w:fill="F8F3F5"/>
          </w:tcPr>
          <w:p>
            <w:pPr>
              <w:jc w:val="left"/>
            </w:pPr>
            <w:r>
              <w:rPr>
                <w:sz w:val="17"/>
              </w:rPr>
            </w:r>
            <w:r>
              <w:rPr>
                <w:b w:val="0"/>
                <w:sz w:val="17"/>
              </w:rPr>
              <w:t>ML/ranking tests</w:t>
            </w:r>
          </w:p>
        </w:tc>
        <w:tc>
          <w:tcPr>
            <w:tcW w:type="dxa" w:w="5904"/>
            <w:vAlign w:val="center"/>
            <w:shd w:fill="F8F3F5"/>
          </w:tcPr>
          <w:p>
            <w:pPr>
              <w:jc w:val="left"/>
            </w:pPr>
            <w:r>
              <w:rPr>
                <w:sz w:val="17"/>
              </w:rPr>
            </w:r>
            <w:r>
              <w:rPr>
                <w:b w:val="0"/>
                <w:sz w:val="17"/>
              </w:rPr>
              <w:t>python -m pytest backend/tests/test_ml_ranker.py backend/tests/test_lightgbm_training.py backend/tests/test_ml_dataset_builder.py backend/tests/test_ml_readiness_script.py -q</w:t>
            </w:r>
          </w:p>
        </w:tc>
        <w:tc>
          <w:tcPr>
            <w:tcW w:type="dxa" w:w="2880"/>
            <w:vAlign w:val="center"/>
            <w:shd w:fill="F8F3F5"/>
          </w:tcPr>
          <w:p>
            <w:pPr>
              <w:jc w:val="left"/>
            </w:pPr>
            <w:r>
              <w:rPr>
                <w:sz w:val="17"/>
              </w:rPr>
            </w:r>
            <w:r>
              <w:rPr>
                <w:b w:val="0"/>
                <w:sz w:val="17"/>
              </w:rPr>
              <w:t>12 passed in 7.66 s</w:t>
            </w:r>
          </w:p>
        </w:tc>
      </w:tr>
      <w:tr>
        <w:tc>
          <w:tcPr>
            <w:tcW w:type="dxa" w:w="2160"/>
            <w:vAlign w:val="center"/>
          </w:tcPr>
          <w:p>
            <w:pPr>
              <w:jc w:val="left"/>
            </w:pPr>
            <w:r>
              <w:rPr>
                <w:sz w:val="17"/>
              </w:rPr>
            </w:r>
            <w:r>
              <w:rPr>
                <w:b w:val="0"/>
                <w:sz w:val="17"/>
              </w:rPr>
              <w:t>Benchmark artifact manifest</w:t>
            </w:r>
          </w:p>
        </w:tc>
        <w:tc>
          <w:tcPr>
            <w:tcW w:type="dxa" w:w="5904"/>
            <w:vAlign w:val="center"/>
          </w:tcPr>
          <w:p>
            <w:pPr>
              <w:jc w:val="left"/>
            </w:pPr>
            <w:r>
              <w:rPr>
                <w:sz w:val="17"/>
              </w:rPr>
            </w:r>
            <w:r>
              <w:rPr>
                <w:b w:val="0"/>
                <w:sz w:val="17"/>
              </w:rPr>
              <w:t>python benchmarks/runner/run_comment5_benchmark.py --use-existing-artifacts</w:t>
            </w:r>
          </w:p>
        </w:tc>
        <w:tc>
          <w:tcPr>
            <w:tcW w:type="dxa" w:w="2880"/>
            <w:vAlign w:val="center"/>
          </w:tcPr>
          <w:p>
            <w:pPr>
              <w:jc w:val="left"/>
            </w:pPr>
            <w:r>
              <w:rPr>
                <w:sz w:val="17"/>
              </w:rPr>
            </w:r>
            <w:r>
              <w:rPr>
                <w:b w:val="0"/>
                <w:sz w:val="17"/>
              </w:rPr>
              <w:t>Manifest regenerated and 6 existing Comment #5 artifacts copied into benchmarks/reports.</w:t>
            </w:r>
          </w:p>
        </w:tc>
      </w:tr>
      <w:tr>
        <w:tc>
          <w:tcPr>
            <w:tcW w:type="dxa" w:w="2160"/>
            <w:vAlign w:val="center"/>
            <w:shd w:fill="F8F3F5"/>
          </w:tcPr>
          <w:p>
            <w:pPr>
              <w:jc w:val="left"/>
            </w:pPr>
            <w:r>
              <w:rPr>
                <w:sz w:val="17"/>
              </w:rPr>
            </w:r>
            <w:r>
              <w:rPr>
                <w:b w:val="0"/>
                <w:sz w:val="17"/>
              </w:rPr>
              <w:t>Android connected tests</w:t>
            </w:r>
          </w:p>
        </w:tc>
        <w:tc>
          <w:tcPr>
            <w:tcW w:type="dxa" w:w="5904"/>
            <w:vAlign w:val="center"/>
            <w:shd w:fill="F8F3F5"/>
          </w:tcPr>
          <w:p>
            <w:pPr>
              <w:jc w:val="left"/>
            </w:pPr>
            <w:r>
              <w:rPr>
                <w:sz w:val="17"/>
              </w:rPr>
            </w:r>
            <w:r>
              <w:rPr>
                <w:b w:val="0"/>
                <w:sz w:val="17"/>
              </w:rPr>
              <w:t>.\gradlew connectedDebugAndroidTest</w:t>
            </w:r>
          </w:p>
        </w:tc>
        <w:tc>
          <w:tcPr>
            <w:tcW w:type="dxa" w:w="2880"/>
            <w:vAlign w:val="center"/>
            <w:shd w:fill="F8F3F5"/>
          </w:tcPr>
          <w:p>
            <w:pPr>
              <w:jc w:val="left"/>
            </w:pPr>
            <w:r>
              <w:rPr>
                <w:sz w:val="17"/>
              </w:rPr>
            </w:r>
            <w:r>
              <w:rPr>
                <w:b w:val="0"/>
                <w:sz w:val="17"/>
              </w:rPr>
              <w:t>Not executed in this local retest batch; do not use this document to claim device-lab/instrumented-test completion.</w:t>
            </w:r>
          </w:p>
        </w:tc>
      </w:tr>
    </w:tbl>
    <w:p/>
    <w:p>
      <w:pPr>
        <w:pStyle w:val="Heading1"/>
      </w:pPr>
      <w:r>
        <w:t>4.4.2 Benchmark Scenario Descriptions</w:t>
      </w:r>
    </w:p>
    <w:p>
      <w:pPr>
        <w:pStyle w:val="Caption"/>
      </w:pPr>
      <w:r>
        <w:rPr>
          <w:b/>
        </w:rPr>
        <w:t>Table 4.4.3 Benchmark Scenario Descriptions</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7A263A"/>
          </w:tcPr>
          <w:p>
            <w:pPr>
              <w:jc w:val="left"/>
            </w:pPr>
            <w:r>
              <w:rPr>
                <w:b/>
                <w:color w:val="FFFFFF"/>
                <w:sz w:val="17"/>
              </w:rPr>
            </w:r>
            <w:r>
              <w:rPr>
                <w:b/>
                <w:color w:val="FFFFFF"/>
                <w:sz w:val="17"/>
              </w:rPr>
              <w:t>Scenario</w:t>
            </w:r>
          </w:p>
        </w:tc>
        <w:tc>
          <w:tcPr>
            <w:tcW w:type="dxa" w:w="4608"/>
            <w:vAlign w:val="center"/>
            <w:shd w:fill="7A263A"/>
          </w:tcPr>
          <w:p>
            <w:pPr>
              <w:jc w:val="left"/>
            </w:pPr>
            <w:r>
              <w:rPr>
                <w:b/>
                <w:color w:val="FFFFFF"/>
                <w:sz w:val="17"/>
              </w:rPr>
            </w:r>
            <w:r>
              <w:rPr>
                <w:b/>
                <w:color w:val="FFFFFF"/>
                <w:sz w:val="17"/>
              </w:rPr>
              <w:t>Description</w:t>
            </w:r>
          </w:p>
        </w:tc>
        <w:tc>
          <w:tcPr>
            <w:tcW w:type="dxa" w:w="3888"/>
            <w:vAlign w:val="center"/>
            <w:shd w:fill="7A263A"/>
          </w:tcPr>
          <w:p>
            <w:pPr>
              <w:jc w:val="left"/>
            </w:pPr>
            <w:r>
              <w:rPr>
                <w:b/>
                <w:color w:val="FFFFFF"/>
                <w:sz w:val="17"/>
              </w:rPr>
            </w:r>
            <w:r>
              <w:rPr>
                <w:b/>
                <w:color w:val="FFFFFF"/>
                <w:sz w:val="17"/>
              </w:rPr>
              <w:t>Main Constraint Tested</w:t>
            </w:r>
          </w:p>
        </w:tc>
      </w:tr>
      <w:tr>
        <w:tc>
          <w:tcPr>
            <w:tcW w:type="dxa" w:w="2448"/>
            <w:vAlign w:val="center"/>
          </w:tcPr>
          <w:p>
            <w:pPr>
              <w:jc w:val="left"/>
            </w:pPr>
            <w:r>
              <w:rPr>
                <w:sz w:val="17"/>
              </w:rPr>
            </w:r>
            <w:r>
              <w:rPr>
                <w:b w:val="0"/>
                <w:sz w:val="17"/>
              </w:rPr>
              <w:t>S1 Base</w:t>
            </w:r>
          </w:p>
        </w:tc>
        <w:tc>
          <w:tcPr>
            <w:tcW w:type="dxa" w:w="4608"/>
            <w:vAlign w:val="center"/>
          </w:tcPr>
          <w:p>
            <w:pPr>
              <w:jc w:val="left"/>
            </w:pPr>
            <w:r>
              <w:rPr>
                <w:sz w:val="17"/>
              </w:rPr>
            </w:r>
            <w:r>
              <w:rPr>
                <w:b w:val="0"/>
                <w:sz w:val="17"/>
              </w:rPr>
              <w:t>Standard profile without added restrictions.</w:t>
            </w:r>
          </w:p>
        </w:tc>
        <w:tc>
          <w:tcPr>
            <w:tcW w:type="dxa" w:w="3888"/>
            <w:vAlign w:val="center"/>
          </w:tcPr>
          <w:p>
            <w:pPr>
              <w:jc w:val="left"/>
            </w:pPr>
            <w:r>
              <w:rPr>
                <w:sz w:val="17"/>
              </w:rPr>
            </w:r>
            <w:r>
              <w:rPr>
                <w:b w:val="0"/>
                <w:sz w:val="17"/>
              </w:rPr>
              <w:t>General 21-slot generation, nutrition deviation, and runtime</w:t>
            </w:r>
          </w:p>
        </w:tc>
      </w:tr>
      <w:tr>
        <w:tc>
          <w:tcPr>
            <w:tcW w:type="dxa" w:w="2448"/>
            <w:vAlign w:val="center"/>
            <w:shd w:fill="F8F3F5"/>
          </w:tcPr>
          <w:p>
            <w:pPr>
              <w:jc w:val="left"/>
            </w:pPr>
            <w:r>
              <w:rPr>
                <w:sz w:val="17"/>
              </w:rPr>
            </w:r>
            <w:r>
              <w:rPr>
                <w:b w:val="0"/>
                <w:sz w:val="17"/>
              </w:rPr>
              <w:t>S2 Budget and No Pork</w:t>
            </w:r>
          </w:p>
        </w:tc>
        <w:tc>
          <w:tcPr>
            <w:tcW w:type="dxa" w:w="4608"/>
            <w:vAlign w:val="center"/>
            <w:shd w:fill="F8F3F5"/>
          </w:tcPr>
          <w:p>
            <w:pPr>
              <w:jc w:val="left"/>
            </w:pPr>
            <w:r>
              <w:rPr>
                <w:sz w:val="17"/>
              </w:rPr>
            </w:r>
            <w:r>
              <w:rPr>
                <w:b w:val="0"/>
                <w:sz w:val="17"/>
              </w:rPr>
              <w:t>Profile with PHP 1,000 weekly budget and No Pork restriction.</w:t>
            </w:r>
          </w:p>
        </w:tc>
        <w:tc>
          <w:tcPr>
            <w:tcW w:type="dxa" w:w="3888"/>
            <w:vAlign w:val="center"/>
            <w:shd w:fill="F8F3F5"/>
          </w:tcPr>
          <w:p>
            <w:pPr>
              <w:jc w:val="left"/>
            </w:pPr>
            <w:r>
              <w:rPr>
                <w:sz w:val="17"/>
              </w:rPr>
            </w:r>
            <w:r>
              <w:rPr>
                <w:b w:val="0"/>
                <w:sz w:val="17"/>
              </w:rPr>
              <w:t>Hard budget cap and restriction filtering</w:t>
            </w:r>
          </w:p>
        </w:tc>
      </w:tr>
      <w:tr>
        <w:tc>
          <w:tcPr>
            <w:tcW w:type="dxa" w:w="2448"/>
            <w:vAlign w:val="center"/>
          </w:tcPr>
          <w:p>
            <w:pPr>
              <w:jc w:val="left"/>
            </w:pPr>
            <w:r>
              <w:rPr>
                <w:sz w:val="17"/>
              </w:rPr>
            </w:r>
            <w:r>
              <w:rPr>
                <w:b w:val="0"/>
                <w:sz w:val="17"/>
              </w:rPr>
              <w:t>S3 Vegetarian and Lactose Intolerant</w:t>
            </w:r>
          </w:p>
        </w:tc>
        <w:tc>
          <w:tcPr>
            <w:tcW w:type="dxa" w:w="4608"/>
            <w:vAlign w:val="center"/>
          </w:tcPr>
          <w:p>
            <w:pPr>
              <w:jc w:val="left"/>
            </w:pPr>
            <w:r>
              <w:rPr>
                <w:sz w:val="17"/>
              </w:rPr>
            </w:r>
            <w:r>
              <w:rPr>
                <w:b w:val="0"/>
                <w:sz w:val="17"/>
              </w:rPr>
              <w:t>Profile with combined dietary restrictions.</w:t>
            </w:r>
          </w:p>
        </w:tc>
        <w:tc>
          <w:tcPr>
            <w:tcW w:type="dxa" w:w="3888"/>
            <w:vAlign w:val="center"/>
          </w:tcPr>
          <w:p>
            <w:pPr>
              <w:jc w:val="left"/>
            </w:pPr>
            <w:r>
              <w:rPr>
                <w:sz w:val="17"/>
              </w:rPr>
            </w:r>
            <w:r>
              <w:rPr>
                <w:b w:val="0"/>
                <w:sz w:val="17"/>
              </w:rPr>
              <w:t>Restrictive candidate pool handling</w:t>
            </w:r>
          </w:p>
        </w:tc>
      </w:tr>
      <w:tr>
        <w:tc>
          <w:tcPr>
            <w:tcW w:type="dxa" w:w="2448"/>
            <w:vAlign w:val="center"/>
            <w:shd w:fill="F8F3F5"/>
          </w:tcPr>
          <w:p>
            <w:pPr>
              <w:jc w:val="left"/>
            </w:pPr>
            <w:r>
              <w:rPr>
                <w:sz w:val="17"/>
              </w:rPr>
            </w:r>
            <w:r>
              <w:rPr>
                <w:b w:val="0"/>
                <w:sz w:val="17"/>
              </w:rPr>
              <w:t>S4 Pantry-Aware Case</w:t>
            </w:r>
          </w:p>
        </w:tc>
        <w:tc>
          <w:tcPr>
            <w:tcW w:type="dxa" w:w="4608"/>
            <w:vAlign w:val="center"/>
            <w:shd w:fill="F8F3F5"/>
          </w:tcPr>
          <w:p>
            <w:pPr>
              <w:jc w:val="left"/>
            </w:pPr>
            <w:r>
              <w:rPr>
                <w:sz w:val="17"/>
              </w:rPr>
            </w:r>
            <w:r>
              <w:rPr>
                <w:b w:val="0"/>
                <w:sz w:val="17"/>
              </w:rPr>
              <w:t>Profile with pantry ingredients and No Beef restriction.</w:t>
            </w:r>
          </w:p>
        </w:tc>
        <w:tc>
          <w:tcPr>
            <w:tcW w:type="dxa" w:w="3888"/>
            <w:vAlign w:val="center"/>
            <w:shd w:fill="F8F3F5"/>
          </w:tcPr>
          <w:p>
            <w:pPr>
              <w:jc w:val="left"/>
            </w:pPr>
            <w:r>
              <w:rPr>
                <w:sz w:val="17"/>
              </w:rPr>
            </w:r>
            <w:r>
              <w:rPr>
                <w:b w:val="0"/>
                <w:sz w:val="17"/>
              </w:rPr>
              <w:t>Pantry-overlap ranking and grocery practicality</w:t>
            </w:r>
          </w:p>
        </w:tc>
      </w:tr>
      <w:tr>
        <w:tc>
          <w:tcPr>
            <w:tcW w:type="dxa" w:w="2448"/>
            <w:vAlign w:val="center"/>
          </w:tcPr>
          <w:p>
            <w:pPr>
              <w:jc w:val="left"/>
            </w:pPr>
            <w:r>
              <w:rPr>
                <w:sz w:val="17"/>
              </w:rPr>
            </w:r>
            <w:r>
              <w:rPr>
                <w:b w:val="0"/>
                <w:sz w:val="17"/>
              </w:rPr>
              <w:t>S5 Resilience/Stress Case</w:t>
            </w:r>
          </w:p>
        </w:tc>
        <w:tc>
          <w:tcPr>
            <w:tcW w:type="dxa" w:w="4608"/>
            <w:vAlign w:val="center"/>
          </w:tcPr>
          <w:p>
            <w:pPr>
              <w:jc w:val="left"/>
            </w:pPr>
            <w:r>
              <w:rPr>
                <w:sz w:val="17"/>
              </w:rPr>
            </w:r>
            <w:r>
              <w:rPr>
                <w:b w:val="0"/>
                <w:sz w:val="17"/>
              </w:rPr>
              <w:t>Profile with an intentionally infeasible PHP 20 weekly budget.</w:t>
            </w:r>
          </w:p>
        </w:tc>
        <w:tc>
          <w:tcPr>
            <w:tcW w:type="dxa" w:w="3888"/>
            <w:vAlign w:val="center"/>
          </w:tcPr>
          <w:p>
            <w:pPr>
              <w:jc w:val="left"/>
            </w:pPr>
            <w:r>
              <w:rPr>
                <w:sz w:val="17"/>
              </w:rPr>
            </w:r>
            <w:r>
              <w:rPr>
                <w:b w:val="0"/>
                <w:sz w:val="17"/>
              </w:rPr>
              <w:t>No-safe-plan handling, hard budget boundary, and safe failure behavior</w:t>
            </w:r>
          </w:p>
        </w:tc>
      </w:tr>
    </w:tbl>
    <w:p/>
    <w:p>
      <w:pPr>
        <w:pStyle w:val="Heading1"/>
      </w:pPr>
      <w:r>
        <w:t>4.4.3 Stage 1 Candidate Filtering and Shortlisting</w:t>
      </w:r>
    </w:p>
    <w:p>
      <w:r>
        <w:t>Stage 1 reduces the planning search space before CP-SAT assignment. This does not decide the final meal plan; it only shapes the candidate set that the final solver may consider. The strongest defense wording is that Stage 1 improves tractability and ranking quality while Stage 2 remains authoritative.</w:t>
      </w:r>
    </w:p>
    <w:p>
      <w:pPr>
        <w:pStyle w:val="Caption"/>
      </w:pPr>
      <w:r>
        <w:rPr>
          <w:b/>
        </w:rPr>
        <w:t>Table 4.4.4 Final-Build Runtime and Safe Completion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center"/>
            <w:shd w:fill="7A263A"/>
          </w:tcPr>
          <w:p>
            <w:pPr>
              <w:jc w:val="left"/>
            </w:pPr>
            <w:r>
              <w:rPr>
                <w:b/>
                <w:color w:val="FFFFFF"/>
                <w:sz w:val="17"/>
              </w:rPr>
            </w:r>
            <w:r>
              <w:rPr>
                <w:b/>
                <w:color w:val="FFFFFF"/>
                <w:sz w:val="17"/>
              </w:rPr>
              <w:t>Scenario</w:t>
            </w:r>
          </w:p>
        </w:tc>
        <w:tc>
          <w:tcPr>
            <w:tcW w:type="dxa" w:w="2160"/>
            <w:vAlign w:val="center"/>
            <w:shd w:fill="7A263A"/>
          </w:tcPr>
          <w:p>
            <w:pPr>
              <w:jc w:val="left"/>
            </w:pPr>
            <w:r>
              <w:rPr>
                <w:b/>
                <w:color w:val="FFFFFF"/>
                <w:sz w:val="17"/>
              </w:rPr>
            </w:r>
            <w:r>
              <w:rPr>
                <w:b/>
                <w:color w:val="FFFFFF"/>
                <w:sz w:val="17"/>
              </w:rPr>
              <w:t>Candidate Pool Pre/Post</w:t>
            </w:r>
          </w:p>
        </w:tc>
        <w:tc>
          <w:tcPr>
            <w:tcW w:type="dxa" w:w="2016"/>
            <w:vAlign w:val="center"/>
            <w:shd w:fill="7A263A"/>
          </w:tcPr>
          <w:p>
            <w:pPr>
              <w:jc w:val="left"/>
            </w:pPr>
            <w:r>
              <w:rPr>
                <w:b/>
                <w:color w:val="FFFFFF"/>
                <w:sz w:val="17"/>
              </w:rPr>
            </w:r>
            <w:r>
              <w:rPr>
                <w:b/>
                <w:color w:val="FFFFFF"/>
                <w:sz w:val="17"/>
              </w:rPr>
              <w:t>Planner Result</w:t>
            </w:r>
          </w:p>
        </w:tc>
        <w:tc>
          <w:tcPr>
            <w:tcW w:type="dxa" w:w="4464"/>
            <w:vAlign w:val="center"/>
            <w:shd w:fill="7A263A"/>
          </w:tcPr>
          <w:p>
            <w:pPr>
              <w:jc w:val="left"/>
            </w:pPr>
            <w:r>
              <w:rPr>
                <w:b/>
                <w:color w:val="FFFFFF"/>
                <w:sz w:val="17"/>
              </w:rPr>
            </w:r>
            <w:r>
              <w:rPr>
                <w:b/>
                <w:color w:val="FFFFFF"/>
                <w:sz w:val="17"/>
              </w:rPr>
              <w:t>Safe Completion Outcome</w:t>
            </w:r>
          </w:p>
        </w:tc>
      </w:tr>
      <w:tr>
        <w:tc>
          <w:tcPr>
            <w:tcW w:type="dxa" w:w="2304"/>
            <w:vAlign w:val="center"/>
          </w:tcPr>
          <w:p>
            <w:pPr>
              <w:jc w:val="left"/>
            </w:pPr>
            <w:r>
              <w:rPr>
                <w:sz w:val="17"/>
              </w:rPr>
            </w:r>
            <w:r>
              <w:rPr>
                <w:b w:val="0"/>
                <w:sz w:val="17"/>
              </w:rPr>
              <w:t>S1 Base</w:t>
            </w:r>
          </w:p>
        </w:tc>
        <w:tc>
          <w:tcPr>
            <w:tcW w:type="dxa" w:w="2160"/>
            <w:vAlign w:val="center"/>
          </w:tcPr>
          <w:p>
            <w:pPr>
              <w:jc w:val="left"/>
            </w:pPr>
            <w:r>
              <w:rPr>
                <w:sz w:val="17"/>
              </w:rPr>
            </w:r>
            <w:r>
              <w:rPr>
                <w:b w:val="0"/>
                <w:sz w:val="17"/>
              </w:rPr>
              <w:t>202 / 120</w:t>
            </w:r>
          </w:p>
        </w:tc>
        <w:tc>
          <w:tcPr>
            <w:tcW w:type="dxa" w:w="2016"/>
            <w:vAlign w:val="center"/>
          </w:tcPr>
          <w:p>
            <w:pPr>
              <w:jc w:val="left"/>
            </w:pPr>
            <w:r>
              <w:rPr>
                <w:sz w:val="17"/>
              </w:rPr>
            </w:r>
            <w:r>
              <w:rPr>
                <w:b w:val="0"/>
                <w:sz w:val="17"/>
              </w:rPr>
              <w:t>Success</w:t>
            </w:r>
          </w:p>
        </w:tc>
        <w:tc>
          <w:tcPr>
            <w:tcW w:type="dxa" w:w="4464"/>
            <w:vAlign w:val="center"/>
          </w:tcPr>
          <w:p>
            <w:pPr>
              <w:jc w:val="left"/>
            </w:pPr>
            <w:r>
              <w:rPr>
                <w:sz w:val="17"/>
              </w:rPr>
            </w:r>
            <w:r>
              <w:rPr>
                <w:b w:val="0"/>
                <w:sz w:val="17"/>
              </w:rPr>
              <w:t>21 / 21 slots, 0 hard violations</w:t>
            </w:r>
          </w:p>
        </w:tc>
      </w:tr>
      <w:tr>
        <w:tc>
          <w:tcPr>
            <w:tcW w:type="dxa" w:w="2304"/>
            <w:vAlign w:val="center"/>
            <w:shd w:fill="F8F3F5"/>
          </w:tcPr>
          <w:p>
            <w:pPr>
              <w:jc w:val="left"/>
            </w:pPr>
            <w:r>
              <w:rPr>
                <w:sz w:val="17"/>
              </w:rPr>
            </w:r>
            <w:r>
              <w:rPr>
                <w:b w:val="0"/>
                <w:sz w:val="17"/>
              </w:rPr>
              <w:t>S2 Budget and No Pork</w:t>
            </w:r>
          </w:p>
        </w:tc>
        <w:tc>
          <w:tcPr>
            <w:tcW w:type="dxa" w:w="2160"/>
            <w:vAlign w:val="center"/>
            <w:shd w:fill="F8F3F5"/>
          </w:tcPr>
          <w:p>
            <w:pPr>
              <w:jc w:val="left"/>
            </w:pPr>
            <w:r>
              <w:rPr>
                <w:sz w:val="17"/>
              </w:rPr>
            </w:r>
            <w:r>
              <w:rPr>
                <w:b w:val="0"/>
                <w:sz w:val="17"/>
              </w:rPr>
              <w:t>177 / 120</w:t>
            </w:r>
          </w:p>
        </w:tc>
        <w:tc>
          <w:tcPr>
            <w:tcW w:type="dxa" w:w="2016"/>
            <w:vAlign w:val="center"/>
            <w:shd w:fill="F8F3F5"/>
          </w:tcPr>
          <w:p>
            <w:pPr>
              <w:jc w:val="left"/>
            </w:pPr>
            <w:r>
              <w:rPr>
                <w:sz w:val="17"/>
              </w:rPr>
            </w:r>
            <w:r>
              <w:rPr>
                <w:b w:val="0"/>
                <w:sz w:val="17"/>
              </w:rPr>
              <w:t>Success</w:t>
            </w:r>
          </w:p>
        </w:tc>
        <w:tc>
          <w:tcPr>
            <w:tcW w:type="dxa" w:w="4464"/>
            <w:vAlign w:val="center"/>
            <w:shd w:fill="F8F3F5"/>
          </w:tcPr>
          <w:p>
            <w:pPr>
              <w:jc w:val="left"/>
            </w:pPr>
            <w:r>
              <w:rPr>
                <w:sz w:val="17"/>
              </w:rPr>
            </w:r>
            <w:r>
              <w:rPr>
                <w:b w:val="0"/>
                <w:sz w:val="17"/>
              </w:rPr>
              <w:t>21 / 21 slots, hard budget cap met</w:t>
            </w:r>
          </w:p>
        </w:tc>
      </w:tr>
      <w:tr>
        <w:tc>
          <w:tcPr>
            <w:tcW w:type="dxa" w:w="2304"/>
            <w:vAlign w:val="center"/>
          </w:tcPr>
          <w:p>
            <w:pPr>
              <w:jc w:val="left"/>
            </w:pPr>
            <w:r>
              <w:rPr>
                <w:sz w:val="17"/>
              </w:rPr>
            </w:r>
            <w:r>
              <w:rPr>
                <w:b w:val="0"/>
                <w:sz w:val="17"/>
              </w:rPr>
              <w:t>S3 Vegetarian and Lactose Intolerant</w:t>
            </w:r>
          </w:p>
        </w:tc>
        <w:tc>
          <w:tcPr>
            <w:tcW w:type="dxa" w:w="2160"/>
            <w:vAlign w:val="center"/>
          </w:tcPr>
          <w:p>
            <w:pPr>
              <w:jc w:val="left"/>
            </w:pPr>
            <w:r>
              <w:rPr>
                <w:sz w:val="17"/>
              </w:rPr>
            </w:r>
            <w:r>
              <w:rPr>
                <w:b w:val="0"/>
                <w:sz w:val="17"/>
              </w:rPr>
              <w:t>102 / 102</w:t>
            </w:r>
          </w:p>
        </w:tc>
        <w:tc>
          <w:tcPr>
            <w:tcW w:type="dxa" w:w="2016"/>
            <w:vAlign w:val="center"/>
          </w:tcPr>
          <w:p>
            <w:pPr>
              <w:jc w:val="left"/>
            </w:pPr>
            <w:r>
              <w:rPr>
                <w:sz w:val="17"/>
              </w:rPr>
            </w:r>
            <w:r>
              <w:rPr>
                <w:b w:val="0"/>
                <w:sz w:val="17"/>
              </w:rPr>
              <w:t>Success</w:t>
            </w:r>
          </w:p>
        </w:tc>
        <w:tc>
          <w:tcPr>
            <w:tcW w:type="dxa" w:w="4464"/>
            <w:vAlign w:val="center"/>
          </w:tcPr>
          <w:p>
            <w:pPr>
              <w:jc w:val="left"/>
            </w:pPr>
            <w:r>
              <w:rPr>
                <w:sz w:val="17"/>
              </w:rPr>
            </w:r>
            <w:r>
              <w:rPr>
                <w:b w:val="0"/>
                <w:sz w:val="17"/>
              </w:rPr>
              <w:t>21 / 21 slots, 0 hard violations</w:t>
            </w:r>
          </w:p>
        </w:tc>
      </w:tr>
      <w:tr>
        <w:tc>
          <w:tcPr>
            <w:tcW w:type="dxa" w:w="2304"/>
            <w:vAlign w:val="center"/>
            <w:shd w:fill="F8F3F5"/>
          </w:tcPr>
          <w:p>
            <w:pPr>
              <w:jc w:val="left"/>
            </w:pPr>
            <w:r>
              <w:rPr>
                <w:sz w:val="17"/>
              </w:rPr>
            </w:r>
            <w:r>
              <w:rPr>
                <w:b w:val="0"/>
                <w:sz w:val="17"/>
              </w:rPr>
              <w:t>S4 Pantry-Aware Case</w:t>
            </w:r>
          </w:p>
        </w:tc>
        <w:tc>
          <w:tcPr>
            <w:tcW w:type="dxa" w:w="2160"/>
            <w:vAlign w:val="center"/>
            <w:shd w:fill="F8F3F5"/>
          </w:tcPr>
          <w:p>
            <w:pPr>
              <w:jc w:val="left"/>
            </w:pPr>
            <w:r>
              <w:rPr>
                <w:sz w:val="17"/>
              </w:rPr>
            </w:r>
            <w:r>
              <w:rPr>
                <w:b w:val="0"/>
                <w:sz w:val="17"/>
              </w:rPr>
              <w:t>222 / 120</w:t>
            </w:r>
          </w:p>
        </w:tc>
        <w:tc>
          <w:tcPr>
            <w:tcW w:type="dxa" w:w="2016"/>
            <w:vAlign w:val="center"/>
            <w:shd w:fill="F8F3F5"/>
          </w:tcPr>
          <w:p>
            <w:pPr>
              <w:jc w:val="left"/>
            </w:pPr>
            <w:r>
              <w:rPr>
                <w:sz w:val="17"/>
              </w:rPr>
            </w:r>
            <w:r>
              <w:rPr>
                <w:b w:val="0"/>
                <w:sz w:val="17"/>
              </w:rPr>
              <w:t>Success</w:t>
            </w:r>
          </w:p>
        </w:tc>
        <w:tc>
          <w:tcPr>
            <w:tcW w:type="dxa" w:w="4464"/>
            <w:vAlign w:val="center"/>
            <w:shd w:fill="F8F3F5"/>
          </w:tcPr>
          <w:p>
            <w:pPr>
              <w:jc w:val="left"/>
            </w:pPr>
            <w:r>
              <w:rPr>
                <w:sz w:val="17"/>
              </w:rPr>
            </w:r>
            <w:r>
              <w:rPr>
                <w:b w:val="0"/>
                <w:sz w:val="17"/>
              </w:rPr>
              <w:t>21 / 21 slots, 38 pantry-overlap matches</w:t>
            </w:r>
          </w:p>
        </w:tc>
      </w:tr>
      <w:tr>
        <w:tc>
          <w:tcPr>
            <w:tcW w:type="dxa" w:w="2304"/>
            <w:vAlign w:val="center"/>
          </w:tcPr>
          <w:p>
            <w:pPr>
              <w:jc w:val="left"/>
            </w:pPr>
            <w:r>
              <w:rPr>
                <w:sz w:val="17"/>
              </w:rPr>
            </w:r>
            <w:r>
              <w:rPr>
                <w:b w:val="0"/>
                <w:sz w:val="17"/>
              </w:rPr>
              <w:t>S5 Resilience/Stress Case</w:t>
            </w:r>
          </w:p>
        </w:tc>
        <w:tc>
          <w:tcPr>
            <w:tcW w:type="dxa" w:w="2160"/>
            <w:vAlign w:val="center"/>
          </w:tcPr>
          <w:p>
            <w:pPr>
              <w:jc w:val="left"/>
            </w:pPr>
            <w:r>
              <w:rPr>
                <w:sz w:val="17"/>
              </w:rPr>
            </w:r>
            <w:r>
              <w:rPr>
                <w:b w:val="0"/>
                <w:sz w:val="17"/>
              </w:rPr>
              <w:t>177 / 120</w:t>
            </w:r>
          </w:p>
        </w:tc>
        <w:tc>
          <w:tcPr>
            <w:tcW w:type="dxa" w:w="2016"/>
            <w:vAlign w:val="center"/>
          </w:tcPr>
          <w:p>
            <w:pPr>
              <w:jc w:val="left"/>
            </w:pPr>
            <w:r>
              <w:rPr>
                <w:sz w:val="17"/>
              </w:rPr>
            </w:r>
            <w:r>
              <w:rPr>
                <w:b w:val="0"/>
                <w:sz w:val="17"/>
              </w:rPr>
              <w:t>No-safe-plan</w:t>
            </w:r>
          </w:p>
        </w:tc>
        <w:tc>
          <w:tcPr>
            <w:tcW w:type="dxa" w:w="4464"/>
            <w:vAlign w:val="center"/>
          </w:tcPr>
          <w:p>
            <w:pPr>
              <w:jc w:val="left"/>
            </w:pPr>
            <w:r>
              <w:rPr>
                <w:sz w:val="17"/>
              </w:rPr>
            </w:r>
            <w:r>
              <w:rPr>
                <w:b w:val="0"/>
                <w:sz w:val="17"/>
              </w:rPr>
              <w:t>No unsafe plan returned; infeasible hard budget preserved</w:t>
            </w:r>
          </w:p>
        </w:tc>
      </w:tr>
    </w:tbl>
    <w:p/>
    <w:p>
      <w:pPr>
        <w:pStyle w:val="Caption"/>
      </w:pPr>
      <w:r>
        <w:rPr>
          <w:b/>
        </w:rPr>
        <w:t>Figure 4.4 Runtime by scenario.</w:t>
      </w:r>
    </w:p>
    <w:p>
      <w:r>
        <w:drawing>
          <wp:inline xmlns:a="http://schemas.openxmlformats.org/drawingml/2006/main" xmlns:pic="http://schemas.openxmlformats.org/drawingml/2006/picture">
            <wp:extent cx="6080760" cy="3300984"/>
            <wp:docPr id="1" name="Picture 1"/>
            <wp:cNvGraphicFramePr>
              <a:graphicFrameLocks noChangeAspect="1"/>
            </wp:cNvGraphicFramePr>
            <a:graphic>
              <a:graphicData uri="http://schemas.openxmlformats.org/drawingml/2006/picture">
                <pic:pic>
                  <pic:nvPicPr>
                    <pic:cNvPr id="0" name="figure_4_4_runtime_by_scenario.png"/>
                    <pic:cNvPicPr/>
                  </pic:nvPicPr>
                  <pic:blipFill>
                    <a:blip r:embed="rId9"/>
                    <a:stretch>
                      <a:fillRect/>
                    </a:stretch>
                  </pic:blipFill>
                  <pic:spPr>
                    <a:xfrm>
                      <a:off x="0" y="0"/>
                      <a:ext cx="6080760" cy="3300984"/>
                    </a:xfrm>
                    <a:prstGeom prst="rect"/>
                  </pic:spPr>
                </pic:pic>
              </a:graphicData>
            </a:graphic>
          </wp:inline>
        </w:drawing>
      </w:r>
    </w:p>
    <w:p>
      <w:pPr>
        <w:pStyle w:val="Caption"/>
      </w:pPr>
      <w:r>
        <w:rPr>
          <w:b/>
        </w:rPr>
        <w:t>Figure 4.5 Candidate pool before and after Stage 1 cap.</w:t>
      </w:r>
    </w:p>
    <w:p>
      <w:r>
        <w:drawing>
          <wp:inline xmlns:a="http://schemas.openxmlformats.org/drawingml/2006/main" xmlns:pic="http://schemas.openxmlformats.org/drawingml/2006/picture">
            <wp:extent cx="6080760" cy="3300984"/>
            <wp:docPr id="2" name="Picture 2"/>
            <wp:cNvGraphicFramePr>
              <a:graphicFrameLocks noChangeAspect="1"/>
            </wp:cNvGraphicFramePr>
            <a:graphic>
              <a:graphicData uri="http://schemas.openxmlformats.org/drawingml/2006/picture">
                <pic:pic>
                  <pic:nvPicPr>
                    <pic:cNvPr id="0" name="figure_4_5_candidate_pool.png"/>
                    <pic:cNvPicPr/>
                  </pic:nvPicPr>
                  <pic:blipFill>
                    <a:blip r:embed="rId10"/>
                    <a:stretch>
                      <a:fillRect/>
                    </a:stretch>
                  </pic:blipFill>
                  <pic:spPr>
                    <a:xfrm>
                      <a:off x="0" y="0"/>
                      <a:ext cx="6080760" cy="3300984"/>
                    </a:xfrm>
                    <a:prstGeom prst="rect"/>
                  </pic:spPr>
                </pic:pic>
              </a:graphicData>
            </a:graphic>
          </wp:inline>
        </w:drawing>
      </w:r>
    </w:p>
    <w:p>
      <w:pPr>
        <w:pStyle w:val="Heading1"/>
      </w:pPr>
      <w:r>
        <w:t>4.4.4 Stage 1 LightGBM Ranking Evaluation</w:t>
      </w:r>
    </w:p>
    <w:p>
      <w:r>
        <w:t>The current repository artifact supports a compact LightGBM subsection. It should not replace the optimizer result. The label is solver-derived: selected candidates are positive examples and non-selected candidates are negative examples. Leakage control uses request_id as the split unit, which is more defensible than randomly mixing candidate rows from the same request across train and test.</w:t>
      </w:r>
    </w:p>
    <w:p>
      <w:pPr>
        <w:pStyle w:val="Caption"/>
      </w:pPr>
      <w:r>
        <w:rPr>
          <w:b/>
        </w:rPr>
        <w:t>Table 4.4.5 LightGBM Dataset and Split Summary</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7A263A"/>
          </w:tcPr>
          <w:p>
            <w:pPr>
              <w:jc w:val="left"/>
            </w:pPr>
            <w:r>
              <w:rPr>
                <w:b/>
                <w:color w:val="FFFFFF"/>
                <w:sz w:val="17"/>
              </w:rPr>
            </w:r>
            <w:r>
              <w:rPr>
                <w:b/>
                <w:color w:val="FFFFFF"/>
                <w:sz w:val="17"/>
              </w:rPr>
              <w:t>Metric</w:t>
            </w:r>
          </w:p>
        </w:tc>
        <w:tc>
          <w:tcPr>
            <w:tcW w:type="dxa" w:w="8064"/>
            <w:vAlign w:val="center"/>
            <w:shd w:fill="7A263A"/>
          </w:tcPr>
          <w:p>
            <w:pPr>
              <w:jc w:val="left"/>
            </w:pPr>
            <w:r>
              <w:rPr>
                <w:b/>
                <w:color w:val="FFFFFF"/>
                <w:sz w:val="17"/>
              </w:rPr>
            </w:r>
            <w:r>
              <w:rPr>
                <w:b/>
                <w:color w:val="FFFFFF"/>
                <w:sz w:val="17"/>
              </w:rPr>
              <w:t>Current Artifact Value</w:t>
            </w:r>
          </w:p>
        </w:tc>
      </w:tr>
      <w:tr>
        <w:tc>
          <w:tcPr>
            <w:tcW w:type="dxa" w:w="2880"/>
            <w:vAlign w:val="center"/>
          </w:tcPr>
          <w:p>
            <w:pPr>
              <w:jc w:val="left"/>
            </w:pPr>
            <w:r>
              <w:rPr>
                <w:sz w:val="17"/>
              </w:rPr>
            </w:r>
            <w:r>
              <w:rPr>
                <w:b w:val="0"/>
                <w:sz w:val="17"/>
              </w:rPr>
              <w:t>Model name</w:t>
            </w:r>
          </w:p>
        </w:tc>
        <w:tc>
          <w:tcPr>
            <w:tcW w:type="dxa" w:w="8064"/>
            <w:vAlign w:val="center"/>
          </w:tcPr>
          <w:p>
            <w:pPr>
              <w:jc w:val="left"/>
            </w:pPr>
            <w:r>
              <w:rPr>
                <w:sz w:val="17"/>
              </w:rPr>
            </w:r>
            <w:r>
              <w:rPr>
                <w:b w:val="0"/>
                <w:sz w:val="17"/>
              </w:rPr>
              <w:t>lightgbm_stage1_ranker_v1</w:t>
            </w:r>
          </w:p>
        </w:tc>
      </w:tr>
      <w:tr>
        <w:tc>
          <w:tcPr>
            <w:tcW w:type="dxa" w:w="2880"/>
            <w:vAlign w:val="center"/>
            <w:shd w:fill="F8F3F5"/>
          </w:tcPr>
          <w:p>
            <w:pPr>
              <w:jc w:val="left"/>
            </w:pPr>
            <w:r>
              <w:rPr>
                <w:sz w:val="17"/>
              </w:rPr>
            </w:r>
            <w:r>
              <w:rPr>
                <w:b w:val="0"/>
                <w:sz w:val="17"/>
              </w:rPr>
              <w:t>Dataset rows</w:t>
            </w:r>
          </w:p>
        </w:tc>
        <w:tc>
          <w:tcPr>
            <w:tcW w:type="dxa" w:w="8064"/>
            <w:vAlign w:val="center"/>
            <w:shd w:fill="F8F3F5"/>
          </w:tcPr>
          <w:p>
            <w:pPr>
              <w:jc w:val="left"/>
            </w:pPr>
            <w:r>
              <w:rPr>
                <w:sz w:val="17"/>
              </w:rPr>
            </w:r>
            <w:r>
              <w:rPr>
                <w:b w:val="0"/>
                <w:sz w:val="17"/>
              </w:rPr>
              <w:t>74,112 rows</w:t>
            </w:r>
          </w:p>
        </w:tc>
      </w:tr>
      <w:tr>
        <w:tc>
          <w:tcPr>
            <w:tcW w:type="dxa" w:w="2880"/>
            <w:vAlign w:val="center"/>
          </w:tcPr>
          <w:p>
            <w:pPr>
              <w:jc w:val="left"/>
            </w:pPr>
            <w:r>
              <w:rPr>
                <w:sz w:val="17"/>
              </w:rPr>
            </w:r>
            <w:r>
              <w:rPr>
                <w:b w:val="0"/>
                <w:sz w:val="17"/>
              </w:rPr>
              <w:t>Requests / users</w:t>
            </w:r>
          </w:p>
        </w:tc>
        <w:tc>
          <w:tcPr>
            <w:tcW w:type="dxa" w:w="8064"/>
            <w:vAlign w:val="center"/>
          </w:tcPr>
          <w:p>
            <w:pPr>
              <w:jc w:val="left"/>
            </w:pPr>
            <w:r>
              <w:rPr>
                <w:sz w:val="17"/>
              </w:rPr>
            </w:r>
            <w:r>
              <w:rPr>
                <w:b w:val="0"/>
                <w:sz w:val="17"/>
              </w:rPr>
              <w:t>360 requests / 60 users</w:t>
            </w:r>
          </w:p>
        </w:tc>
      </w:tr>
      <w:tr>
        <w:tc>
          <w:tcPr>
            <w:tcW w:type="dxa" w:w="2880"/>
            <w:vAlign w:val="center"/>
            <w:shd w:fill="F8F3F5"/>
          </w:tcPr>
          <w:p>
            <w:pPr>
              <w:jc w:val="left"/>
            </w:pPr>
            <w:r>
              <w:rPr>
                <w:sz w:val="17"/>
              </w:rPr>
            </w:r>
            <w:r>
              <w:rPr>
                <w:b w:val="0"/>
                <w:sz w:val="17"/>
              </w:rPr>
              <w:t>Positive label</w:t>
            </w:r>
          </w:p>
        </w:tc>
        <w:tc>
          <w:tcPr>
            <w:tcW w:type="dxa" w:w="8064"/>
            <w:vAlign w:val="center"/>
            <w:shd w:fill="F8F3F5"/>
          </w:tcPr>
          <w:p>
            <w:pPr>
              <w:jc w:val="left"/>
            </w:pPr>
            <w:r>
              <w:rPr>
                <w:sz w:val="17"/>
              </w:rPr>
            </w:r>
            <w:r>
              <w:rPr>
                <w:b w:val="0"/>
                <w:sz w:val="17"/>
              </w:rPr>
              <w:t>4,644 solver-selected rows; positive rate 6.27%</w:t>
            </w:r>
          </w:p>
        </w:tc>
      </w:tr>
      <w:tr>
        <w:tc>
          <w:tcPr>
            <w:tcW w:type="dxa" w:w="2880"/>
            <w:vAlign w:val="center"/>
          </w:tcPr>
          <w:p>
            <w:pPr>
              <w:jc w:val="left"/>
            </w:pPr>
            <w:r>
              <w:rPr>
                <w:sz w:val="17"/>
              </w:rPr>
            </w:r>
            <w:r>
              <w:rPr>
                <w:b w:val="0"/>
                <w:sz w:val="17"/>
              </w:rPr>
              <w:t>Train / validation / test rows</w:t>
            </w:r>
          </w:p>
        </w:tc>
        <w:tc>
          <w:tcPr>
            <w:tcW w:type="dxa" w:w="8064"/>
            <w:vAlign w:val="center"/>
          </w:tcPr>
          <w:p>
            <w:pPr>
              <w:jc w:val="left"/>
            </w:pPr>
            <w:r>
              <w:rPr>
                <w:sz w:val="17"/>
              </w:rPr>
            </w:r>
            <w:r>
              <w:rPr>
                <w:b w:val="0"/>
                <w:sz w:val="17"/>
              </w:rPr>
              <w:t>60,319 / 7,350 / 6,443</w:t>
            </w:r>
          </w:p>
        </w:tc>
      </w:tr>
      <w:tr>
        <w:tc>
          <w:tcPr>
            <w:tcW w:type="dxa" w:w="2880"/>
            <w:vAlign w:val="center"/>
            <w:shd w:fill="F8F3F5"/>
          </w:tcPr>
          <w:p>
            <w:pPr>
              <w:jc w:val="left"/>
            </w:pPr>
            <w:r>
              <w:rPr>
                <w:sz w:val="17"/>
              </w:rPr>
            </w:r>
            <w:r>
              <w:rPr>
                <w:b w:val="0"/>
                <w:sz w:val="17"/>
              </w:rPr>
              <w:t>Leakage control</w:t>
            </w:r>
          </w:p>
        </w:tc>
        <w:tc>
          <w:tcPr>
            <w:tcW w:type="dxa" w:w="8064"/>
            <w:vAlign w:val="center"/>
            <w:shd w:fill="F8F3F5"/>
          </w:tcPr>
          <w:p>
            <w:pPr>
              <w:jc w:val="left"/>
            </w:pPr>
            <w:r>
              <w:rPr>
                <w:sz w:val="17"/>
              </w:rPr>
            </w:r>
            <w:r>
              <w:rPr>
                <w:b w:val="0"/>
                <w:sz w:val="17"/>
              </w:rPr>
              <w:t>hash(request_id) modulo 10 split using request_id</w:t>
            </w:r>
          </w:p>
        </w:tc>
      </w:tr>
      <w:tr>
        <w:tc>
          <w:tcPr>
            <w:tcW w:type="dxa" w:w="2880"/>
            <w:vAlign w:val="center"/>
          </w:tcPr>
          <w:p>
            <w:pPr>
              <w:jc w:val="left"/>
            </w:pPr>
            <w:r>
              <w:rPr>
                <w:sz w:val="17"/>
              </w:rPr>
            </w:r>
            <w:r>
              <w:rPr>
                <w:b w:val="0"/>
                <w:sz w:val="17"/>
              </w:rPr>
              <w:t>Feature groups</w:t>
            </w:r>
          </w:p>
        </w:tc>
        <w:tc>
          <w:tcPr>
            <w:tcW w:type="dxa" w:w="8064"/>
            <w:vAlign w:val="center"/>
          </w:tcPr>
          <w:p>
            <w:pPr>
              <w:jc w:val="left"/>
            </w:pPr>
            <w:r>
              <w:rPr>
                <w:sz w:val="17"/>
              </w:rPr>
            </w:r>
            <w:r>
              <w:rPr>
                <w:b w:val="0"/>
                <w:sz w:val="17"/>
              </w:rPr>
              <w:t>Nutrition distance, cost/budget, pantry overlap, cooking time, restrictions, meal-slot flags, profile attributes, and feedback-reason counts.</w:t>
            </w:r>
          </w:p>
        </w:tc>
      </w:tr>
    </w:tbl>
    <w:p/>
    <w:p>
      <w:pPr>
        <w:pStyle w:val="Caption"/>
      </w:pPr>
      <w:r>
        <w:rPr>
          <w:b/>
        </w:rPr>
        <w:t>Table 4.4.6 LightGBM Ranking Metrics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vAlign w:val="center"/>
            <w:shd w:fill="7A263A"/>
          </w:tcPr>
          <w:p>
            <w:pPr>
              <w:jc w:val="left"/>
            </w:pPr>
            <w:r>
              <w:rPr>
                <w:b/>
                <w:color w:val="FFFFFF"/>
                <w:sz w:val="17"/>
              </w:rPr>
            </w:r>
            <w:r>
              <w:rPr>
                <w:b/>
                <w:color w:val="FFFFFF"/>
                <w:sz w:val="17"/>
              </w:rPr>
              <w:t>Metric</w:t>
            </w:r>
          </w:p>
        </w:tc>
        <w:tc>
          <w:tcPr>
            <w:tcW w:type="dxa" w:w="2160"/>
            <w:vAlign w:val="center"/>
            <w:shd w:fill="7A263A"/>
          </w:tcPr>
          <w:p>
            <w:pPr>
              <w:jc w:val="left"/>
            </w:pPr>
            <w:r>
              <w:rPr>
                <w:b/>
                <w:color w:val="FFFFFF"/>
                <w:sz w:val="17"/>
              </w:rPr>
            </w:r>
            <w:r>
              <w:rPr>
                <w:b/>
                <w:color w:val="FFFFFF"/>
                <w:sz w:val="17"/>
              </w:rPr>
              <w:t>Validation</w:t>
            </w:r>
          </w:p>
        </w:tc>
        <w:tc>
          <w:tcPr>
            <w:tcW w:type="dxa" w:w="1872"/>
            <w:vAlign w:val="center"/>
            <w:shd w:fill="7A263A"/>
          </w:tcPr>
          <w:p>
            <w:pPr>
              <w:jc w:val="left"/>
            </w:pPr>
            <w:r>
              <w:rPr>
                <w:b/>
                <w:color w:val="FFFFFF"/>
                <w:sz w:val="17"/>
              </w:rPr>
            </w:r>
            <w:r>
              <w:rPr>
                <w:b/>
                <w:color w:val="FFFFFF"/>
                <w:sz w:val="17"/>
              </w:rPr>
              <w:t>Test</w:t>
            </w:r>
          </w:p>
        </w:tc>
        <w:tc>
          <w:tcPr>
            <w:tcW w:type="dxa" w:w="4464"/>
            <w:vAlign w:val="center"/>
            <w:shd w:fill="7A263A"/>
          </w:tcPr>
          <w:p>
            <w:pPr>
              <w:jc w:val="left"/>
            </w:pPr>
            <w:r>
              <w:rPr>
                <w:b/>
                <w:color w:val="FFFFFF"/>
                <w:sz w:val="17"/>
              </w:rPr>
            </w:r>
            <w:r>
              <w:rPr>
                <w:b/>
                <w:color w:val="FFFFFF"/>
                <w:sz w:val="17"/>
              </w:rPr>
              <w:t>Interpretation</w:t>
            </w:r>
          </w:p>
        </w:tc>
      </w:tr>
      <w:tr>
        <w:tc>
          <w:tcPr>
            <w:tcW w:type="dxa" w:w="2448"/>
            <w:vAlign w:val="center"/>
          </w:tcPr>
          <w:p>
            <w:pPr>
              <w:jc w:val="left"/>
            </w:pPr>
            <w:r>
              <w:rPr>
                <w:sz w:val="17"/>
              </w:rPr>
            </w:r>
            <w:r>
              <w:rPr>
                <w:b w:val="0"/>
                <w:sz w:val="17"/>
              </w:rPr>
              <w:t>AUC</w:t>
            </w:r>
          </w:p>
        </w:tc>
        <w:tc>
          <w:tcPr>
            <w:tcW w:type="dxa" w:w="2160"/>
            <w:vAlign w:val="center"/>
          </w:tcPr>
          <w:p>
            <w:pPr>
              <w:jc w:val="left"/>
            </w:pPr>
            <w:r>
              <w:rPr>
                <w:sz w:val="17"/>
              </w:rPr>
            </w:r>
            <w:r>
              <w:rPr>
                <w:b w:val="0"/>
                <w:sz w:val="17"/>
              </w:rPr>
              <w:t>0.9545</w:t>
            </w:r>
          </w:p>
        </w:tc>
        <w:tc>
          <w:tcPr>
            <w:tcW w:type="dxa" w:w="1872"/>
            <w:vAlign w:val="center"/>
          </w:tcPr>
          <w:p>
            <w:pPr>
              <w:jc w:val="left"/>
            </w:pPr>
            <w:r>
              <w:rPr>
                <w:sz w:val="17"/>
              </w:rPr>
            </w:r>
            <w:r>
              <w:rPr>
                <w:b w:val="0"/>
                <w:sz w:val="17"/>
              </w:rPr>
              <w:t>0.9373</w:t>
            </w:r>
          </w:p>
        </w:tc>
        <w:tc>
          <w:tcPr>
            <w:tcW w:type="dxa" w:w="4464"/>
            <w:vAlign w:val="center"/>
          </w:tcPr>
          <w:p>
            <w:pPr>
              <w:jc w:val="left"/>
            </w:pPr>
            <w:r>
              <w:rPr>
                <w:sz w:val="17"/>
              </w:rPr>
            </w:r>
            <w:r>
              <w:rPr>
                <w:b w:val="0"/>
                <w:sz w:val="17"/>
              </w:rPr>
              <w:t>Separates solver-selected from non-selected candidates.</w:t>
            </w:r>
          </w:p>
        </w:tc>
      </w:tr>
      <w:tr>
        <w:tc>
          <w:tcPr>
            <w:tcW w:type="dxa" w:w="2448"/>
            <w:vAlign w:val="center"/>
            <w:shd w:fill="F8F3F5"/>
          </w:tcPr>
          <w:p>
            <w:pPr>
              <w:jc w:val="left"/>
            </w:pPr>
            <w:r>
              <w:rPr>
                <w:sz w:val="17"/>
              </w:rPr>
            </w:r>
            <w:r>
              <w:rPr>
                <w:b w:val="0"/>
                <w:sz w:val="17"/>
              </w:rPr>
              <w:t>NDCG@10</w:t>
            </w:r>
          </w:p>
        </w:tc>
        <w:tc>
          <w:tcPr>
            <w:tcW w:type="dxa" w:w="2160"/>
            <w:vAlign w:val="center"/>
            <w:shd w:fill="F8F3F5"/>
          </w:tcPr>
          <w:p>
            <w:pPr>
              <w:jc w:val="left"/>
            </w:pPr>
            <w:r>
              <w:rPr>
                <w:sz w:val="17"/>
              </w:rPr>
            </w:r>
            <w:r>
              <w:rPr>
                <w:b w:val="0"/>
                <w:sz w:val="17"/>
              </w:rPr>
              <w:t>0.9308</w:t>
            </w:r>
          </w:p>
        </w:tc>
        <w:tc>
          <w:tcPr>
            <w:tcW w:type="dxa" w:w="1872"/>
            <w:vAlign w:val="center"/>
            <w:shd w:fill="F8F3F5"/>
          </w:tcPr>
          <w:p>
            <w:pPr>
              <w:jc w:val="left"/>
            </w:pPr>
            <w:r>
              <w:rPr>
                <w:sz w:val="17"/>
              </w:rPr>
            </w:r>
            <w:r>
              <w:rPr>
                <w:b w:val="0"/>
                <w:sz w:val="17"/>
              </w:rPr>
              <w:t>0.9211</w:t>
            </w:r>
          </w:p>
        </w:tc>
        <w:tc>
          <w:tcPr>
            <w:tcW w:type="dxa" w:w="4464"/>
            <w:vAlign w:val="center"/>
            <w:shd w:fill="F8F3F5"/>
          </w:tcPr>
          <w:p>
            <w:pPr>
              <w:jc w:val="left"/>
            </w:pPr>
            <w:r>
              <w:rPr>
                <w:sz w:val="17"/>
              </w:rPr>
            </w:r>
            <w:r>
              <w:rPr>
                <w:b w:val="0"/>
                <w:sz w:val="17"/>
              </w:rPr>
              <w:t>Selected candidates tend to appear high in ranked lists.</w:t>
            </w:r>
          </w:p>
        </w:tc>
      </w:tr>
      <w:tr>
        <w:tc>
          <w:tcPr>
            <w:tcW w:type="dxa" w:w="2448"/>
            <w:vAlign w:val="center"/>
          </w:tcPr>
          <w:p>
            <w:pPr>
              <w:jc w:val="left"/>
            </w:pPr>
            <w:r>
              <w:rPr>
                <w:sz w:val="17"/>
              </w:rPr>
            </w:r>
            <w:r>
              <w:rPr>
                <w:b w:val="0"/>
                <w:sz w:val="17"/>
              </w:rPr>
              <w:t>MAP@10</w:t>
            </w:r>
          </w:p>
        </w:tc>
        <w:tc>
          <w:tcPr>
            <w:tcW w:type="dxa" w:w="2160"/>
            <w:vAlign w:val="center"/>
          </w:tcPr>
          <w:p>
            <w:pPr>
              <w:jc w:val="left"/>
            </w:pPr>
            <w:r>
              <w:rPr>
                <w:sz w:val="17"/>
              </w:rPr>
            </w:r>
            <w:r>
              <w:rPr>
                <w:b w:val="0"/>
                <w:sz w:val="17"/>
              </w:rPr>
              <w:t>0.6953</w:t>
            </w:r>
          </w:p>
        </w:tc>
        <w:tc>
          <w:tcPr>
            <w:tcW w:type="dxa" w:w="1872"/>
            <w:vAlign w:val="center"/>
          </w:tcPr>
          <w:p>
            <w:pPr>
              <w:jc w:val="left"/>
            </w:pPr>
            <w:r>
              <w:rPr>
                <w:sz w:val="17"/>
              </w:rPr>
            </w:r>
            <w:r>
              <w:rPr>
                <w:b w:val="0"/>
                <w:sz w:val="17"/>
              </w:rPr>
              <w:t>0.6779</w:t>
            </w:r>
          </w:p>
        </w:tc>
        <w:tc>
          <w:tcPr>
            <w:tcW w:type="dxa" w:w="4464"/>
            <w:vAlign w:val="center"/>
          </w:tcPr>
          <w:p>
            <w:pPr>
              <w:jc w:val="left"/>
            </w:pPr>
            <w:r>
              <w:rPr>
                <w:sz w:val="17"/>
              </w:rPr>
            </w:r>
            <w:r>
              <w:rPr>
                <w:b w:val="0"/>
                <w:sz w:val="17"/>
              </w:rPr>
              <w:t>Measures top-k precision for solver-selected candidates.</w:t>
            </w:r>
          </w:p>
        </w:tc>
      </w:tr>
      <w:tr>
        <w:tc>
          <w:tcPr>
            <w:tcW w:type="dxa" w:w="2448"/>
            <w:vAlign w:val="center"/>
            <w:shd w:fill="F8F3F5"/>
          </w:tcPr>
          <w:p>
            <w:pPr>
              <w:jc w:val="left"/>
            </w:pPr>
            <w:r>
              <w:rPr>
                <w:sz w:val="17"/>
              </w:rPr>
            </w:r>
            <w:r>
              <w:rPr>
                <w:b w:val="0"/>
                <w:sz w:val="17"/>
              </w:rPr>
              <w:t>Heuristic baseline NDCG@10</w:t>
            </w:r>
          </w:p>
        </w:tc>
        <w:tc>
          <w:tcPr>
            <w:tcW w:type="dxa" w:w="2160"/>
            <w:vAlign w:val="center"/>
            <w:shd w:fill="F8F3F5"/>
          </w:tcPr>
          <w:p>
            <w:pPr>
              <w:jc w:val="left"/>
            </w:pPr>
            <w:r>
              <w:rPr>
                <w:sz w:val="17"/>
              </w:rPr>
            </w:r>
            <w:r>
              <w:rPr>
                <w:b w:val="0"/>
                <w:sz w:val="17"/>
              </w:rPr>
              <w:t>0.8943</w:t>
            </w:r>
          </w:p>
        </w:tc>
        <w:tc>
          <w:tcPr>
            <w:tcW w:type="dxa" w:w="1872"/>
            <w:vAlign w:val="center"/>
            <w:shd w:fill="F8F3F5"/>
          </w:tcPr>
          <w:p>
            <w:pPr>
              <w:jc w:val="left"/>
            </w:pPr>
            <w:r>
              <w:rPr>
                <w:sz w:val="17"/>
              </w:rPr>
            </w:r>
            <w:r>
              <w:rPr>
                <w:b w:val="0"/>
                <w:sz w:val="17"/>
              </w:rPr>
              <w:t>0.8838</w:t>
            </w:r>
          </w:p>
        </w:tc>
        <w:tc>
          <w:tcPr>
            <w:tcW w:type="dxa" w:w="4464"/>
            <w:vAlign w:val="center"/>
            <w:shd w:fill="F8F3F5"/>
          </w:tcPr>
          <w:p>
            <w:pPr>
              <w:jc w:val="left"/>
            </w:pPr>
            <w:r>
              <w:rPr>
                <w:sz w:val="17"/>
              </w:rPr>
            </w:r>
            <w:r>
              <w:rPr>
                <w:b w:val="0"/>
                <w:sz w:val="17"/>
              </w:rPr>
              <w:t>Non-ML deterministic baseline.</w:t>
            </w:r>
          </w:p>
        </w:tc>
      </w:tr>
      <w:tr>
        <w:tc>
          <w:tcPr>
            <w:tcW w:type="dxa" w:w="2448"/>
            <w:vAlign w:val="center"/>
          </w:tcPr>
          <w:p>
            <w:pPr>
              <w:jc w:val="left"/>
            </w:pPr>
            <w:r>
              <w:rPr>
                <w:sz w:val="17"/>
              </w:rPr>
            </w:r>
            <w:r>
              <w:rPr>
                <w:b w:val="0"/>
                <w:sz w:val="17"/>
              </w:rPr>
              <w:t>Heuristic baseline MAP@10</w:t>
            </w:r>
          </w:p>
        </w:tc>
        <w:tc>
          <w:tcPr>
            <w:tcW w:type="dxa" w:w="2160"/>
            <w:vAlign w:val="center"/>
          </w:tcPr>
          <w:p>
            <w:pPr>
              <w:jc w:val="left"/>
            </w:pPr>
            <w:r>
              <w:rPr>
                <w:sz w:val="17"/>
              </w:rPr>
            </w:r>
            <w:r>
              <w:rPr>
                <w:b w:val="0"/>
                <w:sz w:val="17"/>
              </w:rPr>
              <w:t>0.6456</w:t>
            </w:r>
          </w:p>
        </w:tc>
        <w:tc>
          <w:tcPr>
            <w:tcW w:type="dxa" w:w="1872"/>
            <w:vAlign w:val="center"/>
          </w:tcPr>
          <w:p>
            <w:pPr>
              <w:jc w:val="left"/>
            </w:pPr>
            <w:r>
              <w:rPr>
                <w:sz w:val="17"/>
              </w:rPr>
            </w:r>
            <w:r>
              <w:rPr>
                <w:b w:val="0"/>
                <w:sz w:val="17"/>
              </w:rPr>
              <w:t>0.6275</w:t>
            </w:r>
          </w:p>
        </w:tc>
        <w:tc>
          <w:tcPr>
            <w:tcW w:type="dxa" w:w="4464"/>
            <w:vAlign w:val="center"/>
          </w:tcPr>
          <w:p>
            <w:pPr>
              <w:jc w:val="left"/>
            </w:pPr>
            <w:r>
              <w:rPr>
                <w:sz w:val="17"/>
              </w:rPr>
            </w:r>
            <w:r>
              <w:rPr>
                <w:b w:val="0"/>
                <w:sz w:val="17"/>
              </w:rPr>
              <w:t>Non-ML deterministic baseline.</w:t>
            </w:r>
          </w:p>
        </w:tc>
      </w:tr>
      <w:tr>
        <w:tc>
          <w:tcPr>
            <w:tcW w:type="dxa" w:w="2448"/>
            <w:vAlign w:val="center"/>
            <w:shd w:fill="F8F3F5"/>
          </w:tcPr>
          <w:p>
            <w:pPr>
              <w:jc w:val="left"/>
            </w:pPr>
            <w:r>
              <w:rPr>
                <w:sz w:val="17"/>
              </w:rPr>
            </w:r>
            <w:r>
              <w:rPr>
                <w:b w:val="0"/>
                <w:sz w:val="17"/>
              </w:rPr>
              <w:t>Uplift vs baseline</w:t>
            </w:r>
          </w:p>
        </w:tc>
        <w:tc>
          <w:tcPr>
            <w:tcW w:type="dxa" w:w="2160"/>
            <w:vAlign w:val="center"/>
            <w:shd w:fill="F8F3F5"/>
          </w:tcPr>
          <w:p>
            <w:pPr>
              <w:jc w:val="left"/>
            </w:pPr>
            <w:r>
              <w:rPr>
                <w:sz w:val="17"/>
              </w:rPr>
            </w:r>
            <w:r>
              <w:rPr>
                <w:b w:val="0"/>
                <w:sz w:val="17"/>
              </w:rPr>
              <w:t>NDCG@10 +0.0365; MAP@10 +0.0497</w:t>
            </w:r>
          </w:p>
        </w:tc>
        <w:tc>
          <w:tcPr>
            <w:tcW w:type="dxa" w:w="1872"/>
            <w:vAlign w:val="center"/>
            <w:shd w:fill="F8F3F5"/>
          </w:tcPr>
          <w:p>
            <w:pPr>
              <w:jc w:val="left"/>
            </w:pPr>
            <w:r>
              <w:rPr>
                <w:sz w:val="17"/>
              </w:rPr>
            </w:r>
            <w:r>
              <w:rPr>
                <w:b w:val="0"/>
                <w:sz w:val="17"/>
              </w:rPr>
              <w:t>NDCG@10 +0.0373; MAP@10 +0.0504</w:t>
            </w:r>
          </w:p>
        </w:tc>
        <w:tc>
          <w:tcPr>
            <w:tcW w:type="dxa" w:w="4464"/>
            <w:vAlign w:val="center"/>
            <w:shd w:fill="F8F3F5"/>
          </w:tcPr>
          <w:p>
            <w:pPr>
              <w:jc w:val="left"/>
            </w:pPr>
            <w:r>
              <w:rPr>
                <w:sz w:val="17"/>
              </w:rPr>
            </w:r>
            <w:r>
              <w:rPr>
                <w:b w:val="0"/>
                <w:sz w:val="17"/>
              </w:rPr>
              <w:t>ML improves ranking quality but remains assistive.</w:t>
            </w:r>
          </w:p>
        </w:tc>
      </w:tr>
    </w:tbl>
    <w:p/>
    <w:p>
      <w:pPr>
        <w:pStyle w:val="Caption"/>
      </w:pPr>
      <w:r>
        <w:rPr>
          <w:b/>
        </w:rPr>
        <w:t>Figure 4.6 Test ranking quality: LightGBM versus deterministic heuristic baseline.</w:t>
      </w:r>
    </w:p>
    <w:p>
      <w:r>
        <w:drawing>
          <wp:inline xmlns:a="http://schemas.openxmlformats.org/drawingml/2006/main" xmlns:pic="http://schemas.openxmlformats.org/drawingml/2006/picture">
            <wp:extent cx="6080760" cy="3300984"/>
            <wp:docPr id="3" name="Picture 3"/>
            <wp:cNvGraphicFramePr>
              <a:graphicFrameLocks noChangeAspect="1"/>
            </wp:cNvGraphicFramePr>
            <a:graphic>
              <a:graphicData uri="http://schemas.openxmlformats.org/drawingml/2006/picture">
                <pic:pic>
                  <pic:nvPicPr>
                    <pic:cNvPr id="0" name="figure_4_6_lightgbm_uplift.png"/>
                    <pic:cNvPicPr/>
                  </pic:nvPicPr>
                  <pic:blipFill>
                    <a:blip r:embed="rId11"/>
                    <a:stretch>
                      <a:fillRect/>
                    </a:stretch>
                  </pic:blipFill>
                  <pic:spPr>
                    <a:xfrm>
                      <a:off x="0" y="0"/>
                      <a:ext cx="6080760" cy="3300984"/>
                    </a:xfrm>
                    <a:prstGeom prst="rect"/>
                  </pic:spPr>
                </pic:pic>
              </a:graphicData>
            </a:graphic>
          </wp:inline>
        </w:drawing>
      </w:r>
    </w:p>
    <w:p>
      <w:pPr>
        <w:pStyle w:val="Heading1"/>
      </w:pPr>
      <w:r>
        <w:t>4.4.5 Stage 2 CP-SAT Optimization Results</w:t>
      </w:r>
    </w:p>
    <w:p>
      <w:r>
        <w:t>The CP-SAT optimizer is the final decision layer. It is the correct algorithmic center of the paper because PCOSina has many non-negotiable rules. Across the four feasible thesis scenarios, the planner completed all 21 weekly meal slots without observed hard violations. In S5, the PHP 20 weekly budget was intentionally infeasible, and the system returned no-safe-plan rather than relaxing the hard budget cap.</w:t>
      </w:r>
    </w:p>
    <w:p>
      <w:pPr>
        <w:pStyle w:val="Caption"/>
      </w:pPr>
      <w:r>
        <w:rPr>
          <w:b/>
        </w:rPr>
        <w:t>Table 4.4.7 Stage 2 Runtime and Safe Completion Summary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vAlign w:val="center"/>
            <w:shd w:fill="7A263A"/>
          </w:tcPr>
          <w:p>
            <w:pPr>
              <w:jc w:val="left"/>
            </w:pPr>
            <w:r>
              <w:rPr>
                <w:b/>
                <w:color w:val="FFFFFF"/>
                <w:sz w:val="17"/>
              </w:rPr>
            </w:r>
            <w:r>
              <w:rPr>
                <w:b/>
                <w:color w:val="FFFFFF"/>
                <w:sz w:val="17"/>
              </w:rPr>
              <w:t>Scenario</w:t>
            </w:r>
          </w:p>
        </w:tc>
        <w:tc>
          <w:tcPr>
            <w:tcW w:type="dxa" w:w="2016"/>
            <w:vAlign w:val="center"/>
            <w:shd w:fill="7A263A"/>
          </w:tcPr>
          <w:p>
            <w:pPr>
              <w:jc w:val="left"/>
            </w:pPr>
            <w:r>
              <w:rPr>
                <w:b/>
                <w:color w:val="FFFFFF"/>
                <w:sz w:val="17"/>
              </w:rPr>
            </w:r>
            <w:r>
              <w:rPr>
                <w:b/>
                <w:color w:val="FFFFFF"/>
                <w:sz w:val="17"/>
              </w:rPr>
              <w:t>Average Runtime (s)</w:t>
            </w:r>
          </w:p>
        </w:tc>
        <w:tc>
          <w:tcPr>
            <w:tcW w:type="dxa" w:w="1872"/>
            <w:vAlign w:val="center"/>
            <w:shd w:fill="7A263A"/>
          </w:tcPr>
          <w:p>
            <w:pPr>
              <w:jc w:val="left"/>
            </w:pPr>
            <w:r>
              <w:rPr>
                <w:b/>
                <w:color w:val="FFFFFF"/>
                <w:sz w:val="17"/>
              </w:rPr>
            </w:r>
            <w:r>
              <w:rPr>
                <w:b/>
                <w:color w:val="FFFFFF"/>
                <w:sz w:val="17"/>
              </w:rPr>
              <w:t>Planner Result</w:t>
            </w:r>
          </w:p>
        </w:tc>
        <w:tc>
          <w:tcPr>
            <w:tcW w:type="dxa" w:w="4608"/>
            <w:vAlign w:val="center"/>
            <w:shd w:fill="7A263A"/>
          </w:tcPr>
          <w:p>
            <w:pPr>
              <w:jc w:val="left"/>
            </w:pPr>
            <w:r>
              <w:rPr>
                <w:b/>
                <w:color w:val="FFFFFF"/>
                <w:sz w:val="17"/>
              </w:rPr>
            </w:r>
            <w:r>
              <w:rPr>
                <w:b/>
                <w:color w:val="FFFFFF"/>
                <w:sz w:val="17"/>
              </w:rPr>
              <w:t>Safe Completion Outcome</w:t>
            </w:r>
          </w:p>
        </w:tc>
      </w:tr>
      <w:tr>
        <w:tc>
          <w:tcPr>
            <w:tcW w:type="dxa" w:w="2448"/>
            <w:vAlign w:val="center"/>
          </w:tcPr>
          <w:p>
            <w:pPr>
              <w:jc w:val="left"/>
            </w:pPr>
            <w:r>
              <w:rPr>
                <w:sz w:val="17"/>
              </w:rPr>
            </w:r>
            <w:r>
              <w:rPr>
                <w:b w:val="0"/>
                <w:sz w:val="17"/>
              </w:rPr>
              <w:t>S1 Base</w:t>
            </w:r>
          </w:p>
        </w:tc>
        <w:tc>
          <w:tcPr>
            <w:tcW w:type="dxa" w:w="2016"/>
            <w:vAlign w:val="center"/>
          </w:tcPr>
          <w:p>
            <w:pPr>
              <w:jc w:val="left"/>
            </w:pPr>
            <w:r>
              <w:rPr>
                <w:sz w:val="17"/>
              </w:rPr>
            </w:r>
            <w:r>
              <w:rPr>
                <w:b w:val="0"/>
                <w:sz w:val="17"/>
              </w:rPr>
              <w:t>0.6309</w:t>
            </w:r>
          </w:p>
        </w:tc>
        <w:tc>
          <w:tcPr>
            <w:tcW w:type="dxa" w:w="1872"/>
            <w:vAlign w:val="center"/>
          </w:tcPr>
          <w:p>
            <w:pPr>
              <w:jc w:val="left"/>
            </w:pPr>
            <w:r>
              <w:rPr>
                <w:sz w:val="17"/>
              </w:rPr>
            </w:r>
            <w:r>
              <w:rPr>
                <w:b w:val="0"/>
                <w:sz w:val="17"/>
              </w:rPr>
              <w:t>Success</w:t>
            </w:r>
          </w:p>
        </w:tc>
        <w:tc>
          <w:tcPr>
            <w:tcW w:type="dxa" w:w="4608"/>
            <w:vAlign w:val="center"/>
          </w:tcPr>
          <w:p>
            <w:pPr>
              <w:jc w:val="left"/>
            </w:pPr>
            <w:r>
              <w:rPr>
                <w:sz w:val="17"/>
              </w:rPr>
            </w:r>
            <w:r>
              <w:rPr>
                <w:b w:val="0"/>
                <w:sz w:val="17"/>
              </w:rPr>
              <w:t>21 / 21 slots, 0 hard violations</w:t>
            </w:r>
          </w:p>
        </w:tc>
      </w:tr>
      <w:tr>
        <w:tc>
          <w:tcPr>
            <w:tcW w:type="dxa" w:w="2448"/>
            <w:vAlign w:val="center"/>
            <w:shd w:fill="F8F3F5"/>
          </w:tcPr>
          <w:p>
            <w:pPr>
              <w:jc w:val="left"/>
            </w:pPr>
            <w:r>
              <w:rPr>
                <w:sz w:val="17"/>
              </w:rPr>
            </w:r>
            <w:r>
              <w:rPr>
                <w:b w:val="0"/>
                <w:sz w:val="17"/>
              </w:rPr>
              <w:t>S2 Budget and No Pork</w:t>
            </w:r>
          </w:p>
        </w:tc>
        <w:tc>
          <w:tcPr>
            <w:tcW w:type="dxa" w:w="2016"/>
            <w:vAlign w:val="center"/>
            <w:shd w:fill="F8F3F5"/>
          </w:tcPr>
          <w:p>
            <w:pPr>
              <w:jc w:val="left"/>
            </w:pPr>
            <w:r>
              <w:rPr>
                <w:sz w:val="17"/>
              </w:rPr>
            </w:r>
            <w:r>
              <w:rPr>
                <w:b w:val="0"/>
                <w:sz w:val="17"/>
              </w:rPr>
              <w:t>1.0768</w:t>
            </w:r>
          </w:p>
        </w:tc>
        <w:tc>
          <w:tcPr>
            <w:tcW w:type="dxa" w:w="1872"/>
            <w:vAlign w:val="center"/>
            <w:shd w:fill="F8F3F5"/>
          </w:tcPr>
          <w:p>
            <w:pPr>
              <w:jc w:val="left"/>
            </w:pPr>
            <w:r>
              <w:rPr>
                <w:sz w:val="17"/>
              </w:rPr>
            </w:r>
            <w:r>
              <w:rPr>
                <w:b w:val="0"/>
                <w:sz w:val="17"/>
              </w:rPr>
              <w:t>Success</w:t>
            </w:r>
          </w:p>
        </w:tc>
        <w:tc>
          <w:tcPr>
            <w:tcW w:type="dxa" w:w="4608"/>
            <w:vAlign w:val="center"/>
            <w:shd w:fill="F8F3F5"/>
          </w:tcPr>
          <w:p>
            <w:pPr>
              <w:jc w:val="left"/>
            </w:pPr>
            <w:r>
              <w:rPr>
                <w:sz w:val="17"/>
              </w:rPr>
            </w:r>
            <w:r>
              <w:rPr>
                <w:b w:val="0"/>
                <w:sz w:val="17"/>
              </w:rPr>
              <w:t>21 / 21 slots, hard budget cap met</w:t>
            </w:r>
          </w:p>
        </w:tc>
      </w:tr>
      <w:tr>
        <w:tc>
          <w:tcPr>
            <w:tcW w:type="dxa" w:w="2448"/>
            <w:vAlign w:val="center"/>
          </w:tcPr>
          <w:p>
            <w:pPr>
              <w:jc w:val="left"/>
            </w:pPr>
            <w:r>
              <w:rPr>
                <w:sz w:val="17"/>
              </w:rPr>
            </w:r>
            <w:r>
              <w:rPr>
                <w:b w:val="0"/>
                <w:sz w:val="17"/>
              </w:rPr>
              <w:t>S3 Vegetarian and Lactose Intolerant</w:t>
            </w:r>
          </w:p>
        </w:tc>
        <w:tc>
          <w:tcPr>
            <w:tcW w:type="dxa" w:w="2016"/>
            <w:vAlign w:val="center"/>
          </w:tcPr>
          <w:p>
            <w:pPr>
              <w:jc w:val="left"/>
            </w:pPr>
            <w:r>
              <w:rPr>
                <w:sz w:val="17"/>
              </w:rPr>
            </w:r>
            <w:r>
              <w:rPr>
                <w:b w:val="0"/>
                <w:sz w:val="17"/>
              </w:rPr>
              <w:t>0.6988</w:t>
            </w:r>
          </w:p>
        </w:tc>
        <w:tc>
          <w:tcPr>
            <w:tcW w:type="dxa" w:w="1872"/>
            <w:vAlign w:val="center"/>
          </w:tcPr>
          <w:p>
            <w:pPr>
              <w:jc w:val="left"/>
            </w:pPr>
            <w:r>
              <w:rPr>
                <w:sz w:val="17"/>
              </w:rPr>
            </w:r>
            <w:r>
              <w:rPr>
                <w:b w:val="0"/>
                <w:sz w:val="17"/>
              </w:rPr>
              <w:t>Success</w:t>
            </w:r>
          </w:p>
        </w:tc>
        <w:tc>
          <w:tcPr>
            <w:tcW w:type="dxa" w:w="4608"/>
            <w:vAlign w:val="center"/>
          </w:tcPr>
          <w:p>
            <w:pPr>
              <w:jc w:val="left"/>
            </w:pPr>
            <w:r>
              <w:rPr>
                <w:sz w:val="17"/>
              </w:rPr>
            </w:r>
            <w:r>
              <w:rPr>
                <w:b w:val="0"/>
                <w:sz w:val="17"/>
              </w:rPr>
              <w:t>21 / 21 slots, 0 hard violations</w:t>
            </w:r>
          </w:p>
        </w:tc>
      </w:tr>
      <w:tr>
        <w:tc>
          <w:tcPr>
            <w:tcW w:type="dxa" w:w="2448"/>
            <w:vAlign w:val="center"/>
            <w:shd w:fill="F8F3F5"/>
          </w:tcPr>
          <w:p>
            <w:pPr>
              <w:jc w:val="left"/>
            </w:pPr>
            <w:r>
              <w:rPr>
                <w:sz w:val="17"/>
              </w:rPr>
            </w:r>
            <w:r>
              <w:rPr>
                <w:b w:val="0"/>
                <w:sz w:val="17"/>
              </w:rPr>
              <w:t>S4 Pantry-Aware Case</w:t>
            </w:r>
          </w:p>
        </w:tc>
        <w:tc>
          <w:tcPr>
            <w:tcW w:type="dxa" w:w="2016"/>
            <w:vAlign w:val="center"/>
            <w:shd w:fill="F8F3F5"/>
          </w:tcPr>
          <w:p>
            <w:pPr>
              <w:jc w:val="left"/>
            </w:pPr>
            <w:r>
              <w:rPr>
                <w:sz w:val="17"/>
              </w:rPr>
            </w:r>
            <w:r>
              <w:rPr>
                <w:b w:val="0"/>
                <w:sz w:val="17"/>
              </w:rPr>
              <w:t>1.1201</w:t>
            </w:r>
          </w:p>
        </w:tc>
        <w:tc>
          <w:tcPr>
            <w:tcW w:type="dxa" w:w="1872"/>
            <w:vAlign w:val="center"/>
            <w:shd w:fill="F8F3F5"/>
          </w:tcPr>
          <w:p>
            <w:pPr>
              <w:jc w:val="left"/>
            </w:pPr>
            <w:r>
              <w:rPr>
                <w:sz w:val="17"/>
              </w:rPr>
            </w:r>
            <w:r>
              <w:rPr>
                <w:b w:val="0"/>
                <w:sz w:val="17"/>
              </w:rPr>
              <w:t>Success</w:t>
            </w:r>
          </w:p>
        </w:tc>
        <w:tc>
          <w:tcPr>
            <w:tcW w:type="dxa" w:w="4608"/>
            <w:vAlign w:val="center"/>
            <w:shd w:fill="F8F3F5"/>
          </w:tcPr>
          <w:p>
            <w:pPr>
              <w:jc w:val="left"/>
            </w:pPr>
            <w:r>
              <w:rPr>
                <w:sz w:val="17"/>
              </w:rPr>
            </w:r>
            <w:r>
              <w:rPr>
                <w:b w:val="0"/>
                <w:sz w:val="17"/>
              </w:rPr>
              <w:t>21 / 21 slots, 38 pantry-overlap matches</w:t>
            </w:r>
          </w:p>
        </w:tc>
      </w:tr>
      <w:tr>
        <w:tc>
          <w:tcPr>
            <w:tcW w:type="dxa" w:w="2448"/>
            <w:vAlign w:val="center"/>
          </w:tcPr>
          <w:p>
            <w:pPr>
              <w:jc w:val="left"/>
            </w:pPr>
            <w:r>
              <w:rPr>
                <w:sz w:val="17"/>
              </w:rPr>
            </w:r>
            <w:r>
              <w:rPr>
                <w:b w:val="0"/>
                <w:sz w:val="17"/>
              </w:rPr>
              <w:t>S5 Resilience/Stress Case</w:t>
            </w:r>
          </w:p>
        </w:tc>
        <w:tc>
          <w:tcPr>
            <w:tcW w:type="dxa" w:w="2016"/>
            <w:vAlign w:val="center"/>
          </w:tcPr>
          <w:p>
            <w:pPr>
              <w:jc w:val="left"/>
            </w:pPr>
            <w:r>
              <w:rPr>
                <w:sz w:val="17"/>
              </w:rPr>
            </w:r>
            <w:r>
              <w:rPr>
                <w:b w:val="0"/>
                <w:sz w:val="17"/>
              </w:rPr>
              <w:t>3.2940</w:t>
            </w:r>
          </w:p>
        </w:tc>
        <w:tc>
          <w:tcPr>
            <w:tcW w:type="dxa" w:w="1872"/>
            <w:vAlign w:val="center"/>
          </w:tcPr>
          <w:p>
            <w:pPr>
              <w:jc w:val="left"/>
            </w:pPr>
            <w:r>
              <w:rPr>
                <w:sz w:val="17"/>
              </w:rPr>
            </w:r>
            <w:r>
              <w:rPr>
                <w:b w:val="0"/>
                <w:sz w:val="17"/>
              </w:rPr>
              <w:t>No-safe-plan</w:t>
            </w:r>
          </w:p>
        </w:tc>
        <w:tc>
          <w:tcPr>
            <w:tcW w:type="dxa" w:w="4608"/>
            <w:vAlign w:val="center"/>
          </w:tcPr>
          <w:p>
            <w:pPr>
              <w:jc w:val="left"/>
            </w:pPr>
            <w:r>
              <w:rPr>
                <w:sz w:val="17"/>
              </w:rPr>
            </w:r>
            <w:r>
              <w:rPr>
                <w:b w:val="0"/>
                <w:sz w:val="17"/>
              </w:rPr>
              <w:t>No unsafe plan returned; infeasible hard budget preserved</w:t>
            </w:r>
          </w:p>
        </w:tc>
      </w:tr>
    </w:tbl>
    <w:p/>
    <w:p>
      <w:r>
        <w:br w:type="page"/>
      </w:r>
    </w:p>
    <w:p>
      <w:pPr>
        <w:pStyle w:val="Heading1"/>
      </w:pPr>
      <w:r>
        <w:t>4.4.6 Nutritional Quality and Constraint Outcomes</w:t>
      </w:r>
    </w:p>
    <w:p>
      <w:pPr>
        <w:pStyle w:val="Caption"/>
      </w:pPr>
      <w:r>
        <w:rPr>
          <w:b/>
        </w:rPr>
        <w:t>Table 4.4.8 Nutritional Quality and Constraint Outcome Comparison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2088"/>
            <w:vAlign w:val="center"/>
            <w:shd w:fill="7A263A"/>
          </w:tcPr>
          <w:p>
            <w:pPr>
              <w:jc w:val="left"/>
            </w:pPr>
            <w:r>
              <w:rPr>
                <w:b/>
                <w:color w:val="FFFFFF"/>
                <w:sz w:val="17"/>
              </w:rPr>
            </w:r>
            <w:r>
              <w:rPr>
                <w:b/>
                <w:color w:val="FFFFFF"/>
                <w:sz w:val="17"/>
              </w:rPr>
              <w:t>Scenario</w:t>
            </w:r>
          </w:p>
        </w:tc>
        <w:tc>
          <w:tcPr>
            <w:tcW w:type="dxa" w:w="1656"/>
            <w:vAlign w:val="center"/>
            <w:shd w:fill="7A263A"/>
          </w:tcPr>
          <w:p>
            <w:pPr>
              <w:jc w:val="left"/>
            </w:pPr>
            <w:r>
              <w:rPr>
                <w:b/>
                <w:color w:val="FFFFFF"/>
                <w:sz w:val="17"/>
              </w:rPr>
            </w:r>
            <w:r>
              <w:rPr>
                <w:b/>
                <w:color w:val="FFFFFF"/>
                <w:sz w:val="17"/>
              </w:rPr>
              <w:t>Average Calorie Deviation</w:t>
            </w:r>
          </w:p>
        </w:tc>
        <w:tc>
          <w:tcPr>
            <w:tcW w:type="dxa" w:w="1656"/>
            <w:vAlign w:val="center"/>
            <w:shd w:fill="7A263A"/>
          </w:tcPr>
          <w:p>
            <w:pPr>
              <w:jc w:val="left"/>
            </w:pPr>
            <w:r>
              <w:rPr>
                <w:b/>
                <w:color w:val="FFFFFF"/>
                <w:sz w:val="17"/>
              </w:rPr>
            </w:r>
            <w:r>
              <w:rPr>
                <w:b/>
                <w:color w:val="FFFFFF"/>
                <w:sz w:val="17"/>
              </w:rPr>
              <w:t>Average Macro Deviation</w:t>
            </w:r>
          </w:p>
        </w:tc>
        <w:tc>
          <w:tcPr>
            <w:tcW w:type="dxa" w:w="2016"/>
            <w:vAlign w:val="center"/>
            <w:shd w:fill="7A263A"/>
          </w:tcPr>
          <w:p>
            <w:pPr>
              <w:jc w:val="left"/>
            </w:pPr>
            <w:r>
              <w:rPr>
                <w:b/>
                <w:color w:val="FFFFFF"/>
                <w:sz w:val="17"/>
              </w:rPr>
            </w:r>
            <w:r>
              <w:rPr>
                <w:b/>
                <w:color w:val="FFFFFF"/>
                <w:sz w:val="17"/>
              </w:rPr>
              <w:t>Budget Result</w:t>
            </w:r>
          </w:p>
        </w:tc>
        <w:tc>
          <w:tcPr>
            <w:tcW w:type="dxa" w:w="1944"/>
            <w:vAlign w:val="center"/>
            <w:shd w:fill="7A263A"/>
          </w:tcPr>
          <w:p>
            <w:pPr>
              <w:jc w:val="left"/>
            </w:pPr>
            <w:r>
              <w:rPr>
                <w:b/>
                <w:color w:val="FFFFFF"/>
                <w:sz w:val="17"/>
              </w:rPr>
            </w:r>
            <w:r>
              <w:rPr>
                <w:b/>
                <w:color w:val="FFFFFF"/>
                <w:sz w:val="17"/>
              </w:rPr>
              <w:t>Pantry Result</w:t>
            </w:r>
          </w:p>
        </w:tc>
        <w:tc>
          <w:tcPr>
            <w:tcW w:type="dxa" w:w="1584"/>
            <w:vAlign w:val="center"/>
            <w:shd w:fill="7A263A"/>
          </w:tcPr>
          <w:p>
            <w:pPr>
              <w:jc w:val="left"/>
            </w:pPr>
            <w:r>
              <w:rPr>
                <w:b/>
                <w:color w:val="FFFFFF"/>
                <w:sz w:val="17"/>
              </w:rPr>
            </w:r>
            <w:r>
              <w:rPr>
                <w:b/>
                <w:color w:val="FFFFFF"/>
                <w:sz w:val="17"/>
              </w:rPr>
              <w:t>Hard-Constraint Outcome</w:t>
            </w:r>
          </w:p>
        </w:tc>
      </w:tr>
      <w:tr>
        <w:tc>
          <w:tcPr>
            <w:tcW w:type="dxa" w:w="2088"/>
            <w:vAlign w:val="center"/>
          </w:tcPr>
          <w:p>
            <w:pPr>
              <w:jc w:val="left"/>
            </w:pPr>
            <w:r>
              <w:rPr>
                <w:sz w:val="17"/>
              </w:rPr>
            </w:r>
            <w:r>
              <w:rPr>
                <w:b w:val="0"/>
                <w:sz w:val="17"/>
              </w:rPr>
              <w:t>S1 Base</w:t>
            </w:r>
          </w:p>
        </w:tc>
        <w:tc>
          <w:tcPr>
            <w:tcW w:type="dxa" w:w="1656"/>
            <w:vAlign w:val="center"/>
          </w:tcPr>
          <w:p>
            <w:pPr>
              <w:jc w:val="left"/>
            </w:pPr>
            <w:r>
              <w:rPr>
                <w:sz w:val="17"/>
              </w:rPr>
            </w:r>
            <w:r>
              <w:rPr>
                <w:b w:val="0"/>
                <w:sz w:val="17"/>
              </w:rPr>
              <w:t>576.00</w:t>
            </w:r>
          </w:p>
        </w:tc>
        <w:tc>
          <w:tcPr>
            <w:tcW w:type="dxa" w:w="1656"/>
            <w:vAlign w:val="center"/>
          </w:tcPr>
          <w:p>
            <w:pPr>
              <w:jc w:val="left"/>
            </w:pPr>
            <w:r>
              <w:rPr>
                <w:sz w:val="17"/>
              </w:rPr>
            </w:r>
            <w:r>
              <w:rPr>
                <w:b w:val="0"/>
                <w:sz w:val="17"/>
              </w:rPr>
              <w:t>30.85%</w:t>
            </w:r>
          </w:p>
        </w:tc>
        <w:tc>
          <w:tcPr>
            <w:tcW w:type="dxa" w:w="2016"/>
            <w:vAlign w:val="center"/>
          </w:tcPr>
          <w:p>
            <w:pPr>
              <w:jc w:val="left"/>
            </w:pPr>
            <w:r>
              <w:rPr>
                <w:sz w:val="17"/>
              </w:rPr>
            </w:r>
            <w:r>
              <w:rPr>
                <w:b w:val="0"/>
                <w:sz w:val="17"/>
              </w:rPr>
              <w:t>Not budget constrained</w:t>
            </w:r>
          </w:p>
        </w:tc>
        <w:tc>
          <w:tcPr>
            <w:tcW w:type="dxa" w:w="1944"/>
            <w:vAlign w:val="center"/>
          </w:tcPr>
          <w:p>
            <w:pPr>
              <w:jc w:val="left"/>
            </w:pPr>
            <w:r>
              <w:rPr>
                <w:sz w:val="17"/>
              </w:rPr>
            </w:r>
            <w:r>
              <w:rPr>
                <w:b w:val="0"/>
                <w:sz w:val="17"/>
              </w:rPr>
              <w:t>0 matches</w:t>
            </w:r>
          </w:p>
        </w:tc>
        <w:tc>
          <w:tcPr>
            <w:tcW w:type="dxa" w:w="1584"/>
            <w:vAlign w:val="center"/>
          </w:tcPr>
          <w:p>
            <w:pPr>
              <w:jc w:val="left"/>
            </w:pPr>
            <w:r>
              <w:rPr>
                <w:sz w:val="17"/>
              </w:rPr>
            </w:r>
            <w:r>
              <w:rPr>
                <w:b w:val="0"/>
                <w:sz w:val="17"/>
              </w:rPr>
              <w:t>0 hard violations</w:t>
            </w:r>
          </w:p>
        </w:tc>
      </w:tr>
      <w:tr>
        <w:tc>
          <w:tcPr>
            <w:tcW w:type="dxa" w:w="2088"/>
            <w:vAlign w:val="center"/>
            <w:shd w:fill="F8F3F5"/>
          </w:tcPr>
          <w:p>
            <w:pPr>
              <w:jc w:val="left"/>
            </w:pPr>
            <w:r>
              <w:rPr>
                <w:sz w:val="17"/>
              </w:rPr>
            </w:r>
            <w:r>
              <w:rPr>
                <w:b w:val="0"/>
                <w:sz w:val="17"/>
              </w:rPr>
              <w:t>S2 Budget and No Pork</w:t>
            </w:r>
          </w:p>
        </w:tc>
        <w:tc>
          <w:tcPr>
            <w:tcW w:type="dxa" w:w="1656"/>
            <w:vAlign w:val="center"/>
            <w:shd w:fill="F8F3F5"/>
          </w:tcPr>
          <w:p>
            <w:pPr>
              <w:jc w:val="left"/>
            </w:pPr>
            <w:r>
              <w:rPr>
                <w:sz w:val="17"/>
              </w:rPr>
            </w:r>
            <w:r>
              <w:rPr>
                <w:b w:val="0"/>
                <w:sz w:val="17"/>
              </w:rPr>
              <w:t>740.67</w:t>
            </w:r>
          </w:p>
        </w:tc>
        <w:tc>
          <w:tcPr>
            <w:tcW w:type="dxa" w:w="1656"/>
            <w:vAlign w:val="center"/>
            <w:shd w:fill="F8F3F5"/>
          </w:tcPr>
          <w:p>
            <w:pPr>
              <w:jc w:val="left"/>
            </w:pPr>
            <w:r>
              <w:rPr>
                <w:sz w:val="17"/>
              </w:rPr>
            </w:r>
            <w:r>
              <w:rPr>
                <w:b w:val="0"/>
                <w:sz w:val="17"/>
              </w:rPr>
              <w:t>40.34%</w:t>
            </w:r>
          </w:p>
        </w:tc>
        <w:tc>
          <w:tcPr>
            <w:tcW w:type="dxa" w:w="2016"/>
            <w:vAlign w:val="center"/>
            <w:shd w:fill="F8F3F5"/>
          </w:tcPr>
          <w:p>
            <w:pPr>
              <w:jc w:val="left"/>
            </w:pPr>
            <w:r>
              <w:rPr>
                <w:sz w:val="17"/>
              </w:rPr>
            </w:r>
            <w:r>
              <w:rPr>
                <w:b w:val="0"/>
                <w:sz w:val="17"/>
              </w:rPr>
              <w:t>PHP 1,000 cap met exactly</w:t>
            </w:r>
          </w:p>
        </w:tc>
        <w:tc>
          <w:tcPr>
            <w:tcW w:type="dxa" w:w="1944"/>
            <w:vAlign w:val="center"/>
            <w:shd w:fill="F8F3F5"/>
          </w:tcPr>
          <w:p>
            <w:pPr>
              <w:jc w:val="left"/>
            </w:pPr>
            <w:r>
              <w:rPr>
                <w:sz w:val="17"/>
              </w:rPr>
            </w:r>
            <w:r>
              <w:rPr>
                <w:b w:val="0"/>
                <w:sz w:val="17"/>
              </w:rPr>
              <w:t>0 matches</w:t>
            </w:r>
          </w:p>
        </w:tc>
        <w:tc>
          <w:tcPr>
            <w:tcW w:type="dxa" w:w="1584"/>
            <w:vAlign w:val="center"/>
            <w:shd w:fill="F8F3F5"/>
          </w:tcPr>
          <w:p>
            <w:pPr>
              <w:jc w:val="left"/>
            </w:pPr>
            <w:r>
              <w:rPr>
                <w:sz w:val="17"/>
              </w:rPr>
            </w:r>
            <w:r>
              <w:rPr>
                <w:b w:val="0"/>
                <w:sz w:val="17"/>
              </w:rPr>
              <w:t>0 hard violations</w:t>
            </w:r>
          </w:p>
        </w:tc>
      </w:tr>
      <w:tr>
        <w:tc>
          <w:tcPr>
            <w:tcW w:type="dxa" w:w="2088"/>
            <w:vAlign w:val="center"/>
          </w:tcPr>
          <w:p>
            <w:pPr>
              <w:jc w:val="left"/>
            </w:pPr>
            <w:r>
              <w:rPr>
                <w:sz w:val="17"/>
              </w:rPr>
            </w:r>
            <w:r>
              <w:rPr>
                <w:b w:val="0"/>
                <w:sz w:val="17"/>
              </w:rPr>
              <w:t>S3 Vegetarian and Lactose Intolerant</w:t>
            </w:r>
          </w:p>
        </w:tc>
        <w:tc>
          <w:tcPr>
            <w:tcW w:type="dxa" w:w="1656"/>
            <w:vAlign w:val="center"/>
          </w:tcPr>
          <w:p>
            <w:pPr>
              <w:jc w:val="left"/>
            </w:pPr>
            <w:r>
              <w:rPr>
                <w:sz w:val="17"/>
              </w:rPr>
            </w:r>
            <w:r>
              <w:rPr>
                <w:b w:val="0"/>
                <w:sz w:val="17"/>
              </w:rPr>
              <w:t>691.00</w:t>
            </w:r>
          </w:p>
        </w:tc>
        <w:tc>
          <w:tcPr>
            <w:tcW w:type="dxa" w:w="1656"/>
            <w:vAlign w:val="center"/>
          </w:tcPr>
          <w:p>
            <w:pPr>
              <w:jc w:val="left"/>
            </w:pPr>
            <w:r>
              <w:rPr>
                <w:sz w:val="17"/>
              </w:rPr>
            </w:r>
            <w:r>
              <w:rPr>
                <w:b w:val="0"/>
                <w:sz w:val="17"/>
              </w:rPr>
              <w:t>35.90%</w:t>
            </w:r>
          </w:p>
        </w:tc>
        <w:tc>
          <w:tcPr>
            <w:tcW w:type="dxa" w:w="2016"/>
            <w:vAlign w:val="center"/>
          </w:tcPr>
          <w:p>
            <w:pPr>
              <w:jc w:val="left"/>
            </w:pPr>
            <w:r>
              <w:rPr>
                <w:sz w:val="17"/>
              </w:rPr>
            </w:r>
            <w:r>
              <w:rPr>
                <w:b w:val="0"/>
                <w:sz w:val="17"/>
              </w:rPr>
              <w:t>Not budget constrained</w:t>
            </w:r>
          </w:p>
        </w:tc>
        <w:tc>
          <w:tcPr>
            <w:tcW w:type="dxa" w:w="1944"/>
            <w:vAlign w:val="center"/>
          </w:tcPr>
          <w:p>
            <w:pPr>
              <w:jc w:val="left"/>
            </w:pPr>
            <w:r>
              <w:rPr>
                <w:sz w:val="17"/>
              </w:rPr>
            </w:r>
            <w:r>
              <w:rPr>
                <w:b w:val="0"/>
                <w:sz w:val="17"/>
              </w:rPr>
              <w:t>0 matches</w:t>
            </w:r>
          </w:p>
        </w:tc>
        <w:tc>
          <w:tcPr>
            <w:tcW w:type="dxa" w:w="1584"/>
            <w:vAlign w:val="center"/>
          </w:tcPr>
          <w:p>
            <w:pPr>
              <w:jc w:val="left"/>
            </w:pPr>
            <w:r>
              <w:rPr>
                <w:sz w:val="17"/>
              </w:rPr>
            </w:r>
            <w:r>
              <w:rPr>
                <w:b w:val="0"/>
                <w:sz w:val="17"/>
              </w:rPr>
              <w:t>0 hard violations</w:t>
            </w:r>
          </w:p>
        </w:tc>
      </w:tr>
      <w:tr>
        <w:tc>
          <w:tcPr>
            <w:tcW w:type="dxa" w:w="2088"/>
            <w:vAlign w:val="center"/>
            <w:shd w:fill="F8F3F5"/>
          </w:tcPr>
          <w:p>
            <w:pPr>
              <w:jc w:val="left"/>
            </w:pPr>
            <w:r>
              <w:rPr>
                <w:sz w:val="17"/>
              </w:rPr>
            </w:r>
            <w:r>
              <w:rPr>
                <w:b w:val="0"/>
                <w:sz w:val="17"/>
              </w:rPr>
              <w:t>S4 Pantry-Aware Case</w:t>
            </w:r>
          </w:p>
        </w:tc>
        <w:tc>
          <w:tcPr>
            <w:tcW w:type="dxa" w:w="1656"/>
            <w:vAlign w:val="center"/>
            <w:shd w:fill="F8F3F5"/>
          </w:tcPr>
          <w:p>
            <w:pPr>
              <w:jc w:val="left"/>
            </w:pPr>
            <w:r>
              <w:rPr>
                <w:sz w:val="17"/>
              </w:rPr>
            </w:r>
            <w:r>
              <w:rPr>
                <w:b w:val="0"/>
                <w:sz w:val="17"/>
              </w:rPr>
              <w:t>563.00</w:t>
            </w:r>
          </w:p>
        </w:tc>
        <w:tc>
          <w:tcPr>
            <w:tcW w:type="dxa" w:w="1656"/>
            <w:vAlign w:val="center"/>
            <w:shd w:fill="F8F3F5"/>
          </w:tcPr>
          <w:p>
            <w:pPr>
              <w:jc w:val="left"/>
            </w:pPr>
            <w:r>
              <w:rPr>
                <w:sz w:val="17"/>
              </w:rPr>
            </w:r>
            <w:r>
              <w:rPr>
                <w:b w:val="0"/>
                <w:sz w:val="17"/>
              </w:rPr>
              <w:t>30.85%</w:t>
            </w:r>
          </w:p>
        </w:tc>
        <w:tc>
          <w:tcPr>
            <w:tcW w:type="dxa" w:w="2016"/>
            <w:vAlign w:val="center"/>
            <w:shd w:fill="F8F3F5"/>
          </w:tcPr>
          <w:p>
            <w:pPr>
              <w:jc w:val="left"/>
            </w:pPr>
            <w:r>
              <w:rPr>
                <w:sz w:val="17"/>
              </w:rPr>
            </w:r>
            <w:r>
              <w:rPr>
                <w:b w:val="0"/>
                <w:sz w:val="17"/>
              </w:rPr>
              <w:t>Not budget constrained</w:t>
            </w:r>
          </w:p>
        </w:tc>
        <w:tc>
          <w:tcPr>
            <w:tcW w:type="dxa" w:w="1944"/>
            <w:vAlign w:val="center"/>
            <w:shd w:fill="F8F3F5"/>
          </w:tcPr>
          <w:p>
            <w:pPr>
              <w:jc w:val="left"/>
            </w:pPr>
            <w:r>
              <w:rPr>
                <w:sz w:val="17"/>
              </w:rPr>
            </w:r>
            <w:r>
              <w:rPr>
                <w:b w:val="0"/>
                <w:sz w:val="17"/>
              </w:rPr>
              <w:t>38 pantry-overlap matches</w:t>
            </w:r>
          </w:p>
        </w:tc>
        <w:tc>
          <w:tcPr>
            <w:tcW w:type="dxa" w:w="1584"/>
            <w:vAlign w:val="center"/>
            <w:shd w:fill="F8F3F5"/>
          </w:tcPr>
          <w:p>
            <w:pPr>
              <w:jc w:val="left"/>
            </w:pPr>
            <w:r>
              <w:rPr>
                <w:sz w:val="17"/>
              </w:rPr>
            </w:r>
            <w:r>
              <w:rPr>
                <w:b w:val="0"/>
                <w:sz w:val="17"/>
              </w:rPr>
              <w:t>0 hard violations</w:t>
            </w:r>
          </w:p>
        </w:tc>
      </w:tr>
      <w:tr>
        <w:tc>
          <w:tcPr>
            <w:tcW w:type="dxa" w:w="2088"/>
            <w:vAlign w:val="center"/>
          </w:tcPr>
          <w:p>
            <w:pPr>
              <w:jc w:val="left"/>
            </w:pPr>
            <w:r>
              <w:rPr>
                <w:sz w:val="17"/>
              </w:rPr>
            </w:r>
            <w:r>
              <w:rPr>
                <w:b w:val="0"/>
                <w:sz w:val="17"/>
              </w:rPr>
              <w:t>S5 Resilience/Stress Case</w:t>
            </w:r>
          </w:p>
        </w:tc>
        <w:tc>
          <w:tcPr>
            <w:tcW w:type="dxa" w:w="1656"/>
            <w:vAlign w:val="center"/>
          </w:tcPr>
          <w:p>
            <w:pPr>
              <w:jc w:val="left"/>
            </w:pPr>
            <w:r>
              <w:rPr>
                <w:sz w:val="17"/>
              </w:rPr>
            </w:r>
            <w:r>
              <w:rPr>
                <w:b w:val="0"/>
                <w:sz w:val="17"/>
              </w:rPr>
              <w:t>Not applicable</w:t>
            </w:r>
          </w:p>
        </w:tc>
        <w:tc>
          <w:tcPr>
            <w:tcW w:type="dxa" w:w="1656"/>
            <w:vAlign w:val="center"/>
          </w:tcPr>
          <w:p>
            <w:pPr>
              <w:jc w:val="left"/>
            </w:pPr>
            <w:r>
              <w:rPr>
                <w:sz w:val="17"/>
              </w:rPr>
            </w:r>
            <w:r>
              <w:rPr>
                <w:b w:val="0"/>
                <w:sz w:val="17"/>
              </w:rPr>
              <w:t>Not applicable</w:t>
            </w:r>
          </w:p>
        </w:tc>
        <w:tc>
          <w:tcPr>
            <w:tcW w:type="dxa" w:w="2016"/>
            <w:vAlign w:val="center"/>
          </w:tcPr>
          <w:p>
            <w:pPr>
              <w:jc w:val="left"/>
            </w:pPr>
            <w:r>
              <w:rPr>
                <w:sz w:val="17"/>
              </w:rPr>
            </w:r>
            <w:r>
              <w:rPr>
                <w:b w:val="0"/>
                <w:sz w:val="17"/>
              </w:rPr>
              <w:t>PHP 20 cap infeasible</w:t>
            </w:r>
          </w:p>
        </w:tc>
        <w:tc>
          <w:tcPr>
            <w:tcW w:type="dxa" w:w="1944"/>
            <w:vAlign w:val="center"/>
          </w:tcPr>
          <w:p>
            <w:pPr>
              <w:jc w:val="left"/>
            </w:pPr>
            <w:r>
              <w:rPr>
                <w:sz w:val="17"/>
              </w:rPr>
            </w:r>
            <w:r>
              <w:rPr>
                <w:b w:val="0"/>
                <w:sz w:val="17"/>
              </w:rPr>
              <w:t>Not applicable</w:t>
            </w:r>
          </w:p>
        </w:tc>
        <w:tc>
          <w:tcPr>
            <w:tcW w:type="dxa" w:w="1584"/>
            <w:vAlign w:val="center"/>
          </w:tcPr>
          <w:p>
            <w:pPr>
              <w:jc w:val="left"/>
            </w:pPr>
            <w:r>
              <w:rPr>
                <w:sz w:val="17"/>
              </w:rPr>
            </w:r>
            <w:r>
              <w:rPr>
                <w:b w:val="0"/>
                <w:sz w:val="17"/>
              </w:rPr>
              <w:t>No-safe-plan returned</w:t>
            </w:r>
          </w:p>
        </w:tc>
      </w:tr>
    </w:tbl>
    <w:p/>
    <w:p>
      <w:r>
        <w:t>The nutrition results should be interpreted as optimization tradeoffs, not perfect clinical diet prescription. The solver balances recipe availability, Filipino meal fit, restrictions, variety, estimated cost, pantry overlap, and nutrition targets. Remaining calorie and macro deviation is therefore a realistic planning limitation, not a safety violation.</w:t>
      </w:r>
    </w:p>
    <w:p>
      <w:pPr>
        <w:pStyle w:val="Heading1"/>
      </w:pPr>
      <w:r>
        <w:t>4.4.7 Pantry, Grocery, and Budget Evaluation</w:t>
      </w:r>
    </w:p>
    <w:p>
      <w:pPr>
        <w:pStyle w:val="Caption"/>
      </w:pPr>
      <w:r>
        <w:rPr>
          <w:b/>
        </w:rPr>
        <w:t>Table 4.4.9 Pantry, Grocery, and Budget Evaluation Summary</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7A263A"/>
          </w:tcPr>
          <w:p>
            <w:pPr>
              <w:jc w:val="left"/>
            </w:pPr>
            <w:r>
              <w:rPr>
                <w:b/>
                <w:color w:val="FFFFFF"/>
                <w:sz w:val="17"/>
              </w:rPr>
            </w:r>
            <w:r>
              <w:rPr>
                <w:b/>
                <w:color w:val="FFFFFF"/>
                <w:sz w:val="17"/>
              </w:rPr>
              <w:t>Area</w:t>
            </w:r>
          </w:p>
        </w:tc>
        <w:tc>
          <w:tcPr>
            <w:tcW w:type="dxa" w:w="4464"/>
            <w:vAlign w:val="center"/>
            <w:shd w:fill="7A263A"/>
          </w:tcPr>
          <w:p>
            <w:pPr>
              <w:jc w:val="left"/>
            </w:pPr>
            <w:r>
              <w:rPr>
                <w:b/>
                <w:color w:val="FFFFFF"/>
                <w:sz w:val="17"/>
              </w:rPr>
            </w:r>
            <w:r>
              <w:rPr>
                <w:b/>
                <w:color w:val="FFFFFF"/>
                <w:sz w:val="17"/>
              </w:rPr>
              <w:t>Observed System Behavior</w:t>
            </w:r>
          </w:p>
        </w:tc>
        <w:tc>
          <w:tcPr>
            <w:tcW w:type="dxa" w:w="4176"/>
            <w:vAlign w:val="center"/>
            <w:shd w:fill="7A263A"/>
          </w:tcPr>
          <w:p>
            <w:pPr>
              <w:jc w:val="left"/>
            </w:pPr>
            <w:r>
              <w:rPr>
                <w:b/>
                <w:color w:val="FFFFFF"/>
                <w:sz w:val="17"/>
              </w:rPr>
            </w:r>
            <w:r>
              <w:rPr>
                <w:b/>
                <w:color w:val="FFFFFF"/>
                <w:sz w:val="17"/>
              </w:rPr>
              <w:t>Defense Interpretation</w:t>
            </w:r>
          </w:p>
        </w:tc>
      </w:tr>
      <w:tr>
        <w:tc>
          <w:tcPr>
            <w:tcW w:type="dxa" w:w="2304"/>
            <w:vAlign w:val="center"/>
          </w:tcPr>
          <w:p>
            <w:pPr>
              <w:jc w:val="left"/>
            </w:pPr>
            <w:r>
              <w:rPr>
                <w:sz w:val="17"/>
              </w:rPr>
            </w:r>
            <w:r>
              <w:rPr>
                <w:b w:val="0"/>
                <w:sz w:val="17"/>
              </w:rPr>
              <w:t>Pantry-overlap behavior</w:t>
            </w:r>
          </w:p>
        </w:tc>
        <w:tc>
          <w:tcPr>
            <w:tcW w:type="dxa" w:w="4464"/>
            <w:vAlign w:val="center"/>
          </w:tcPr>
          <w:p>
            <w:pPr>
              <w:jc w:val="left"/>
            </w:pPr>
            <w:r>
              <w:rPr>
                <w:sz w:val="17"/>
              </w:rPr>
            </w:r>
            <w:r>
              <w:rPr>
                <w:b w:val="0"/>
                <w:sz w:val="17"/>
              </w:rPr>
              <w:t>S4 recorded 38 pantry-overlap matches across the completed plan.</w:t>
            </w:r>
          </w:p>
        </w:tc>
        <w:tc>
          <w:tcPr>
            <w:tcW w:type="dxa" w:w="4176"/>
            <w:vAlign w:val="center"/>
          </w:tcPr>
          <w:p>
            <w:pPr>
              <w:jc w:val="left"/>
            </w:pPr>
            <w:r>
              <w:rPr>
                <w:sz w:val="17"/>
              </w:rPr>
            </w:r>
            <w:r>
              <w:rPr>
                <w:b w:val="0"/>
                <w:sz w:val="17"/>
              </w:rPr>
              <w:t>Pantry supports ranking and grocery guidance, but the system should be described as pantry-aware rather than pantry-only.</w:t>
            </w:r>
          </w:p>
        </w:tc>
      </w:tr>
      <w:tr>
        <w:tc>
          <w:tcPr>
            <w:tcW w:type="dxa" w:w="2304"/>
            <w:vAlign w:val="center"/>
            <w:shd w:fill="F8F3F5"/>
          </w:tcPr>
          <w:p>
            <w:pPr>
              <w:jc w:val="left"/>
            </w:pPr>
            <w:r>
              <w:rPr>
                <w:sz w:val="17"/>
              </w:rPr>
            </w:r>
            <w:r>
              <w:rPr>
                <w:b w:val="0"/>
                <w:sz w:val="17"/>
              </w:rPr>
              <w:t>Grocery deficit guidance</w:t>
            </w:r>
          </w:p>
        </w:tc>
        <w:tc>
          <w:tcPr>
            <w:tcW w:type="dxa" w:w="4464"/>
            <w:vAlign w:val="center"/>
            <w:shd w:fill="F8F3F5"/>
          </w:tcPr>
          <w:p>
            <w:pPr>
              <w:jc w:val="left"/>
            </w:pPr>
            <w:r>
              <w:rPr>
                <w:sz w:val="17"/>
              </w:rPr>
            </w:r>
            <w:r>
              <w:rPr>
                <w:b w:val="0"/>
                <w:sz w:val="17"/>
              </w:rPr>
              <w:t>The grocery feature consolidates needed ingredients and marks pantry-covered items where item names match.</w:t>
            </w:r>
          </w:p>
        </w:tc>
        <w:tc>
          <w:tcPr>
            <w:tcW w:type="dxa" w:w="4176"/>
            <w:vAlign w:val="center"/>
            <w:shd w:fill="F8F3F5"/>
          </w:tcPr>
          <w:p>
            <w:pPr>
              <w:jc w:val="left"/>
            </w:pPr>
            <w:r>
              <w:rPr>
                <w:sz w:val="17"/>
              </w:rPr>
            </w:r>
            <w:r>
              <w:rPr>
                <w:b w:val="0"/>
                <w:sz w:val="17"/>
              </w:rPr>
              <w:t>Useful for shopping guidance, but accuracy depends on user-entered pantry data and naming consistency.</w:t>
            </w:r>
          </w:p>
        </w:tc>
      </w:tr>
      <w:tr>
        <w:tc>
          <w:tcPr>
            <w:tcW w:type="dxa" w:w="2304"/>
            <w:vAlign w:val="center"/>
          </w:tcPr>
          <w:p>
            <w:pPr>
              <w:jc w:val="left"/>
            </w:pPr>
            <w:r>
              <w:rPr>
                <w:sz w:val="17"/>
              </w:rPr>
            </w:r>
            <w:r>
              <w:rPr>
                <w:b w:val="0"/>
                <w:sz w:val="17"/>
              </w:rPr>
              <w:t>Estimated price computation</w:t>
            </w:r>
          </w:p>
        </w:tc>
        <w:tc>
          <w:tcPr>
            <w:tcW w:type="dxa" w:w="4464"/>
            <w:vAlign w:val="center"/>
          </w:tcPr>
          <w:p>
            <w:pPr>
              <w:jc w:val="left"/>
            </w:pPr>
            <w:r>
              <w:rPr>
                <w:sz w:val="17"/>
              </w:rPr>
            </w:r>
            <w:r>
              <w:rPr>
                <w:b w:val="0"/>
                <w:sz w:val="17"/>
              </w:rPr>
              <w:t>Price rules and recipe costs are estimated for planning, not real-time market quotations.</w:t>
            </w:r>
          </w:p>
        </w:tc>
        <w:tc>
          <w:tcPr>
            <w:tcW w:type="dxa" w:w="4176"/>
            <w:vAlign w:val="center"/>
          </w:tcPr>
          <w:p>
            <w:pPr>
              <w:jc w:val="left"/>
            </w:pPr>
            <w:r>
              <w:rPr>
                <w:sz w:val="17"/>
              </w:rPr>
            </w:r>
            <w:r>
              <w:rPr>
                <w:b w:val="0"/>
                <w:sz w:val="17"/>
              </w:rPr>
              <w:t>Use 'estimated cost' wording in the paper and defense.</w:t>
            </w:r>
          </w:p>
        </w:tc>
      </w:tr>
      <w:tr>
        <w:tc>
          <w:tcPr>
            <w:tcW w:type="dxa" w:w="2304"/>
            <w:vAlign w:val="center"/>
            <w:shd w:fill="F8F3F5"/>
          </w:tcPr>
          <w:p>
            <w:pPr>
              <w:jc w:val="left"/>
            </w:pPr>
            <w:r>
              <w:rPr>
                <w:sz w:val="17"/>
              </w:rPr>
            </w:r>
            <w:r>
              <w:rPr>
                <w:b w:val="0"/>
                <w:sz w:val="17"/>
              </w:rPr>
              <w:t>Budget hard cap</w:t>
            </w:r>
          </w:p>
        </w:tc>
        <w:tc>
          <w:tcPr>
            <w:tcW w:type="dxa" w:w="4464"/>
            <w:vAlign w:val="center"/>
            <w:shd w:fill="F8F3F5"/>
          </w:tcPr>
          <w:p>
            <w:pPr>
              <w:jc w:val="left"/>
            </w:pPr>
            <w:r>
              <w:rPr>
                <w:sz w:val="17"/>
              </w:rPr>
            </w:r>
            <w:r>
              <w:rPr>
                <w:b w:val="0"/>
                <w:sz w:val="17"/>
              </w:rPr>
              <w:t>S2 met the PHP 1,000 cap; S5 returned no-safe-plan under PHP 20.</w:t>
            </w:r>
          </w:p>
        </w:tc>
        <w:tc>
          <w:tcPr>
            <w:tcW w:type="dxa" w:w="4176"/>
            <w:vAlign w:val="center"/>
            <w:shd w:fill="F8F3F5"/>
          </w:tcPr>
          <w:p>
            <w:pPr>
              <w:jc w:val="left"/>
            </w:pPr>
            <w:r>
              <w:rPr>
                <w:sz w:val="17"/>
              </w:rPr>
            </w:r>
            <w:r>
              <w:rPr>
                <w:b w:val="0"/>
                <w:sz w:val="17"/>
              </w:rPr>
              <w:t>Budget is enforced when configured; infeasible budgets are not silently relaxed.</w:t>
            </w:r>
          </w:p>
        </w:tc>
      </w:tr>
    </w:tbl>
    <w:p/>
    <w:p>
      <w:pPr>
        <w:pStyle w:val="Heading1"/>
      </w:pPr>
      <w:r>
        <w:t>4.4.8 Compact Algorithm Comparison and Final Algorithm Choice</w:t>
      </w:r>
    </w:p>
    <w:p>
      <w:r>
        <w:t>A short comparison is useful because it explains why the final system uses deterministic filtering plus CP-SAT instead of a purely greedy, purely ML, or generative selection approach. It should remain compact. The paper does not need a long survey of every possible recommender or optimization algorithm because PCOSina's core requirement is hard-constraint meal planning, not general recommendation.</w:t>
      </w:r>
    </w:p>
    <w:p>
      <w:pPr>
        <w:pStyle w:val="Caption"/>
      </w:pPr>
      <w:r>
        <w:rPr>
          <w:b/>
        </w:rPr>
        <w:t>Table 4.4.10 Algorithm Tradeoff Artifact Summary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880"/>
            <w:vAlign w:val="center"/>
            <w:shd w:fill="7A263A"/>
          </w:tcPr>
          <w:p>
            <w:pPr>
              <w:jc w:val="left"/>
            </w:pPr>
            <w:r>
              <w:rPr>
                <w:b/>
                <w:color w:val="FFFFFF"/>
                <w:sz w:val="17"/>
              </w:rPr>
            </w:r>
            <w:r>
              <w:rPr>
                <w:b/>
                <w:color w:val="FFFFFF"/>
                <w:sz w:val="17"/>
              </w:rPr>
              <w:t>Algorithm</w:t>
            </w:r>
          </w:p>
        </w:tc>
        <w:tc>
          <w:tcPr>
            <w:tcW w:type="dxa" w:w="1152"/>
            <w:vAlign w:val="center"/>
            <w:shd w:fill="7A263A"/>
          </w:tcPr>
          <w:p>
            <w:pPr>
              <w:jc w:val="left"/>
            </w:pPr>
            <w:r>
              <w:rPr>
                <w:b/>
                <w:color w:val="FFFFFF"/>
                <w:sz w:val="17"/>
              </w:rPr>
            </w:r>
            <w:r>
              <w:rPr>
                <w:b/>
                <w:color w:val="FFFFFF"/>
                <w:sz w:val="17"/>
              </w:rPr>
              <w:t>Runs</w:t>
            </w:r>
          </w:p>
        </w:tc>
        <w:tc>
          <w:tcPr>
            <w:tcW w:type="dxa" w:w="2160"/>
            <w:vAlign w:val="center"/>
            <w:shd w:fill="7A263A"/>
          </w:tcPr>
          <w:p>
            <w:pPr>
              <w:jc w:val="left"/>
            </w:pPr>
            <w:r>
              <w:rPr>
                <w:b/>
                <w:color w:val="FFFFFF"/>
                <w:sz w:val="17"/>
              </w:rPr>
            </w:r>
            <w:r>
              <w:rPr>
                <w:b/>
                <w:color w:val="FFFFFF"/>
                <w:sz w:val="17"/>
              </w:rPr>
              <w:t>Hard Violation Rate</w:t>
            </w:r>
          </w:p>
        </w:tc>
        <w:tc>
          <w:tcPr>
            <w:tcW w:type="dxa" w:w="2016"/>
            <w:vAlign w:val="center"/>
            <w:shd w:fill="7A263A"/>
          </w:tcPr>
          <w:p>
            <w:pPr>
              <w:jc w:val="left"/>
            </w:pPr>
            <w:r>
              <w:rPr>
                <w:b/>
                <w:color w:val="FFFFFF"/>
                <w:sz w:val="17"/>
              </w:rPr>
            </w:r>
            <w:r>
              <w:rPr>
                <w:b/>
                <w:color w:val="FFFFFF"/>
                <w:sz w:val="17"/>
              </w:rPr>
              <w:t>Avg Runtime (s)</w:t>
            </w:r>
          </w:p>
        </w:tc>
        <w:tc>
          <w:tcPr>
            <w:tcW w:type="dxa" w:w="2304"/>
            <w:vAlign w:val="center"/>
            <w:shd w:fill="7A263A"/>
          </w:tcPr>
          <w:p>
            <w:pPr>
              <w:jc w:val="left"/>
            </w:pPr>
            <w:r>
              <w:rPr>
                <w:b/>
                <w:color w:val="FFFFFF"/>
                <w:sz w:val="17"/>
              </w:rPr>
            </w:r>
            <w:r>
              <w:rPr>
                <w:b/>
                <w:color w:val="FFFFFF"/>
                <w:sz w:val="17"/>
              </w:rPr>
              <w:t>Objective Surrogate J</w:t>
            </w:r>
          </w:p>
        </w:tc>
      </w:tr>
      <w:tr>
        <w:tc>
          <w:tcPr>
            <w:tcW w:type="dxa" w:w="2880"/>
            <w:vAlign w:val="center"/>
          </w:tcPr>
          <w:p>
            <w:pPr>
              <w:jc w:val="left"/>
            </w:pPr>
            <w:r>
              <w:rPr>
                <w:sz w:val="17"/>
              </w:rPr>
            </w:r>
            <w:r>
              <w:rPr>
                <w:b w:val="0"/>
                <w:sz w:val="17"/>
              </w:rPr>
              <w:t>cpsat_two_stage</w:t>
            </w:r>
          </w:p>
        </w:tc>
        <w:tc>
          <w:tcPr>
            <w:tcW w:type="dxa" w:w="1152"/>
            <w:vAlign w:val="center"/>
          </w:tcPr>
          <w:p>
            <w:pPr>
              <w:jc w:val="left"/>
            </w:pPr>
            <w:r>
              <w:rPr>
                <w:sz w:val="17"/>
              </w:rPr>
            </w:r>
            <w:r>
              <w:rPr>
                <w:b w:val="0"/>
                <w:sz w:val="17"/>
              </w:rPr>
              <w:t>10</w:t>
            </w:r>
          </w:p>
        </w:tc>
        <w:tc>
          <w:tcPr>
            <w:tcW w:type="dxa" w:w="2160"/>
            <w:vAlign w:val="center"/>
          </w:tcPr>
          <w:p>
            <w:pPr>
              <w:jc w:val="left"/>
            </w:pPr>
            <w:r>
              <w:rPr>
                <w:sz w:val="17"/>
              </w:rPr>
            </w:r>
            <w:r>
              <w:rPr>
                <w:b w:val="0"/>
                <w:sz w:val="17"/>
              </w:rPr>
              <w:t>0.0%</w:t>
            </w:r>
          </w:p>
        </w:tc>
        <w:tc>
          <w:tcPr>
            <w:tcW w:type="dxa" w:w="2016"/>
            <w:vAlign w:val="center"/>
          </w:tcPr>
          <w:p>
            <w:pPr>
              <w:jc w:val="left"/>
            </w:pPr>
            <w:r>
              <w:rPr>
                <w:sz w:val="17"/>
              </w:rPr>
            </w:r>
            <w:r>
              <w:rPr>
                <w:b w:val="0"/>
                <w:sz w:val="17"/>
              </w:rPr>
              <w:t>2.2806</w:t>
            </w:r>
          </w:p>
        </w:tc>
        <w:tc>
          <w:tcPr>
            <w:tcW w:type="dxa" w:w="2304"/>
            <w:vAlign w:val="center"/>
          </w:tcPr>
          <w:p>
            <w:pPr>
              <w:jc w:val="left"/>
            </w:pPr>
            <w:r>
              <w:rPr>
                <w:sz w:val="17"/>
              </w:rPr>
            </w:r>
            <w:r>
              <w:rPr>
                <w:b w:val="0"/>
                <w:sz w:val="17"/>
              </w:rPr>
              <w:t>0.2236</w:t>
            </w:r>
          </w:p>
        </w:tc>
      </w:tr>
      <w:tr>
        <w:tc>
          <w:tcPr>
            <w:tcW w:type="dxa" w:w="2880"/>
            <w:vAlign w:val="center"/>
            <w:shd w:fill="F8F3F5"/>
          </w:tcPr>
          <w:p>
            <w:pPr>
              <w:jc w:val="left"/>
            </w:pPr>
            <w:r>
              <w:rPr>
                <w:sz w:val="17"/>
              </w:rPr>
            </w:r>
            <w:r>
              <w:rPr>
                <w:b w:val="0"/>
                <w:sz w:val="17"/>
              </w:rPr>
              <w:t>greedy_heuristic</w:t>
            </w:r>
          </w:p>
        </w:tc>
        <w:tc>
          <w:tcPr>
            <w:tcW w:type="dxa" w:w="1152"/>
            <w:vAlign w:val="center"/>
            <w:shd w:fill="F8F3F5"/>
          </w:tcPr>
          <w:p>
            <w:pPr>
              <w:jc w:val="left"/>
            </w:pPr>
            <w:r>
              <w:rPr>
                <w:sz w:val="17"/>
              </w:rPr>
            </w:r>
            <w:r>
              <w:rPr>
                <w:b w:val="0"/>
                <w:sz w:val="17"/>
              </w:rPr>
              <w:t>10</w:t>
            </w:r>
          </w:p>
        </w:tc>
        <w:tc>
          <w:tcPr>
            <w:tcW w:type="dxa" w:w="2160"/>
            <w:vAlign w:val="center"/>
            <w:shd w:fill="F8F3F5"/>
          </w:tcPr>
          <w:p>
            <w:pPr>
              <w:jc w:val="left"/>
            </w:pPr>
            <w:r>
              <w:rPr>
                <w:sz w:val="17"/>
              </w:rPr>
            </w:r>
            <w:r>
              <w:rPr>
                <w:b w:val="0"/>
                <w:sz w:val="17"/>
              </w:rPr>
              <w:t>0.0%</w:t>
            </w:r>
          </w:p>
        </w:tc>
        <w:tc>
          <w:tcPr>
            <w:tcW w:type="dxa" w:w="2016"/>
            <w:vAlign w:val="center"/>
            <w:shd w:fill="F8F3F5"/>
          </w:tcPr>
          <w:p>
            <w:pPr>
              <w:jc w:val="left"/>
            </w:pPr>
            <w:r>
              <w:rPr>
                <w:sz w:val="17"/>
              </w:rPr>
            </w:r>
            <w:r>
              <w:rPr>
                <w:b w:val="0"/>
                <w:sz w:val="17"/>
              </w:rPr>
              <w:t>0.2359</w:t>
            </w:r>
          </w:p>
        </w:tc>
        <w:tc>
          <w:tcPr>
            <w:tcW w:type="dxa" w:w="2304"/>
            <w:vAlign w:val="center"/>
            <w:shd w:fill="F8F3F5"/>
          </w:tcPr>
          <w:p>
            <w:pPr>
              <w:jc w:val="left"/>
            </w:pPr>
            <w:r>
              <w:rPr>
                <w:sz w:val="17"/>
              </w:rPr>
            </w:r>
            <w:r>
              <w:rPr>
                <w:b w:val="0"/>
                <w:sz w:val="17"/>
              </w:rPr>
              <w:t>0.2248</w:t>
            </w:r>
          </w:p>
        </w:tc>
      </w:tr>
      <w:tr>
        <w:tc>
          <w:tcPr>
            <w:tcW w:type="dxa" w:w="2880"/>
            <w:vAlign w:val="center"/>
          </w:tcPr>
          <w:p>
            <w:pPr>
              <w:jc w:val="left"/>
            </w:pPr>
            <w:r>
              <w:rPr>
                <w:sz w:val="17"/>
              </w:rPr>
            </w:r>
            <w:r>
              <w:rPr>
                <w:b w:val="0"/>
                <w:sz w:val="17"/>
              </w:rPr>
              <w:t>gen_proxy</w:t>
            </w:r>
          </w:p>
        </w:tc>
        <w:tc>
          <w:tcPr>
            <w:tcW w:type="dxa" w:w="1152"/>
            <w:vAlign w:val="center"/>
          </w:tcPr>
          <w:p>
            <w:pPr>
              <w:jc w:val="left"/>
            </w:pPr>
            <w:r>
              <w:rPr>
                <w:sz w:val="17"/>
              </w:rPr>
            </w:r>
            <w:r>
              <w:rPr>
                <w:b w:val="0"/>
                <w:sz w:val="17"/>
              </w:rPr>
              <w:t>100</w:t>
            </w:r>
          </w:p>
        </w:tc>
        <w:tc>
          <w:tcPr>
            <w:tcW w:type="dxa" w:w="2160"/>
            <w:vAlign w:val="center"/>
          </w:tcPr>
          <w:p>
            <w:pPr>
              <w:jc w:val="left"/>
            </w:pPr>
            <w:r>
              <w:rPr>
                <w:sz w:val="17"/>
              </w:rPr>
            </w:r>
            <w:r>
              <w:rPr>
                <w:b w:val="0"/>
                <w:sz w:val="17"/>
              </w:rPr>
              <w:t>100.0%</w:t>
            </w:r>
          </w:p>
        </w:tc>
        <w:tc>
          <w:tcPr>
            <w:tcW w:type="dxa" w:w="2016"/>
            <w:vAlign w:val="center"/>
          </w:tcPr>
          <w:p>
            <w:pPr>
              <w:jc w:val="left"/>
            </w:pPr>
            <w:r>
              <w:rPr>
                <w:sz w:val="17"/>
              </w:rPr>
            </w:r>
            <w:r>
              <w:rPr>
                <w:b w:val="0"/>
                <w:sz w:val="17"/>
              </w:rPr>
              <w:t>0.0061</w:t>
            </w:r>
          </w:p>
        </w:tc>
        <w:tc>
          <w:tcPr>
            <w:tcW w:type="dxa" w:w="2304"/>
            <w:vAlign w:val="center"/>
          </w:tcPr>
          <w:p>
            <w:pPr>
              <w:jc w:val="left"/>
            </w:pPr>
            <w:r>
              <w:rPr>
                <w:sz w:val="17"/>
              </w:rPr>
            </w:r>
            <w:r>
              <w:rPr>
                <w:b w:val="0"/>
                <w:sz w:val="17"/>
              </w:rPr>
              <w:t>0.3076</w:t>
            </w:r>
          </w:p>
        </w:tc>
      </w:tr>
    </w:tbl>
    <w:p/>
    <w:p>
      <w:r>
        <w:br w:type="page"/>
      </w:r>
    </w:p>
    <w:p>
      <w:pPr>
        <w:pStyle w:val="Caption"/>
      </w:pPr>
      <w:r>
        <w:rPr>
          <w:b/>
        </w:rPr>
        <w:t>Table 4.4.11 Why the Final Algorithm Remains Deterministic Filtering Plus CP-SAT</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7A263A"/>
          </w:tcPr>
          <w:p>
            <w:pPr>
              <w:jc w:val="left"/>
            </w:pPr>
            <w:r>
              <w:rPr>
                <w:b/>
                <w:color w:val="FFFFFF"/>
                <w:sz w:val="17"/>
              </w:rPr>
            </w:r>
            <w:r>
              <w:rPr>
                <w:b/>
                <w:color w:val="FFFFFF"/>
                <w:sz w:val="17"/>
              </w:rPr>
              <w:t>Alternative</w:t>
            </w:r>
          </w:p>
        </w:tc>
        <w:tc>
          <w:tcPr>
            <w:tcW w:type="dxa" w:w="4320"/>
            <w:vAlign w:val="center"/>
            <w:shd w:fill="7A263A"/>
          </w:tcPr>
          <w:p>
            <w:pPr>
              <w:jc w:val="left"/>
            </w:pPr>
            <w:r>
              <w:rPr>
                <w:b/>
                <w:color w:val="FFFFFF"/>
                <w:sz w:val="17"/>
              </w:rPr>
            </w:r>
            <w:r>
              <w:rPr>
                <w:b/>
                <w:color w:val="FFFFFF"/>
                <w:sz w:val="17"/>
              </w:rPr>
              <w:t>Evidence-Based Finding</w:t>
            </w:r>
          </w:p>
        </w:tc>
        <w:tc>
          <w:tcPr>
            <w:tcW w:type="dxa" w:w="4032"/>
            <w:vAlign w:val="center"/>
            <w:shd w:fill="7A263A"/>
          </w:tcPr>
          <w:p>
            <w:pPr>
              <w:jc w:val="left"/>
            </w:pPr>
            <w:r>
              <w:rPr>
                <w:b/>
                <w:color w:val="FFFFFF"/>
                <w:sz w:val="17"/>
              </w:rPr>
            </w:r>
            <w:r>
              <w:rPr>
                <w:b/>
                <w:color w:val="FFFFFF"/>
                <w:sz w:val="17"/>
              </w:rPr>
              <w:t>Final Decision</w:t>
            </w:r>
          </w:p>
        </w:tc>
      </w:tr>
      <w:tr>
        <w:tc>
          <w:tcPr>
            <w:tcW w:type="dxa" w:w="2592"/>
            <w:vAlign w:val="center"/>
          </w:tcPr>
          <w:p>
            <w:pPr>
              <w:jc w:val="left"/>
            </w:pPr>
            <w:r>
              <w:rPr>
                <w:sz w:val="17"/>
              </w:rPr>
            </w:r>
            <w:r>
              <w:rPr>
                <w:b w:val="0"/>
                <w:sz w:val="17"/>
              </w:rPr>
              <w:t>Generative/proxy selection</w:t>
            </w:r>
          </w:p>
        </w:tc>
        <w:tc>
          <w:tcPr>
            <w:tcW w:type="dxa" w:w="4320"/>
            <w:vAlign w:val="center"/>
          </w:tcPr>
          <w:p>
            <w:pPr>
              <w:jc w:val="left"/>
            </w:pPr>
            <w:r>
              <w:rPr>
                <w:sz w:val="17"/>
              </w:rPr>
            </w:r>
            <w:r>
              <w:rPr>
                <w:b w:val="0"/>
                <w:sz w:val="17"/>
              </w:rPr>
              <w:t>Very fast in the artifact, but hard-violation rate reached 100%.</w:t>
            </w:r>
          </w:p>
        </w:tc>
        <w:tc>
          <w:tcPr>
            <w:tcW w:type="dxa" w:w="4032"/>
            <w:vAlign w:val="center"/>
          </w:tcPr>
          <w:p>
            <w:pPr>
              <w:jc w:val="left"/>
            </w:pPr>
            <w:r>
              <w:rPr>
                <w:sz w:val="17"/>
              </w:rPr>
            </w:r>
            <w:r>
              <w:rPr>
                <w:b w:val="0"/>
                <w:sz w:val="17"/>
              </w:rPr>
              <w:t>Not acceptable as the final planner because it can produce unsafe or rule-breaking plans.</w:t>
            </w:r>
          </w:p>
        </w:tc>
      </w:tr>
      <w:tr>
        <w:tc>
          <w:tcPr>
            <w:tcW w:type="dxa" w:w="2592"/>
            <w:vAlign w:val="center"/>
            <w:shd w:fill="F8F3F5"/>
          </w:tcPr>
          <w:p>
            <w:pPr>
              <w:jc w:val="left"/>
            </w:pPr>
            <w:r>
              <w:rPr>
                <w:sz w:val="17"/>
              </w:rPr>
            </w:r>
            <w:r>
              <w:rPr>
                <w:b w:val="0"/>
                <w:sz w:val="17"/>
              </w:rPr>
              <w:t>Greedy deterministic heuristic</w:t>
            </w:r>
          </w:p>
        </w:tc>
        <w:tc>
          <w:tcPr>
            <w:tcW w:type="dxa" w:w="4320"/>
            <w:vAlign w:val="center"/>
            <w:shd w:fill="F8F3F5"/>
          </w:tcPr>
          <w:p>
            <w:pPr>
              <w:jc w:val="left"/>
            </w:pPr>
            <w:r>
              <w:rPr>
                <w:sz w:val="17"/>
              </w:rPr>
            </w:r>
            <w:r>
              <w:rPr>
                <w:b w:val="0"/>
                <w:sz w:val="17"/>
              </w:rPr>
              <w:t>Fast and useful as a baseline or fallback. In the artifact it had 0% hard-violation rate, but it lacks a global weekly optimization model and weaker infeasibility reasoning.</w:t>
            </w:r>
          </w:p>
        </w:tc>
        <w:tc>
          <w:tcPr>
            <w:tcW w:type="dxa" w:w="4032"/>
            <w:vAlign w:val="center"/>
            <w:shd w:fill="F8F3F5"/>
          </w:tcPr>
          <w:p>
            <w:pPr>
              <w:jc w:val="left"/>
            </w:pPr>
            <w:r>
              <w:rPr>
                <w:sz w:val="17"/>
              </w:rPr>
            </w:r>
            <w:r>
              <w:rPr>
                <w:b w:val="0"/>
                <w:sz w:val="17"/>
              </w:rPr>
              <w:t>Useful for comparison and fallback, not the best final authority for a defense paper centered on constraints.</w:t>
            </w:r>
          </w:p>
        </w:tc>
      </w:tr>
      <w:tr>
        <w:tc>
          <w:tcPr>
            <w:tcW w:type="dxa" w:w="2592"/>
            <w:vAlign w:val="center"/>
          </w:tcPr>
          <w:p>
            <w:pPr>
              <w:jc w:val="left"/>
            </w:pPr>
            <w:r>
              <w:rPr>
                <w:sz w:val="17"/>
              </w:rPr>
            </w:r>
            <w:r>
              <w:rPr>
                <w:b w:val="0"/>
                <w:sz w:val="17"/>
              </w:rPr>
              <w:t>Pure ML ranking</w:t>
            </w:r>
          </w:p>
        </w:tc>
        <w:tc>
          <w:tcPr>
            <w:tcW w:type="dxa" w:w="4320"/>
            <w:vAlign w:val="center"/>
          </w:tcPr>
          <w:p>
            <w:pPr>
              <w:jc w:val="left"/>
            </w:pPr>
            <w:r>
              <w:rPr>
                <w:sz w:val="17"/>
              </w:rPr>
            </w:r>
            <w:r>
              <w:rPr>
                <w:b w:val="0"/>
                <w:sz w:val="17"/>
              </w:rPr>
              <w:t>Improves Stage 1 ordering, but cannot guarantee allergies, budget, repetition, or nutrition bounds by itself.</w:t>
            </w:r>
          </w:p>
        </w:tc>
        <w:tc>
          <w:tcPr>
            <w:tcW w:type="dxa" w:w="4032"/>
            <w:vAlign w:val="center"/>
          </w:tcPr>
          <w:p>
            <w:pPr>
              <w:jc w:val="left"/>
            </w:pPr>
            <w:r>
              <w:rPr>
                <w:sz w:val="17"/>
              </w:rPr>
            </w:r>
            <w:r>
              <w:rPr>
                <w:b w:val="0"/>
                <w:sz w:val="17"/>
              </w:rPr>
              <w:t>Keep as optional assistive ranking only.</w:t>
            </w:r>
          </w:p>
        </w:tc>
      </w:tr>
      <w:tr>
        <w:tc>
          <w:tcPr>
            <w:tcW w:type="dxa" w:w="2592"/>
            <w:vAlign w:val="center"/>
            <w:shd w:fill="F8F3F5"/>
          </w:tcPr>
          <w:p>
            <w:pPr>
              <w:jc w:val="left"/>
            </w:pPr>
            <w:r>
              <w:rPr>
                <w:sz w:val="17"/>
              </w:rPr>
            </w:r>
            <w:r>
              <w:rPr>
                <w:b w:val="0"/>
                <w:sz w:val="17"/>
              </w:rPr>
              <w:t>Deterministic filtering + CP-SAT</w:t>
            </w:r>
          </w:p>
        </w:tc>
        <w:tc>
          <w:tcPr>
            <w:tcW w:type="dxa" w:w="4320"/>
            <w:vAlign w:val="center"/>
            <w:shd w:fill="F8F3F5"/>
          </w:tcPr>
          <w:p>
            <w:pPr>
              <w:jc w:val="left"/>
            </w:pPr>
            <w:r>
              <w:rPr>
                <w:sz w:val="17"/>
              </w:rPr>
            </w:r>
            <w:r>
              <w:rPr>
                <w:b w:val="0"/>
                <w:sz w:val="17"/>
              </w:rPr>
              <w:t>Explicit hard constraints, solver diagnostics, deterministic fallback, and safe no-safe-plan behavior.</w:t>
            </w:r>
          </w:p>
        </w:tc>
        <w:tc>
          <w:tcPr>
            <w:tcW w:type="dxa" w:w="4032"/>
            <w:vAlign w:val="center"/>
            <w:shd w:fill="F8F3F5"/>
          </w:tcPr>
          <w:p>
            <w:pPr>
              <w:jc w:val="left"/>
            </w:pPr>
            <w:r>
              <w:rPr>
                <w:sz w:val="17"/>
              </w:rPr>
            </w:r>
            <w:r>
              <w:rPr>
                <w:b w:val="0"/>
                <w:sz w:val="17"/>
              </w:rPr>
              <w:t>Best final fit for PCOSina and the thesis claim.</w:t>
            </w:r>
          </w:p>
        </w:tc>
      </w:tr>
    </w:tbl>
    <w:p/>
    <w:p>
      <w:pPr>
        <w:pStyle w:val="Caption"/>
      </w:pPr>
      <w:r>
        <w:rPr>
          <w:b/>
        </w:rPr>
        <w:t>Figure 4.7 Hard-violation rate from the algorithm tradeoff artifact.</w:t>
      </w:r>
    </w:p>
    <w:p>
      <w:r>
        <w:drawing>
          <wp:inline xmlns:a="http://schemas.openxmlformats.org/drawingml/2006/main" xmlns:pic="http://schemas.openxmlformats.org/drawingml/2006/picture">
            <wp:extent cx="6080760" cy="3300984"/>
            <wp:docPr id="4" name="Picture 4"/>
            <wp:cNvGraphicFramePr>
              <a:graphicFrameLocks noChangeAspect="1"/>
            </wp:cNvGraphicFramePr>
            <a:graphic>
              <a:graphicData uri="http://schemas.openxmlformats.org/drawingml/2006/picture">
                <pic:pic>
                  <pic:nvPicPr>
                    <pic:cNvPr id="0" name="figure_4_7_algorithm_hard_violations.png"/>
                    <pic:cNvPicPr/>
                  </pic:nvPicPr>
                  <pic:blipFill>
                    <a:blip r:embed="rId12"/>
                    <a:stretch>
                      <a:fillRect/>
                    </a:stretch>
                  </pic:blipFill>
                  <pic:spPr>
                    <a:xfrm>
                      <a:off x="0" y="0"/>
                      <a:ext cx="6080760" cy="3300984"/>
                    </a:xfrm>
                    <a:prstGeom prst="rect"/>
                  </pic:spPr>
                </pic:pic>
              </a:graphicData>
            </a:graphic>
          </wp:inline>
        </w:drawing>
      </w:r>
    </w:p>
    <w:tbl>
      <w:tblPr>
        <w:tblW w:type="auto" w:w="0"/>
        <w:jc w:val="center"/>
        <w:tblLook w:firstColumn="1" w:firstRow="1" w:lastColumn="0" w:lastRow="0" w:noHBand="0" w:noVBand="1" w:val="04A0"/>
      </w:tblPr>
      <w:tblGrid>
        <w:gridCol w:w="10166"/>
      </w:tblGrid>
      <w:tr>
        <w:tc>
          <w:tcPr>
            <w:tcW w:type="dxa" w:w="10166"/>
            <w:shd w:fill="F7E9EE"/>
          </w:tcPr>
          <w:p>
            <w:r>
              <w:rPr>
                <w:b/>
                <w:color w:val="7A263A"/>
                <w:sz w:val="19"/>
              </w:rPr>
              <w:t xml:space="preserve">Defense wording. </w:t>
            </w:r>
            <w:r>
              <w:rPr>
                <w:sz w:val="19"/>
              </w:rPr>
              <w:t>Do not say CP-SAT is best because it is always fastest. The stronger and truer claim is that it is the best fit because it preserves hard constraints, produces explainable optimization behavior, and fails safely when no valid plan exists.</w:t>
            </w:r>
          </w:p>
        </w:tc>
      </w:tr>
    </w:tbl>
    <w:p/>
    <w:p>
      <w:r>
        <w:br w:type="page"/>
      </w:r>
    </w:p>
    <w:p>
      <w:pPr>
        <w:pStyle w:val="Heading1"/>
      </w:pPr>
      <w:r>
        <w:t>4.4.9 Offline-First and Performance Interpretation</w:t>
      </w:r>
    </w:p>
    <w:p>
      <w:pPr>
        <w:pStyle w:val="Caption"/>
      </w:pPr>
      <w:r>
        <w:rPr>
          <w:b/>
        </w:rPr>
        <w:t>Table 4.4.12 Offline-First and Performance Evaluation Summary</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7A263A"/>
          </w:tcPr>
          <w:p>
            <w:pPr>
              <w:jc w:val="left"/>
            </w:pPr>
            <w:r>
              <w:rPr>
                <w:b/>
                <w:color w:val="FFFFFF"/>
                <w:sz w:val="17"/>
              </w:rPr>
            </w:r>
            <w:r>
              <w:rPr>
                <w:b/>
                <w:color w:val="FFFFFF"/>
                <w:sz w:val="17"/>
              </w:rPr>
              <w:t>Area</w:t>
            </w:r>
          </w:p>
        </w:tc>
        <w:tc>
          <w:tcPr>
            <w:tcW w:type="dxa" w:w="4608"/>
            <w:vAlign w:val="center"/>
            <w:shd w:fill="7A263A"/>
          </w:tcPr>
          <w:p>
            <w:pPr>
              <w:jc w:val="left"/>
            </w:pPr>
            <w:r>
              <w:rPr>
                <w:b/>
                <w:color w:val="FFFFFF"/>
                <w:sz w:val="17"/>
              </w:rPr>
            </w:r>
            <w:r>
              <w:rPr>
                <w:b/>
                <w:color w:val="FFFFFF"/>
                <w:sz w:val="17"/>
              </w:rPr>
              <w:t>Available Evidence</w:t>
            </w:r>
          </w:p>
        </w:tc>
        <w:tc>
          <w:tcPr>
            <w:tcW w:type="dxa" w:w="3888"/>
            <w:vAlign w:val="center"/>
            <w:shd w:fill="7A263A"/>
          </w:tcPr>
          <w:p>
            <w:pPr>
              <w:jc w:val="left"/>
            </w:pPr>
            <w:r>
              <w:rPr>
                <w:b/>
                <w:color w:val="FFFFFF"/>
                <w:sz w:val="17"/>
              </w:rPr>
            </w:r>
            <w:r>
              <w:rPr>
                <w:b/>
                <w:color w:val="FFFFFF"/>
                <w:sz w:val="17"/>
              </w:rPr>
              <w:t>Interpretation</w:t>
            </w:r>
          </w:p>
        </w:tc>
      </w:tr>
      <w:tr>
        <w:tc>
          <w:tcPr>
            <w:tcW w:type="dxa" w:w="2448"/>
            <w:vAlign w:val="center"/>
          </w:tcPr>
          <w:p>
            <w:pPr>
              <w:jc w:val="left"/>
            </w:pPr>
            <w:r>
              <w:rPr>
                <w:sz w:val="17"/>
              </w:rPr>
            </w:r>
            <w:r>
              <w:rPr>
                <w:b w:val="0"/>
                <w:sz w:val="17"/>
              </w:rPr>
              <w:t>Saved data continuity</w:t>
            </w:r>
          </w:p>
        </w:tc>
        <w:tc>
          <w:tcPr>
            <w:tcW w:type="dxa" w:w="4608"/>
            <w:vAlign w:val="center"/>
          </w:tcPr>
          <w:p>
            <w:pPr>
              <w:jc w:val="left"/>
            </w:pPr>
            <w:r>
              <w:rPr>
                <w:sz w:val="17"/>
              </w:rPr>
            </w:r>
            <w:r>
              <w:rPr>
                <w:b w:val="0"/>
                <w:sz w:val="17"/>
              </w:rPr>
              <w:t>Saved profile, meal plan, pantry, grocery, and progress information are supported by local persistence.</w:t>
            </w:r>
          </w:p>
        </w:tc>
        <w:tc>
          <w:tcPr>
            <w:tcW w:type="dxa" w:w="3888"/>
            <w:vAlign w:val="center"/>
          </w:tcPr>
          <w:p>
            <w:pPr>
              <w:jc w:val="left"/>
            </w:pPr>
            <w:r>
              <w:rPr>
                <w:sz w:val="17"/>
              </w:rPr>
            </w:r>
            <w:r>
              <w:rPr>
                <w:b w:val="0"/>
                <w:sz w:val="17"/>
              </w:rPr>
              <w:t>Users can continue viewing created information offline.</w:t>
            </w:r>
          </w:p>
        </w:tc>
      </w:tr>
      <w:tr>
        <w:tc>
          <w:tcPr>
            <w:tcW w:type="dxa" w:w="2448"/>
            <w:vAlign w:val="center"/>
            <w:shd w:fill="F8F3F5"/>
          </w:tcPr>
          <w:p>
            <w:pPr>
              <w:jc w:val="left"/>
            </w:pPr>
            <w:r>
              <w:rPr>
                <w:sz w:val="17"/>
              </w:rPr>
            </w:r>
            <w:r>
              <w:rPr>
                <w:b w:val="0"/>
                <w:sz w:val="17"/>
              </w:rPr>
              <w:t>New plan generation</w:t>
            </w:r>
          </w:p>
        </w:tc>
        <w:tc>
          <w:tcPr>
            <w:tcW w:type="dxa" w:w="4608"/>
            <w:vAlign w:val="center"/>
            <w:shd w:fill="F8F3F5"/>
          </w:tcPr>
          <w:p>
            <w:pPr>
              <w:jc w:val="left"/>
            </w:pPr>
            <w:r>
              <w:rPr>
                <w:sz w:val="17"/>
              </w:rPr>
            </w:r>
            <w:r>
              <w:rPr>
                <w:b w:val="0"/>
                <w:sz w:val="17"/>
              </w:rPr>
              <w:t>Optimized generation uses backend CP-SAT planning service and optional worker/queue path.</w:t>
            </w:r>
          </w:p>
        </w:tc>
        <w:tc>
          <w:tcPr>
            <w:tcW w:type="dxa" w:w="3888"/>
            <w:vAlign w:val="center"/>
            <w:shd w:fill="F8F3F5"/>
          </w:tcPr>
          <w:p>
            <w:pPr>
              <w:jc w:val="left"/>
            </w:pPr>
            <w:r>
              <w:rPr>
                <w:sz w:val="17"/>
              </w:rPr>
            </w:r>
            <w:r>
              <w:rPr>
                <w:b w:val="0"/>
                <w:sz w:val="17"/>
              </w:rPr>
              <w:t>Do not claim every new optimized plan is generated fully offline.</w:t>
            </w:r>
          </w:p>
        </w:tc>
      </w:tr>
      <w:tr>
        <w:tc>
          <w:tcPr>
            <w:tcW w:type="dxa" w:w="2448"/>
            <w:vAlign w:val="center"/>
          </w:tcPr>
          <w:p>
            <w:pPr>
              <w:jc w:val="left"/>
            </w:pPr>
            <w:r>
              <w:rPr>
                <w:sz w:val="17"/>
              </w:rPr>
            </w:r>
            <w:r>
              <w:rPr>
                <w:b w:val="0"/>
                <w:sz w:val="17"/>
              </w:rPr>
              <w:t>Observed final-build runtime</w:t>
            </w:r>
          </w:p>
        </w:tc>
        <w:tc>
          <w:tcPr>
            <w:tcW w:type="dxa" w:w="4608"/>
            <w:vAlign w:val="center"/>
          </w:tcPr>
          <w:p>
            <w:pPr>
              <w:jc w:val="left"/>
            </w:pPr>
            <w:r>
              <w:rPr>
                <w:sz w:val="17"/>
              </w:rPr>
            </w:r>
            <w:r>
              <w:rPr>
                <w:b w:val="0"/>
                <w:sz w:val="17"/>
              </w:rPr>
              <w:t>Successful thesis scenarios averaged 0.6309 s to 1.1201 s; no-safe-plan stress case averaged 3.2940 s.</w:t>
            </w:r>
          </w:p>
        </w:tc>
        <w:tc>
          <w:tcPr>
            <w:tcW w:type="dxa" w:w="3888"/>
            <w:vAlign w:val="center"/>
          </w:tcPr>
          <w:p>
            <w:pPr>
              <w:jc w:val="left"/>
            </w:pPr>
            <w:r>
              <w:rPr>
                <w:sz w:val="17"/>
              </w:rPr>
            </w:r>
            <w:r>
              <w:rPr>
                <w:b w:val="0"/>
                <w:sz w:val="17"/>
              </w:rPr>
              <w:t>Local evidence supports feasibility, but runtime should be repeated on the final deployment target.</w:t>
            </w:r>
          </w:p>
        </w:tc>
      </w:tr>
      <w:tr>
        <w:tc>
          <w:tcPr>
            <w:tcW w:type="dxa" w:w="2448"/>
            <w:vAlign w:val="center"/>
            <w:shd w:fill="F8F3F5"/>
          </w:tcPr>
          <w:p>
            <w:pPr>
              <w:jc w:val="left"/>
            </w:pPr>
            <w:r>
              <w:rPr>
                <w:sz w:val="17"/>
              </w:rPr>
            </w:r>
            <w:r>
              <w:rPr>
                <w:b w:val="0"/>
                <w:sz w:val="17"/>
              </w:rPr>
              <w:t>Earlier slow runs</w:t>
            </w:r>
          </w:p>
        </w:tc>
        <w:tc>
          <w:tcPr>
            <w:tcW w:type="dxa" w:w="4608"/>
            <w:vAlign w:val="center"/>
            <w:shd w:fill="F8F3F5"/>
          </w:tcPr>
          <w:p>
            <w:pPr>
              <w:jc w:val="left"/>
            </w:pPr>
            <w:r>
              <w:rPr>
                <w:sz w:val="17"/>
              </w:rPr>
            </w:r>
            <w:r>
              <w:rPr>
                <w:b w:val="0"/>
                <w:sz w:val="17"/>
              </w:rPr>
              <w:t>Earlier observed runs around 207,816 ms and 188,249 ms motivated candidate-pool and backend optimization work.</w:t>
            </w:r>
          </w:p>
        </w:tc>
        <w:tc>
          <w:tcPr>
            <w:tcW w:type="dxa" w:w="3888"/>
            <w:vAlign w:val="center"/>
            <w:shd w:fill="F8F3F5"/>
          </w:tcPr>
          <w:p>
            <w:pPr>
              <w:jc w:val="left"/>
            </w:pPr>
            <w:r>
              <w:rPr>
                <w:sz w:val="17"/>
              </w:rPr>
            </w:r>
            <w:r>
              <w:rPr>
                <w:b w:val="0"/>
                <w:sz w:val="17"/>
              </w:rPr>
              <w:t>Shows why the current optimized path matters.</w:t>
            </w:r>
          </w:p>
        </w:tc>
      </w:tr>
    </w:tbl>
    <w:p/>
    <w:p>
      <w:pPr>
        <w:pStyle w:val="Heading1"/>
      </w:pPr>
      <w:r>
        <w:t>4.4.10 Final Discussion of Algorithm Findings</w:t>
      </w:r>
    </w:p>
    <w:p>
      <w:r>
        <w:t>The final evidence supports PCOSina's technical claim: it can build safe weekly meal plans from Filipino recipe candidates by applying deterministic safety filters, optional ranking, and CP-SAT optimization. The strongest result is not the ML metric; it is the combination of 21-slot completion for feasible scenarios and no-safe-plan behavior for an intentionally infeasible hard-budget case.</w:t>
      </w:r>
    </w:p>
    <w:p>
      <w:r>
        <w:t>The LightGBM artifact is still useful. It shows that model-assisted ranking can improve candidate ordering over a deterministic heuristic baseline on the current model_v1 dataset. However, LightGBM should stay framed as Stage 1 assistance because it does not prove final plan safety by itself.</w:t>
      </w:r>
    </w:p>
    <w:p>
      <w:r>
        <w:t>The algorithm comparison should be included, but only as a short defense rationale. It explains why PCOSina does not rely on a generative selector, pure ML, or a simple greedy heuristic as the final authority. The chosen design is best for this system because the application is a wellness decision-support planner with hard safety, budget, pantry, and preference constraints.</w:t>
      </w:r>
    </w:p>
    <w:p>
      <w:r>
        <w:t>These findings validate implementation and algorithm feasibility only. They do not claim diagnosis, clinical treatment effect, PCOS symptom improvement, or respondent acceptance. Those require separate clinical, usability, expert, or respondent validation evidence.</w:t>
      </w:r>
    </w:p>
    <w:p>
      <w:r>
        <w:br w:type="page"/>
      </w:r>
    </w:p>
    <w:p>
      <w:pPr>
        <w:pStyle w:val="Heading1"/>
      </w:pPr>
      <w:r>
        <w:t>Evidence Sources Used</w:t>
      </w:r>
    </w:p>
    <w:p>
      <w:pPr>
        <w:pStyle w:val="Caption"/>
      </w:pPr>
      <w:r>
        <w:rPr>
          <w:b/>
        </w:rPr>
        <w:t>Table 4.4.13 Evidence Source Index</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7A263A"/>
          </w:tcPr>
          <w:p>
            <w:pPr>
              <w:jc w:val="left"/>
            </w:pPr>
            <w:r>
              <w:rPr>
                <w:b/>
                <w:color w:val="FFFFFF"/>
                <w:sz w:val="17"/>
              </w:rPr>
            </w:r>
            <w:r>
              <w:rPr>
                <w:b/>
                <w:color w:val="FFFFFF"/>
                <w:sz w:val="17"/>
              </w:rPr>
              <w:t>Evidence</w:t>
            </w:r>
          </w:p>
        </w:tc>
        <w:tc>
          <w:tcPr>
            <w:tcW w:type="dxa" w:w="4320"/>
            <w:vAlign w:val="center"/>
            <w:shd w:fill="7A263A"/>
          </w:tcPr>
          <w:p>
            <w:pPr>
              <w:jc w:val="left"/>
            </w:pPr>
            <w:r>
              <w:rPr>
                <w:b/>
                <w:color w:val="FFFFFF"/>
                <w:sz w:val="17"/>
              </w:rPr>
            </w:r>
            <w:r>
              <w:rPr>
                <w:b/>
                <w:color w:val="FFFFFF"/>
                <w:sz w:val="17"/>
              </w:rPr>
              <w:t>Path or Source</w:t>
            </w:r>
          </w:p>
        </w:tc>
        <w:tc>
          <w:tcPr>
            <w:tcW w:type="dxa" w:w="4176"/>
            <w:vAlign w:val="center"/>
            <w:shd w:fill="7A263A"/>
          </w:tcPr>
          <w:p>
            <w:pPr>
              <w:jc w:val="left"/>
            </w:pPr>
            <w:r>
              <w:rPr>
                <w:b/>
                <w:color w:val="FFFFFF"/>
                <w:sz w:val="17"/>
              </w:rPr>
            </w:r>
            <w:r>
              <w:rPr>
                <w:b/>
                <w:color w:val="FFFFFF"/>
                <w:sz w:val="17"/>
              </w:rPr>
              <w:t>How It Was Used</w:t>
            </w:r>
          </w:p>
        </w:tc>
      </w:tr>
      <w:tr>
        <w:tc>
          <w:tcPr>
            <w:tcW w:type="dxa" w:w="2448"/>
            <w:vAlign w:val="center"/>
          </w:tcPr>
          <w:p>
            <w:pPr>
              <w:jc w:val="left"/>
            </w:pPr>
            <w:r>
              <w:rPr>
                <w:sz w:val="17"/>
              </w:rPr>
            </w:r>
            <w:r>
              <w:rPr>
                <w:b w:val="0"/>
                <w:sz w:val="17"/>
              </w:rPr>
              <w:t>Current source DOCX</w:t>
            </w:r>
          </w:p>
        </w:tc>
        <w:tc>
          <w:tcPr>
            <w:tcW w:type="dxa" w:w="4320"/>
            <w:vAlign w:val="center"/>
          </w:tcPr>
          <w:p>
            <w:pPr>
              <w:jc w:val="left"/>
            </w:pPr>
            <w:r>
              <w:rPr>
                <w:sz w:val="17"/>
              </w:rPr>
            </w:r>
            <w:r>
              <w:rPr>
                <w:b w:val="0"/>
                <w:sz w:val="17"/>
              </w:rPr>
              <w:t>docs/Algorithm Evaluation Results.docx</w:t>
            </w:r>
          </w:p>
        </w:tc>
        <w:tc>
          <w:tcPr>
            <w:tcW w:type="dxa" w:w="4176"/>
            <w:vAlign w:val="center"/>
          </w:tcPr>
          <w:p>
            <w:pPr>
              <w:jc w:val="left"/>
            </w:pPr>
            <w:r>
              <w:rPr>
                <w:sz w:val="17"/>
              </w:rPr>
            </w:r>
            <w:r>
              <w:rPr>
                <w:b w:val="0"/>
                <w:sz w:val="17"/>
              </w:rPr>
              <w:t>Existing S1-S5 benchmark and interpretation text used as the base evidence.</w:t>
            </w:r>
          </w:p>
        </w:tc>
      </w:tr>
      <w:tr>
        <w:tc>
          <w:tcPr>
            <w:tcW w:type="dxa" w:w="2448"/>
            <w:vAlign w:val="center"/>
            <w:shd w:fill="F8F3F5"/>
          </w:tcPr>
          <w:p>
            <w:pPr>
              <w:jc w:val="left"/>
            </w:pPr>
            <w:r>
              <w:rPr>
                <w:sz w:val="17"/>
              </w:rPr>
            </w:r>
            <w:r>
              <w:rPr>
                <w:b w:val="0"/>
                <w:sz w:val="17"/>
              </w:rPr>
              <w:t>LightGBM model artifact</w:t>
            </w:r>
          </w:p>
        </w:tc>
        <w:tc>
          <w:tcPr>
            <w:tcW w:type="dxa" w:w="4320"/>
            <w:vAlign w:val="center"/>
            <w:shd w:fill="F8F3F5"/>
          </w:tcPr>
          <w:p>
            <w:pPr>
              <w:jc w:val="left"/>
            </w:pPr>
            <w:r>
              <w:rPr>
                <w:sz w:val="17"/>
              </w:rPr>
            </w:r>
            <w:r>
              <w:rPr>
                <w:b w:val="0"/>
                <w:sz w:val="17"/>
              </w:rPr>
              <w:t>ml/offline_training/artifacts/model_v1/training_metrics.json</w:t>
            </w:r>
          </w:p>
        </w:tc>
        <w:tc>
          <w:tcPr>
            <w:tcW w:type="dxa" w:w="4176"/>
            <w:vAlign w:val="center"/>
            <w:shd w:fill="F8F3F5"/>
          </w:tcPr>
          <w:p>
            <w:pPr>
              <w:jc w:val="left"/>
            </w:pPr>
            <w:r>
              <w:rPr>
                <w:sz w:val="17"/>
              </w:rPr>
            </w:r>
            <w:r>
              <w:rPr>
                <w:b w:val="0"/>
                <w:sz w:val="17"/>
              </w:rPr>
              <w:t>Current model_v1 dataset, split, AUC, NDCG@10, MAP@10, baseline, and uplift values.</w:t>
            </w:r>
          </w:p>
        </w:tc>
      </w:tr>
      <w:tr>
        <w:tc>
          <w:tcPr>
            <w:tcW w:type="dxa" w:w="2448"/>
            <w:vAlign w:val="center"/>
          </w:tcPr>
          <w:p>
            <w:pPr>
              <w:jc w:val="left"/>
            </w:pPr>
            <w:r>
              <w:rPr>
                <w:sz w:val="17"/>
              </w:rPr>
            </w:r>
            <w:r>
              <w:rPr>
                <w:b w:val="0"/>
                <w:sz w:val="17"/>
              </w:rPr>
              <w:t>Algorithm tradeoff artifact</w:t>
            </w:r>
          </w:p>
        </w:tc>
        <w:tc>
          <w:tcPr>
            <w:tcW w:type="dxa" w:w="4320"/>
            <w:vAlign w:val="center"/>
          </w:tcPr>
          <w:p>
            <w:pPr>
              <w:jc w:val="left"/>
            </w:pPr>
            <w:r>
              <w:rPr>
                <w:sz w:val="17"/>
              </w:rPr>
            </w:r>
            <w:r>
              <w:rPr>
                <w:b w:val="0"/>
                <w:sz w:val="17"/>
              </w:rPr>
              <w:t>backend/comment5_algorithm_tradeoff_summary.csv</w:t>
            </w:r>
          </w:p>
        </w:tc>
        <w:tc>
          <w:tcPr>
            <w:tcW w:type="dxa" w:w="4176"/>
            <w:vAlign w:val="center"/>
          </w:tcPr>
          <w:p>
            <w:pPr>
              <w:jc w:val="left"/>
            </w:pPr>
            <w:r>
              <w:rPr>
                <w:sz w:val="17"/>
              </w:rPr>
            </w:r>
            <w:r>
              <w:rPr>
                <w:b w:val="0"/>
                <w:sz w:val="17"/>
              </w:rPr>
              <w:t>Compact comparison across cpsat_two_stage, greedy_heuristic, and gen_proxy.</w:t>
            </w:r>
          </w:p>
        </w:tc>
      </w:tr>
      <w:tr>
        <w:tc>
          <w:tcPr>
            <w:tcW w:type="dxa" w:w="2448"/>
            <w:vAlign w:val="center"/>
            <w:shd w:fill="F8F3F5"/>
          </w:tcPr>
          <w:p>
            <w:pPr>
              <w:jc w:val="left"/>
            </w:pPr>
            <w:r>
              <w:rPr>
                <w:sz w:val="17"/>
              </w:rPr>
            </w:r>
            <w:r>
              <w:rPr>
                <w:b w:val="0"/>
                <w:sz w:val="17"/>
              </w:rPr>
              <w:t>Tradeoff detail artifact</w:t>
            </w:r>
          </w:p>
        </w:tc>
        <w:tc>
          <w:tcPr>
            <w:tcW w:type="dxa" w:w="4320"/>
            <w:vAlign w:val="center"/>
            <w:shd w:fill="F8F3F5"/>
          </w:tcPr>
          <w:p>
            <w:pPr>
              <w:jc w:val="left"/>
            </w:pPr>
            <w:r>
              <w:rPr>
                <w:sz w:val="17"/>
              </w:rPr>
            </w:r>
            <w:r>
              <w:rPr>
                <w:b w:val="0"/>
                <w:sz w:val="17"/>
              </w:rPr>
              <w:t>backend/comment5_algorithm_tradeoff_report.json</w:t>
            </w:r>
          </w:p>
        </w:tc>
        <w:tc>
          <w:tcPr>
            <w:tcW w:type="dxa" w:w="4176"/>
            <w:vAlign w:val="center"/>
            <w:shd w:fill="F8F3F5"/>
          </w:tcPr>
          <w:p>
            <w:pPr>
              <w:jc w:val="left"/>
            </w:pPr>
            <w:r>
              <w:rPr>
                <w:sz w:val="17"/>
              </w:rPr>
            </w:r>
            <w:r>
              <w:rPr>
                <w:b w:val="0"/>
                <w:sz w:val="17"/>
              </w:rPr>
              <w:t>Run counts, formulas, solver time controls, and scenario-level records.</w:t>
            </w:r>
          </w:p>
        </w:tc>
      </w:tr>
      <w:tr>
        <w:tc>
          <w:tcPr>
            <w:tcW w:type="dxa" w:w="2448"/>
            <w:vAlign w:val="center"/>
          </w:tcPr>
          <w:p>
            <w:pPr>
              <w:jc w:val="left"/>
            </w:pPr>
            <w:r>
              <w:rPr>
                <w:sz w:val="17"/>
              </w:rPr>
            </w:r>
            <w:r>
              <w:rPr>
                <w:b w:val="0"/>
                <w:sz w:val="17"/>
              </w:rPr>
              <w:t>Benchmark runner manifest</w:t>
            </w:r>
          </w:p>
        </w:tc>
        <w:tc>
          <w:tcPr>
            <w:tcW w:type="dxa" w:w="4320"/>
            <w:vAlign w:val="center"/>
          </w:tcPr>
          <w:p>
            <w:pPr>
              <w:jc w:val="left"/>
            </w:pPr>
            <w:r>
              <w:rPr>
                <w:sz w:val="17"/>
              </w:rPr>
            </w:r>
            <w:r>
              <w:rPr>
                <w:b w:val="0"/>
                <w:sz w:val="17"/>
              </w:rPr>
              <w:t>benchmarks/runner/run_comment5_benchmark.py and benchmarks/canonical_scenarios/comment5_canonical_scenarios.json</w:t>
            </w:r>
          </w:p>
        </w:tc>
        <w:tc>
          <w:tcPr>
            <w:tcW w:type="dxa" w:w="4176"/>
            <w:vAlign w:val="center"/>
          </w:tcPr>
          <w:p>
            <w:pPr>
              <w:jc w:val="left"/>
            </w:pPr>
            <w:r>
              <w:rPr>
                <w:sz w:val="17"/>
              </w:rPr>
            </w:r>
            <w:r>
              <w:rPr>
                <w:b w:val="0"/>
                <w:sz w:val="17"/>
              </w:rPr>
              <w:t>Scenario set and artifact contract; regenerated with --use-existing-artifacts on May 17, 2026.</w:t>
            </w:r>
          </w:p>
        </w:tc>
      </w:tr>
      <w:tr>
        <w:tc>
          <w:tcPr>
            <w:tcW w:type="dxa" w:w="2448"/>
            <w:vAlign w:val="center"/>
            <w:shd w:fill="F8F3F5"/>
          </w:tcPr>
          <w:p>
            <w:pPr>
              <w:jc w:val="left"/>
            </w:pPr>
            <w:r>
              <w:rPr>
                <w:sz w:val="17"/>
              </w:rPr>
            </w:r>
            <w:r>
              <w:rPr>
                <w:b w:val="0"/>
                <w:sz w:val="17"/>
              </w:rPr>
              <w:t>Validation matrix</w:t>
            </w:r>
          </w:p>
        </w:tc>
        <w:tc>
          <w:tcPr>
            <w:tcW w:type="dxa" w:w="4320"/>
            <w:vAlign w:val="center"/>
            <w:shd w:fill="F8F3F5"/>
          </w:tcPr>
          <w:p>
            <w:pPr>
              <w:jc w:val="left"/>
            </w:pPr>
            <w:r>
              <w:rPr>
                <w:sz w:val="17"/>
              </w:rPr>
            </w:r>
            <w:r>
              <w:rPr>
                <w:b w:val="0"/>
                <w:sz w:val="17"/>
              </w:rPr>
              <w:t>docs/thesis_validation/05_VALIDATION_TEST_CASES.csv</w:t>
            </w:r>
          </w:p>
        </w:tc>
        <w:tc>
          <w:tcPr>
            <w:tcW w:type="dxa" w:w="4176"/>
            <w:vAlign w:val="center"/>
            <w:shd w:fill="F8F3F5"/>
          </w:tcPr>
          <w:p>
            <w:pPr>
              <w:jc w:val="left"/>
            </w:pPr>
            <w:r>
              <w:rPr>
                <w:sz w:val="17"/>
              </w:rPr>
            </w:r>
            <w:r>
              <w:rPr>
                <w:b w:val="0"/>
                <w:sz w:val="17"/>
              </w:rPr>
              <w:t>Implemented and recommended system validation cases for planner, budget, no-safe-plan, grocery, and offline areas.</w:t>
            </w:r>
          </w:p>
        </w:tc>
      </w:tr>
      <w:tr>
        <w:tc>
          <w:tcPr>
            <w:tcW w:type="dxa" w:w="2448"/>
            <w:vAlign w:val="center"/>
          </w:tcPr>
          <w:p>
            <w:pPr>
              <w:jc w:val="left"/>
            </w:pPr>
            <w:r>
              <w:rPr>
                <w:sz w:val="17"/>
              </w:rPr>
            </w:r>
            <w:r>
              <w:rPr>
                <w:b w:val="0"/>
                <w:sz w:val="17"/>
              </w:rPr>
              <w:t>Retest receipt</w:t>
            </w:r>
          </w:p>
        </w:tc>
        <w:tc>
          <w:tcPr>
            <w:tcW w:type="dxa" w:w="4320"/>
            <w:vAlign w:val="center"/>
          </w:tcPr>
          <w:p>
            <w:pPr>
              <w:jc w:val="left"/>
            </w:pPr>
            <w:r>
              <w:rPr>
                <w:sz w:val="17"/>
              </w:rPr>
            </w:r>
            <w:r>
              <w:rPr>
                <w:b w:val="0"/>
                <w:sz w:val="17"/>
              </w:rPr>
              <w:t>Local pytest results from this generation run</w:t>
            </w:r>
          </w:p>
        </w:tc>
        <w:tc>
          <w:tcPr>
            <w:tcW w:type="dxa" w:w="4176"/>
            <w:vAlign w:val="center"/>
          </w:tcPr>
          <w:p>
            <w:pPr>
              <w:jc w:val="left"/>
            </w:pPr>
            <w:r>
              <w:rPr>
                <w:sz w:val="17"/>
              </w:rPr>
            </w:r>
            <w:r>
              <w:rPr>
                <w:b w:val="0"/>
                <w:sz w:val="17"/>
              </w:rPr>
              <w:t>74 backend planner/contract tests passed; 12 ML/ranking tests passed.</w:t>
            </w:r>
          </w:p>
        </w:tc>
      </w:tr>
    </w:tbl>
    <w:p/>
    <w:sectPr w:rsidR="00FC693F" w:rsidRPr="0006063C" w:rsidSect="00034616">
      <w:footerReference w:type="default" r:id="rId13"/>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PCOSina Algorithm Evaluation Results - final defense-ready evidence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26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F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