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F6B3F"/>
          <w:sz w:val="32"/>
        </w:rPr>
        <w:t>Chapter 4 SOP-Format Process Narrative</w:t>
      </w:r>
    </w:p>
    <w:p>
      <w:pPr>
        <w:jc w:val="center"/>
      </w:pPr>
      <w:r>
        <w:rPr>
          <w:rFonts w:ascii="Times New Roman" w:hAnsi="Times New Roman"/>
          <w:b/>
          <w:sz w:val="24"/>
        </w:rPr>
        <w:t>Sections 4.1 to 4.5 - Process, Evidence, Formulas, Figures, and Results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r>
              <w:rPr>
                <w:b w:val="0"/>
                <w:i w:val="0"/>
              </w:rPr>
              <w:t>Research framing used throughout this section</w:t>
            </w:r>
          </w:p>
        </w:tc>
      </w:tr>
      <w:tr>
        <w:tc>
          <w:tcPr>
            <w:tcW w:type="dxa" w:w="9792"/>
            <w:vAlign w:val="top"/>
            <w:shd w:fill="F3FAF1"/>
          </w:tcPr>
          <w:p>
            <w:pPr/>
            <w:r>
              <w:t>PCOSina is presented as an offline-first Filipino-PCOS meal-planning wellness decision-support system. The section uses the proposed revised SOPs and removes the previous restricted wording from SOP 1. The system is not described as a diagnosis engine, treatment engine, medical device, or clinical outcome monitor. ML is described as assistive ranking only; deterministic filtering and OR-Tools CP-SAT remain the authority for hard constraints.</w:t>
            </w:r>
          </w:p>
        </w:tc>
      </w:tr>
    </w:tbl>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1440"/>
            <w:vAlign w:val="top"/>
            <w:shd w:fill="E2F0D9"/>
          </w:tcPr>
          <w:p>
            <w:pPr>
              <w:spacing w:after="0"/>
            </w:pPr>
            <w:r/>
            <w:r>
              <w:rPr>
                <w:rFonts w:ascii="Times New Roman" w:hAnsi="Times New Roman"/>
                <w:b/>
                <w:sz w:val="18"/>
              </w:rPr>
              <w:t>Chapter 4 section</w:t>
            </w:r>
          </w:p>
        </w:tc>
        <w:tc>
          <w:tcPr>
            <w:tcW w:type="dxa" w:w="3240"/>
            <w:vAlign w:val="top"/>
            <w:shd w:fill="E2F0D9"/>
          </w:tcPr>
          <w:p>
            <w:pPr>
              <w:spacing w:after="0"/>
            </w:pPr>
            <w:r/>
            <w:r>
              <w:rPr>
                <w:rFonts w:ascii="Times New Roman" w:hAnsi="Times New Roman"/>
                <w:b/>
                <w:sz w:val="18"/>
              </w:rPr>
              <w:t>Revised SOP focus</w:t>
            </w:r>
          </w:p>
        </w:tc>
        <w:tc>
          <w:tcPr>
            <w:tcW w:type="dxa" w:w="4824"/>
            <w:vAlign w:val="top"/>
            <w:shd w:fill="E2F0D9"/>
          </w:tcPr>
          <w:p>
            <w:pPr>
              <w:spacing w:after="0"/>
            </w:pPr>
            <w:r/>
            <w:r>
              <w:rPr>
                <w:rFonts w:ascii="Times New Roman" w:hAnsi="Times New Roman"/>
                <w:b/>
                <w:sz w:val="18"/>
              </w:rPr>
              <w:t>Primary proof included</w:t>
            </w:r>
          </w:p>
        </w:tc>
      </w:tr>
      <w:tr>
        <w:tc>
          <w:tcPr>
            <w:tcW w:type="dxa" w:w="1440"/>
            <w:vAlign w:val="top"/>
          </w:tcPr>
          <w:p>
            <w:pPr>
              <w:spacing w:after="0"/>
            </w:pPr>
            <w:r/>
            <w:r>
              <w:rPr>
                <w:rFonts w:ascii="Times New Roman" w:hAnsi="Times New Roman"/>
                <w:b w:val="0"/>
                <w:sz w:val="18"/>
              </w:rPr>
              <w:t>4.1</w:t>
            </w:r>
          </w:p>
        </w:tc>
        <w:tc>
          <w:tcPr>
            <w:tcW w:type="dxa" w:w="3240"/>
            <w:vAlign w:val="top"/>
          </w:tcPr>
          <w:p>
            <w:pPr>
              <w:spacing w:after="0"/>
            </w:pPr>
            <w:r/>
            <w:r>
              <w:rPr>
                <w:rFonts w:ascii="Times New Roman" w:hAnsi="Times New Roman"/>
                <w:b w:val="0"/>
                <w:sz w:val="18"/>
              </w:rPr>
              <w:t>Weekly nutrition and weight-management meal planning</w:t>
            </w:r>
          </w:p>
        </w:tc>
        <w:tc>
          <w:tcPr>
            <w:tcW w:type="dxa" w:w="4824"/>
            <w:vAlign w:val="top"/>
          </w:tcPr>
          <w:p>
            <w:pPr>
              <w:spacing w:after="0"/>
            </w:pPr>
            <w:r/>
            <w:r>
              <w:rPr>
                <w:rFonts w:ascii="Times New Roman" w:hAnsi="Times New Roman"/>
                <w:b w:val="0"/>
                <w:sz w:val="18"/>
              </w:rPr>
              <w:t>Input-to-target formulas, CP-SAT process, 21-slot benchmark, runtime chart, planner figures.</w:t>
            </w:r>
          </w:p>
        </w:tc>
      </w:tr>
      <w:tr>
        <w:tc>
          <w:tcPr>
            <w:tcW w:type="dxa" w:w="1440"/>
            <w:vAlign w:val="top"/>
          </w:tcPr>
          <w:p>
            <w:pPr>
              <w:spacing w:after="0"/>
            </w:pPr>
            <w:r/>
            <w:r>
              <w:rPr>
                <w:rFonts w:ascii="Times New Roman" w:hAnsi="Times New Roman"/>
                <w:b w:val="0"/>
                <w:sz w:val="18"/>
              </w:rPr>
              <w:t>4.2</w:t>
            </w:r>
          </w:p>
        </w:tc>
        <w:tc>
          <w:tcPr>
            <w:tcW w:type="dxa" w:w="3240"/>
            <w:vAlign w:val="top"/>
          </w:tcPr>
          <w:p>
            <w:pPr>
              <w:spacing w:after="0"/>
            </w:pPr>
            <w:r/>
            <w:r>
              <w:rPr>
                <w:rFonts w:ascii="Times New Roman" w:hAnsi="Times New Roman"/>
                <w:b w:val="0"/>
                <w:sz w:val="18"/>
              </w:rPr>
              <w:t>Preferences, Filipino food practices, and dietary restrictions</w:t>
            </w:r>
          </w:p>
        </w:tc>
        <w:tc>
          <w:tcPr>
            <w:tcW w:type="dxa" w:w="4824"/>
            <w:vAlign w:val="top"/>
          </w:tcPr>
          <w:p>
            <w:pPr>
              <w:spacing w:after="0"/>
            </w:pPr>
            <w:r/>
            <w:r>
              <w:rPr>
                <w:rFonts w:ascii="Times New Roman" w:hAnsi="Times New Roman"/>
                <w:b w:val="0"/>
                <w:sz w:val="18"/>
              </w:rPr>
              <w:t>Restriction enforcement, cultural fit, LightGBM role boundary, usability and functional-suitability evidence.</w:t>
            </w:r>
          </w:p>
        </w:tc>
      </w:tr>
      <w:tr>
        <w:tc>
          <w:tcPr>
            <w:tcW w:type="dxa" w:w="1440"/>
            <w:vAlign w:val="top"/>
          </w:tcPr>
          <w:p>
            <w:pPr>
              <w:spacing w:after="0"/>
            </w:pPr>
            <w:r/>
            <w:r>
              <w:rPr>
                <w:rFonts w:ascii="Times New Roman" w:hAnsi="Times New Roman"/>
                <w:b w:val="0"/>
                <w:sz w:val="18"/>
              </w:rPr>
              <w:t>4.3</w:t>
            </w:r>
          </w:p>
        </w:tc>
        <w:tc>
          <w:tcPr>
            <w:tcW w:type="dxa" w:w="3240"/>
            <w:vAlign w:val="top"/>
          </w:tcPr>
          <w:p>
            <w:pPr>
              <w:spacing w:after="0"/>
            </w:pPr>
            <w:r/>
            <w:r>
              <w:rPr>
                <w:rFonts w:ascii="Times New Roman" w:hAnsi="Times New Roman"/>
                <w:b w:val="0"/>
                <w:sz w:val="18"/>
              </w:rPr>
              <w:t>Pantry-aware planning and grocery reduction support</w:t>
            </w:r>
          </w:p>
        </w:tc>
        <w:tc>
          <w:tcPr>
            <w:tcW w:type="dxa" w:w="4824"/>
            <w:vAlign w:val="top"/>
          </w:tcPr>
          <w:p>
            <w:pPr>
              <w:spacing w:after="0"/>
            </w:pPr>
            <w:r/>
            <w:r>
              <w:rPr>
                <w:rFonts w:ascii="Times New Roman" w:hAnsi="Times New Roman"/>
                <w:b w:val="0"/>
                <w:sz w:val="18"/>
              </w:rPr>
              <w:t>Pantry matching formula, pantry-overlap visuals, grocery-gap boundary, pantry/grocery evaluation results.</w:t>
            </w:r>
          </w:p>
        </w:tc>
      </w:tr>
      <w:tr>
        <w:tc>
          <w:tcPr>
            <w:tcW w:type="dxa" w:w="1440"/>
            <w:vAlign w:val="top"/>
          </w:tcPr>
          <w:p>
            <w:pPr>
              <w:spacing w:after="0"/>
            </w:pPr>
            <w:r/>
            <w:r>
              <w:rPr>
                <w:rFonts w:ascii="Times New Roman" w:hAnsi="Times New Roman"/>
                <w:b w:val="0"/>
                <w:sz w:val="18"/>
              </w:rPr>
              <w:t>4.4</w:t>
            </w:r>
          </w:p>
        </w:tc>
        <w:tc>
          <w:tcPr>
            <w:tcW w:type="dxa" w:w="3240"/>
            <w:vAlign w:val="top"/>
          </w:tcPr>
          <w:p>
            <w:pPr>
              <w:spacing w:after="0"/>
            </w:pPr>
            <w:r/>
            <w:r>
              <w:rPr>
                <w:rFonts w:ascii="Times New Roman" w:hAnsi="Times New Roman"/>
                <w:b w:val="0"/>
                <w:sz w:val="18"/>
              </w:rPr>
              <w:t>Offline-first mobile support</w:t>
            </w:r>
          </w:p>
        </w:tc>
        <w:tc>
          <w:tcPr>
            <w:tcW w:type="dxa" w:w="4824"/>
            <w:vAlign w:val="top"/>
          </w:tcPr>
          <w:p>
            <w:pPr>
              <w:spacing w:after="0"/>
            </w:pPr>
            <w:r/>
            <w:r>
              <w:rPr>
                <w:rFonts w:ascii="Times New Roman" w:hAnsi="Times New Roman"/>
                <w:b w:val="0"/>
                <w:sz w:val="18"/>
              </w:rPr>
              <w:t>Local artifact flow, offline availability map, Android UI baseline, Portability/Reliability survey evidence.</w:t>
            </w:r>
          </w:p>
        </w:tc>
      </w:tr>
      <w:tr>
        <w:tc>
          <w:tcPr>
            <w:tcW w:type="dxa" w:w="1440"/>
            <w:vAlign w:val="top"/>
          </w:tcPr>
          <w:p>
            <w:pPr>
              <w:spacing w:after="0"/>
            </w:pPr>
            <w:r/>
            <w:r>
              <w:rPr>
                <w:rFonts w:ascii="Times New Roman" w:hAnsi="Times New Roman"/>
                <w:b w:val="0"/>
                <w:sz w:val="18"/>
              </w:rPr>
              <w:t>4.5</w:t>
            </w:r>
          </w:p>
        </w:tc>
        <w:tc>
          <w:tcPr>
            <w:tcW w:type="dxa" w:w="3240"/>
            <w:vAlign w:val="top"/>
          </w:tcPr>
          <w:p>
            <w:pPr>
              <w:spacing w:after="0"/>
            </w:pPr>
            <w:r/>
            <w:r>
              <w:rPr>
                <w:rFonts w:ascii="Times New Roman" w:hAnsi="Times New Roman"/>
                <w:b w:val="0"/>
                <w:sz w:val="18"/>
              </w:rPr>
              <w:t>Nutrition quality, usability, cultural relevance, and computational efficiency evaluation</w:t>
            </w:r>
          </w:p>
        </w:tc>
        <w:tc>
          <w:tcPr>
            <w:tcW w:type="dxa" w:w="4824"/>
            <w:vAlign w:val="top"/>
          </w:tcPr>
          <w:p>
            <w:pPr>
              <w:spacing w:after="0"/>
            </w:pPr>
            <w:r/>
            <w:r>
              <w:rPr>
                <w:rFonts w:ascii="Times New Roman" w:hAnsi="Times New Roman"/>
                <w:b w:val="0"/>
                <w:sz w:val="18"/>
              </w:rPr>
              <w:t>Cronbach alpha, ISO summary chart, benchmark tables, runtime and ML metrics, known evidence boundaries.</w:t>
            </w:r>
          </w:p>
        </w:tc>
      </w:tr>
    </w:tbl>
    <w:p/>
    <w:p>
      <w:pPr>
        <w:jc w:val="center"/>
      </w:pPr>
      <w:r>
        <w:drawing>
          <wp:inline xmlns:a="http://schemas.openxmlformats.org/drawingml/2006/main" xmlns:pic="http://schemas.openxmlformats.org/drawingml/2006/picture">
            <wp:extent cx="5212080" cy="2615437"/>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5212080" cy="2615437"/>
                    </a:xfrm>
                    <a:prstGeom prst="rect"/>
                  </pic:spPr>
                </pic:pic>
              </a:graphicData>
            </a:graphic>
          </wp:inline>
        </w:drawing>
      </w:r>
    </w:p>
    <w:p>
      <w:pPr>
        <w:jc w:val="center"/>
      </w:pPr>
      <w:r>
        <w:rPr>
          <w:b w:val="0"/>
          <w:i/>
          <w:sz w:val="18"/>
        </w:rPr>
        <w:t>Figure 4.1. Conceptual framework source visual used as the overall traceability anchor.</w:t>
      </w:r>
    </w:p>
    <w:p>
      <w:pPr>
        <w:pStyle w:val="Heading1"/>
      </w:pPr>
      <w:r>
        <w:rPr>
          <w:rFonts w:ascii="Times New Roman" w:hAnsi="Times New Roman"/>
          <w:color w:val="2F6B3F"/>
        </w:rPr>
        <w:t>4.1 Weekly Nutrition and Weight-Management Meal Planning</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Revised SOP 1 question</w:t>
            </w:r>
          </w:p>
        </w:tc>
      </w:tr>
      <w:tr>
        <w:tc>
          <w:tcPr>
            <w:tcW w:type="dxa" w:w="9792"/>
            <w:vAlign w:val="top"/>
            <w:shd w:fill="F3FAF1"/>
          </w:tcPr>
          <w:p>
            <w:pPr>
              <w:spacing w:after="0"/>
            </w:pPr>
            <w:r/>
            <w:r>
              <w:rPr>
                <w:rFonts w:ascii="Times New Roman" w:hAnsi="Times New Roman"/>
                <w:b w:val="0"/>
                <w:sz w:val="20"/>
              </w:rPr>
              <w:t>How can a weekly meal-planning system be designed to generate nutritionally adequate meal plans for Filipinos with PCOS while considering weight-management goals and dietary constraints?</w:t>
            </w:r>
          </w:p>
        </w:tc>
      </w:tr>
    </w:tbl>
    <w:p/>
    <w:p>
      <w:pPr>
        <w:jc w:val="center"/>
      </w:pPr>
      <w:r>
        <w:drawing>
          <wp:inline xmlns:a="http://schemas.openxmlformats.org/drawingml/2006/main" xmlns:pic="http://schemas.openxmlformats.org/drawingml/2006/picture">
            <wp:extent cx="5760720" cy="1664208"/>
            <wp:docPr id="2" name="Picture 2"/>
            <wp:cNvGraphicFramePr>
              <a:graphicFrameLocks noChangeAspect="1"/>
            </wp:cNvGraphicFramePr>
            <a:graphic>
              <a:graphicData uri="http://schemas.openxmlformats.org/drawingml/2006/picture">
                <pic:pic>
                  <pic:nvPicPr>
                    <pic:cNvPr id="0" name="sop1_flow.png"/>
                    <pic:cNvPicPr/>
                  </pic:nvPicPr>
                  <pic:blipFill>
                    <a:blip r:embed="rId10"/>
                    <a:stretch>
                      <a:fillRect/>
                    </a:stretch>
                  </pic:blipFill>
                  <pic:spPr>
                    <a:xfrm>
                      <a:off x="0" y="0"/>
                      <a:ext cx="5760720" cy="1664208"/>
                    </a:xfrm>
                    <a:prstGeom prst="rect"/>
                  </pic:spPr>
                </pic:pic>
              </a:graphicData>
            </a:graphic>
          </wp:inline>
        </w:drawing>
      </w:r>
    </w:p>
    <w:p>
      <w:pPr>
        <w:jc w:val="center"/>
      </w:pPr>
      <w:r>
        <w:rPr>
          <w:b w:val="0"/>
          <w:i/>
          <w:sz w:val="18"/>
        </w:rPr>
        <w:t>Figure 4.2. Process flow for SOP 1 from profile input to validated weekly plan.</w:t>
      </w:r>
    </w:p>
    <w:p>
      <w:pPr>
        <w:jc w:val="center"/>
      </w:pPr>
      <w:r>
        <w:drawing>
          <wp:inline xmlns:a="http://schemas.openxmlformats.org/drawingml/2006/main" xmlns:pic="http://schemas.openxmlformats.org/drawingml/2006/picture">
            <wp:extent cx="5669280" cy="4985666"/>
            <wp:docPr id="3" name="Picture 3"/>
            <wp:cNvGraphicFramePr>
              <a:graphicFrameLocks noChangeAspect="1"/>
            </wp:cNvGraphicFramePr>
            <a:graphic>
              <a:graphicData uri="http://schemas.openxmlformats.org/drawingml/2006/picture">
                <pic:pic>
                  <pic:nvPicPr>
                    <pic:cNvPr id="0" name="figure_12.png"/>
                    <pic:cNvPicPr/>
                  </pic:nvPicPr>
                  <pic:blipFill>
                    <a:blip r:embed="rId11"/>
                    <a:stretch>
                      <a:fillRect/>
                    </a:stretch>
                  </pic:blipFill>
                  <pic:spPr>
                    <a:xfrm>
                      <a:off x="0" y="0"/>
                      <a:ext cx="5669280" cy="4985666"/>
                    </a:xfrm>
                    <a:prstGeom prst="rect"/>
                  </pic:spPr>
                </pic:pic>
              </a:graphicData>
            </a:graphic>
          </wp:inline>
        </w:drawing>
      </w:r>
    </w:p>
    <w:p>
      <w:pPr>
        <w:jc w:val="center"/>
      </w:pPr>
      <w:r>
        <w:rPr>
          <w:b w:val="0"/>
          <w:i/>
          <w:sz w:val="18"/>
        </w:rPr>
        <w:t>Figure 4.3. Two-stage weekly planning algorithm from the evidence dossier.</w:t>
      </w:r>
    </w:p>
    <w:p>
      <w:pPr>
        <w:pStyle w:val="Heading2"/>
      </w:pPr>
      <w:r>
        <w:rPr>
          <w:rFonts w:ascii="Times New Roman" w:hAnsi="Times New Roman"/>
          <w:color w:val="2F6B3F"/>
        </w:rPr>
        <w:t>4.1.1 User Profile and Input Preparation</w:t>
      </w:r>
    </w:p>
    <w:p>
      <w:pPr>
        <w:spacing w:after="120" w:line="269" w:lineRule="auto"/>
        <w:ind w:firstLine="360"/>
      </w:pPr>
      <w:r>
        <w:rPr>
          <w:rFonts w:ascii="Times New Roman" w:hAnsi="Times New Roman"/>
          <w:sz w:val="22"/>
        </w:rPr>
        <w:t>The planning process starts with the user profile because PCOSina must convert personal and practical user data into solver-ready values before it can generate a meal plan. The profile captures age, height, weight, activity level, weight-management goal, dietary restrictions, allergies, explicit ingredient exclusions, preferred food behavior, weekly budget, cooking-time preference, variety preference, and pantry entries. These are not used for diagnosis. They are planning inputs that help the system compute targets, filter unsafe recipes, and assemble a feasible weekly plan.</w:t>
      </w:r>
    </w:p>
    <w:p>
      <w:pPr>
        <w:spacing w:after="120" w:line="269" w:lineRule="auto"/>
        <w:ind w:firstLine="360"/>
      </w:pPr>
      <w:r>
        <w:rPr>
          <w:rFonts w:ascii="Times New Roman" w:hAnsi="Times New Roman"/>
          <w:sz w:val="22"/>
        </w:rPr>
        <w:t>The application normalizes free-form and categorical inputs before planning. Allergy names, restricted ingredients, exclusion terms, and pantry items are converted into comparable text tokens. Numerical values are bounded so that invalid or missing entries do not produce unsafe planning targets. This preparation step is necessary because the solver can only enforce constraints reliably when the user profile is represented as structured data rather than unprocessed text.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Input group</w:t>
            </w:r>
          </w:p>
        </w:tc>
        <w:tc>
          <w:tcPr>
            <w:tcW w:type="dxa" w:w="3264"/>
            <w:vAlign w:val="top"/>
            <w:shd w:fill="E2F0D9"/>
          </w:tcPr>
          <w:p>
            <w:pPr>
              <w:spacing w:after="0"/>
            </w:pPr>
            <w:r/>
            <w:r>
              <w:rPr>
                <w:rFonts w:ascii="Times New Roman" w:hAnsi="Times New Roman"/>
                <w:b/>
                <w:sz w:val="18"/>
              </w:rPr>
              <w:t>Examples captured by the app</w:t>
            </w:r>
          </w:p>
        </w:tc>
        <w:tc>
          <w:tcPr>
            <w:tcW w:type="dxa" w:w="3264"/>
            <w:vAlign w:val="top"/>
            <w:shd w:fill="E2F0D9"/>
          </w:tcPr>
          <w:p>
            <w:pPr>
              <w:spacing w:after="0"/>
            </w:pPr>
            <w:r/>
            <w:r>
              <w:rPr>
                <w:rFonts w:ascii="Times New Roman" w:hAnsi="Times New Roman"/>
                <w:b/>
                <w:sz w:val="18"/>
              </w:rPr>
              <w:t>How the planner uses it</w:t>
            </w:r>
          </w:p>
        </w:tc>
      </w:tr>
      <w:tr>
        <w:tc>
          <w:tcPr>
            <w:tcW w:type="dxa" w:w="3264"/>
            <w:vAlign w:val="top"/>
          </w:tcPr>
          <w:p>
            <w:pPr>
              <w:spacing w:after="0"/>
            </w:pPr>
            <w:r/>
            <w:r>
              <w:rPr>
                <w:rFonts w:ascii="Times New Roman" w:hAnsi="Times New Roman"/>
                <w:b w:val="0"/>
                <w:sz w:val="18"/>
              </w:rPr>
              <w:t>Anthropometric profile</w:t>
            </w:r>
          </w:p>
        </w:tc>
        <w:tc>
          <w:tcPr>
            <w:tcW w:type="dxa" w:w="3264"/>
            <w:vAlign w:val="top"/>
          </w:tcPr>
          <w:p>
            <w:pPr>
              <w:spacing w:after="0"/>
            </w:pPr>
            <w:r/>
            <w:r>
              <w:rPr>
                <w:rFonts w:ascii="Times New Roman" w:hAnsi="Times New Roman"/>
                <w:b w:val="0"/>
                <w:sz w:val="18"/>
              </w:rPr>
              <w:t>Age, height, weight, activity level</w:t>
            </w:r>
          </w:p>
        </w:tc>
        <w:tc>
          <w:tcPr>
            <w:tcW w:type="dxa" w:w="3264"/>
            <w:vAlign w:val="top"/>
          </w:tcPr>
          <w:p>
            <w:pPr>
              <w:spacing w:after="0"/>
            </w:pPr>
            <w:r/>
            <w:r>
              <w:rPr>
                <w:rFonts w:ascii="Times New Roman" w:hAnsi="Times New Roman"/>
                <w:b w:val="0"/>
                <w:sz w:val="18"/>
              </w:rPr>
              <w:t>Computes BMR, TDEE, target calories, and nutrition bounds.</w:t>
            </w:r>
          </w:p>
        </w:tc>
      </w:tr>
      <w:tr>
        <w:tc>
          <w:tcPr>
            <w:tcW w:type="dxa" w:w="3264"/>
            <w:vAlign w:val="top"/>
          </w:tcPr>
          <w:p>
            <w:pPr>
              <w:spacing w:after="0"/>
            </w:pPr>
            <w:r/>
            <w:r>
              <w:rPr>
                <w:rFonts w:ascii="Times New Roman" w:hAnsi="Times New Roman"/>
                <w:b w:val="0"/>
                <w:sz w:val="18"/>
              </w:rPr>
              <w:t>Goal and wellness context</w:t>
            </w:r>
          </w:p>
        </w:tc>
        <w:tc>
          <w:tcPr>
            <w:tcW w:type="dxa" w:w="3264"/>
            <w:vAlign w:val="top"/>
          </w:tcPr>
          <w:p>
            <w:pPr>
              <w:spacing w:after="0"/>
            </w:pPr>
            <w:r/>
            <w:r>
              <w:rPr>
                <w:rFonts w:ascii="Times New Roman" w:hAnsi="Times New Roman"/>
                <w:b w:val="0"/>
                <w:sz w:val="18"/>
              </w:rPr>
              <w:t>Weight-management goal and supported planning adjustments</w:t>
            </w:r>
          </w:p>
        </w:tc>
        <w:tc>
          <w:tcPr>
            <w:tcW w:type="dxa" w:w="3264"/>
            <w:vAlign w:val="top"/>
          </w:tcPr>
          <w:p>
            <w:pPr>
              <w:spacing w:after="0"/>
            </w:pPr>
            <w:r/>
            <w:r>
              <w:rPr>
                <w:rFonts w:ascii="Times New Roman" w:hAnsi="Times New Roman"/>
                <w:b w:val="0"/>
                <w:sz w:val="18"/>
              </w:rPr>
              <w:t>Adjusts calorie target and nutrition pressure within policy bounds.</w:t>
            </w:r>
          </w:p>
        </w:tc>
      </w:tr>
      <w:tr>
        <w:tc>
          <w:tcPr>
            <w:tcW w:type="dxa" w:w="3264"/>
            <w:vAlign w:val="top"/>
          </w:tcPr>
          <w:p>
            <w:pPr>
              <w:spacing w:after="0"/>
            </w:pPr>
            <w:r/>
            <w:r>
              <w:rPr>
                <w:rFonts w:ascii="Times New Roman" w:hAnsi="Times New Roman"/>
                <w:b w:val="0"/>
                <w:sz w:val="18"/>
              </w:rPr>
              <w:t>Hard dietary constraints</w:t>
            </w:r>
          </w:p>
        </w:tc>
        <w:tc>
          <w:tcPr>
            <w:tcW w:type="dxa" w:w="3264"/>
            <w:vAlign w:val="top"/>
          </w:tcPr>
          <w:p>
            <w:pPr>
              <w:spacing w:after="0"/>
            </w:pPr>
            <w:r/>
            <w:r>
              <w:rPr>
                <w:rFonts w:ascii="Times New Roman" w:hAnsi="Times New Roman"/>
                <w:b w:val="0"/>
                <w:sz w:val="18"/>
              </w:rPr>
              <w:t>Allergies, restrictions, explicit exclusions</w:t>
            </w:r>
          </w:p>
        </w:tc>
        <w:tc>
          <w:tcPr>
            <w:tcW w:type="dxa" w:w="3264"/>
            <w:vAlign w:val="top"/>
          </w:tcPr>
          <w:p>
            <w:pPr>
              <w:spacing w:after="0"/>
            </w:pPr>
            <w:r/>
            <w:r>
              <w:rPr>
                <w:rFonts w:ascii="Times New Roman" w:hAnsi="Times New Roman"/>
                <w:b w:val="0"/>
                <w:sz w:val="18"/>
              </w:rPr>
              <w:t>Removes unsafe or incompatible recipes before final optimization.</w:t>
            </w:r>
          </w:p>
        </w:tc>
      </w:tr>
      <w:tr>
        <w:tc>
          <w:tcPr>
            <w:tcW w:type="dxa" w:w="3264"/>
            <w:vAlign w:val="top"/>
          </w:tcPr>
          <w:p>
            <w:pPr>
              <w:spacing w:after="0"/>
            </w:pPr>
            <w:r/>
            <w:r>
              <w:rPr>
                <w:rFonts w:ascii="Times New Roman" w:hAnsi="Times New Roman"/>
                <w:b w:val="0"/>
                <w:sz w:val="18"/>
              </w:rPr>
              <w:t>Practical constraints</w:t>
            </w:r>
          </w:p>
        </w:tc>
        <w:tc>
          <w:tcPr>
            <w:tcW w:type="dxa" w:w="3264"/>
            <w:vAlign w:val="top"/>
          </w:tcPr>
          <w:p>
            <w:pPr>
              <w:spacing w:after="0"/>
            </w:pPr>
            <w:r/>
            <w:r>
              <w:rPr>
                <w:rFonts w:ascii="Times New Roman" w:hAnsi="Times New Roman"/>
                <w:b w:val="0"/>
                <w:sz w:val="18"/>
              </w:rPr>
              <w:t>Budget, cooking time, variety preference</w:t>
            </w:r>
          </w:p>
        </w:tc>
        <w:tc>
          <w:tcPr>
            <w:tcW w:type="dxa" w:w="3264"/>
            <w:vAlign w:val="top"/>
          </w:tcPr>
          <w:p>
            <w:pPr>
              <w:spacing w:after="0"/>
            </w:pPr>
            <w:r/>
            <w:r>
              <w:rPr>
                <w:rFonts w:ascii="Times New Roman" w:hAnsi="Times New Roman"/>
                <w:b w:val="0"/>
                <w:sz w:val="18"/>
              </w:rPr>
              <w:t>Controls cost feasibility, candidate filtering, and repetition behavior.</w:t>
            </w:r>
          </w:p>
        </w:tc>
      </w:tr>
      <w:tr>
        <w:tc>
          <w:tcPr>
            <w:tcW w:type="dxa" w:w="3264"/>
            <w:vAlign w:val="top"/>
          </w:tcPr>
          <w:p>
            <w:pPr>
              <w:spacing w:after="0"/>
            </w:pPr>
            <w:r/>
            <w:r>
              <w:rPr>
                <w:rFonts w:ascii="Times New Roman" w:hAnsi="Times New Roman"/>
                <w:b w:val="0"/>
                <w:sz w:val="18"/>
              </w:rPr>
              <w:t>Pantry context</w:t>
            </w:r>
          </w:p>
        </w:tc>
        <w:tc>
          <w:tcPr>
            <w:tcW w:type="dxa" w:w="3264"/>
            <w:vAlign w:val="top"/>
          </w:tcPr>
          <w:p>
            <w:pPr>
              <w:spacing w:after="0"/>
            </w:pPr>
            <w:r/>
            <w:r>
              <w:rPr>
                <w:rFonts w:ascii="Times New Roman" w:hAnsi="Times New Roman"/>
                <w:b w:val="0"/>
                <w:sz w:val="18"/>
              </w:rPr>
              <w:t>Available ingredients at home</w:t>
            </w:r>
          </w:p>
        </w:tc>
        <w:tc>
          <w:tcPr>
            <w:tcW w:type="dxa" w:w="3264"/>
            <w:vAlign w:val="top"/>
          </w:tcPr>
          <w:p>
            <w:pPr>
              <w:spacing w:after="0"/>
            </w:pPr>
            <w:r/>
            <w:r>
              <w:rPr>
                <w:rFonts w:ascii="Times New Roman" w:hAnsi="Times New Roman"/>
                <w:b w:val="0"/>
                <w:sz w:val="18"/>
              </w:rPr>
              <w:t>Adds pantry-aware ranking and grocery guidance without overriding nutrition safety.</w:t>
            </w:r>
          </w:p>
        </w:tc>
      </w:tr>
    </w:tbl>
    <w:p/>
    <w:p>
      <w:pPr>
        <w:pStyle w:val="Heading2"/>
      </w:pPr>
      <w:r>
        <w:rPr>
          <w:rFonts w:ascii="Times New Roman" w:hAnsi="Times New Roman"/>
          <w:color w:val="2F6B3F"/>
        </w:rPr>
        <w:t>4.1.2 Nutrition Target Computation</w:t>
      </w:r>
    </w:p>
    <w:p>
      <w:pPr>
        <w:spacing w:after="120" w:line="269" w:lineRule="auto"/>
        <w:ind w:firstLine="360"/>
      </w:pPr>
      <w:r>
        <w:rPr>
          <w:rFonts w:ascii="Times New Roman" w:hAnsi="Times New Roman"/>
          <w:sz w:val="22"/>
        </w:rPr>
        <w:t>After the profile is prepared, PCOSina computes a bounded nutrition target for the primary user. The system uses the Mifflin-St Jeor style BMR computation, applies an activity multiplier to estimate TDEE, adjusts the target according to the selected weight-management goal and policy-supported wellness adjustments, and clamps the result within configured calorie limits. This makes the calorie target measurable and prevents extreme outputs.</w:t>
      </w:r>
    </w:p>
    <w:p>
      <w:pPr>
        <w:jc w:val="center"/>
      </w:pPr>
      <w:r>
        <w:drawing>
          <wp:inline xmlns:a="http://schemas.openxmlformats.org/drawingml/2006/main" xmlns:pic="http://schemas.openxmlformats.org/drawingml/2006/picture">
            <wp:extent cx="5806440" cy="2254265"/>
            <wp:docPr id="34" name="Picture 34"/>
            <wp:cNvGraphicFramePr>
              <a:graphicFrameLocks noChangeAspect="1"/>
            </wp:cNvGraphicFramePr>
            <a:graphic>
              <a:graphicData uri="http://schemas.openxmlformats.org/drawingml/2006/picture">
                <pic:pic>
                  <pic:nvPicPr>
                    <pic:cNvPr id="0" name="computation_map.png"/>
                    <pic:cNvPicPr/>
                  </pic:nvPicPr>
                  <pic:blipFill>
                    <a:blip r:embed="rId42"/>
                    <a:stretch>
                      <a:fillRect/>
                    </a:stretch>
                  </pic:blipFill>
                  <pic:spPr>
                    <a:xfrm>
                      <a:off x="0" y="0"/>
                      <a:ext cx="5806440" cy="2254265"/>
                    </a:xfrm>
                    <a:prstGeom prst="rect"/>
                  </pic:spPr>
                </pic:pic>
              </a:graphicData>
            </a:graphic>
          </wp:inline>
        </w:drawing>
      </w:r>
    </w:p>
    <w:p>
      <w:pPr>
        <w:jc w:val="center"/>
      </w:pPr>
      <w:r>
        <w:rPr>
          <w:b w:val="0"/>
          <w:i/>
          <w:sz w:val="18"/>
        </w:rPr>
        <w:t>Figure 4.4. Nutrition-target computation map derived from the current system computation documentation.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2160"/>
            <w:vAlign w:val="top"/>
            <w:shd w:fill="E2F0D9"/>
          </w:tcPr>
          <w:p>
            <w:pPr>
              <w:spacing w:after="0"/>
            </w:pPr>
            <w:r/>
            <w:r>
              <w:rPr>
                <w:rFonts w:ascii="Times New Roman" w:hAnsi="Times New Roman"/>
                <w:b/>
                <w:sz w:val="18"/>
              </w:rPr>
              <w:t>Formula</w:t>
            </w:r>
          </w:p>
        </w:tc>
        <w:tc>
          <w:tcPr>
            <w:tcW w:type="dxa" w:w="4032"/>
            <w:vAlign w:val="top"/>
            <w:shd w:fill="E2F0D9"/>
          </w:tcPr>
          <w:p>
            <w:pPr>
              <w:spacing w:after="0"/>
            </w:pPr>
            <w:r/>
            <w:r>
              <w:rPr>
                <w:rFonts w:ascii="Times New Roman" w:hAnsi="Times New Roman"/>
                <w:b/>
                <w:sz w:val="18"/>
              </w:rPr>
              <w:t>Formula / computation</w:t>
            </w:r>
          </w:p>
        </w:tc>
        <w:tc>
          <w:tcPr>
            <w:tcW w:type="dxa" w:w="3024"/>
            <w:vAlign w:val="top"/>
            <w:shd w:fill="E2F0D9"/>
          </w:tcPr>
          <w:p>
            <w:pPr>
              <w:spacing w:after="0"/>
            </w:pPr>
            <w:r/>
            <w:r>
              <w:rPr>
                <w:rFonts w:ascii="Times New Roman" w:hAnsi="Times New Roman"/>
                <w:b/>
                <w:sz w:val="18"/>
              </w:rPr>
              <w:t>Use in PCOSina</w:t>
            </w:r>
          </w:p>
        </w:tc>
      </w:tr>
      <w:tr>
        <w:tc>
          <w:tcPr>
            <w:tcW w:type="dxa" w:w="2160"/>
            <w:vAlign w:val="top"/>
          </w:tcPr>
          <w:p>
            <w:pPr>
              <w:spacing w:after="0"/>
            </w:pPr>
            <w:r/>
            <w:r>
              <w:rPr>
                <w:rFonts w:ascii="Times New Roman" w:hAnsi="Times New Roman"/>
                <w:b w:val="0"/>
                <w:sz w:val="18"/>
              </w:rPr>
              <w:t>BMI</w:t>
            </w:r>
          </w:p>
        </w:tc>
        <w:tc>
          <w:tcPr>
            <w:tcW w:type="dxa" w:w="4032"/>
            <w:vAlign w:val="top"/>
          </w:tcPr>
          <w:p>
            <w:pPr>
              <w:spacing w:after="0"/>
            </w:pPr>
            <w:r/>
            <w:r>
              <w:rPr>
                <w:rFonts w:ascii="Times New Roman" w:hAnsi="Times New Roman"/>
                <w:b w:val="0"/>
                <w:sz w:val="18"/>
              </w:rPr>
              <w:t>BMI = weightKg / (heightCm / 100)^2</w:t>
            </w:r>
          </w:p>
        </w:tc>
        <w:tc>
          <w:tcPr>
            <w:tcW w:type="dxa" w:w="3024"/>
            <w:vAlign w:val="top"/>
          </w:tcPr>
          <w:p>
            <w:pPr>
              <w:spacing w:after="0"/>
            </w:pPr>
            <w:r/>
            <w:r>
              <w:rPr>
                <w:rFonts w:ascii="Times New Roman" w:hAnsi="Times New Roman"/>
                <w:b w:val="0"/>
                <w:sz w:val="18"/>
              </w:rPr>
              <w:t>Profile display and health-context computation.</w:t>
            </w:r>
          </w:p>
        </w:tc>
      </w:tr>
      <w:tr>
        <w:tc>
          <w:tcPr>
            <w:tcW w:type="dxa" w:w="2160"/>
            <w:vAlign w:val="top"/>
          </w:tcPr>
          <w:p>
            <w:pPr>
              <w:spacing w:after="0"/>
            </w:pPr>
            <w:r/>
            <w:r>
              <w:rPr>
                <w:rFonts w:ascii="Times New Roman" w:hAnsi="Times New Roman"/>
                <w:b w:val="0"/>
                <w:sz w:val="18"/>
              </w:rPr>
              <w:t>BMR</w:t>
            </w:r>
          </w:p>
        </w:tc>
        <w:tc>
          <w:tcPr>
            <w:tcW w:type="dxa" w:w="4032"/>
            <w:vAlign w:val="top"/>
          </w:tcPr>
          <w:p>
            <w:pPr>
              <w:spacing w:after="0"/>
            </w:pPr>
            <w:r/>
            <w:r>
              <w:rPr>
                <w:rFonts w:ascii="Times New Roman" w:hAnsi="Times New Roman"/>
                <w:b w:val="0"/>
                <w:sz w:val="18"/>
              </w:rPr>
              <w:t>BMR = (10 * weightKg) + (6.25 * heightCm) - (5 * age) - 161</w:t>
            </w:r>
          </w:p>
        </w:tc>
        <w:tc>
          <w:tcPr>
            <w:tcW w:type="dxa" w:w="3024"/>
            <w:vAlign w:val="top"/>
          </w:tcPr>
          <w:p>
            <w:pPr>
              <w:spacing w:after="0"/>
            </w:pPr>
            <w:r/>
            <w:r>
              <w:rPr>
                <w:rFonts w:ascii="Times New Roman" w:hAnsi="Times New Roman"/>
                <w:b w:val="0"/>
                <w:sz w:val="18"/>
              </w:rPr>
              <w:t>Baseline energy estimate for the primary user.</w:t>
            </w:r>
          </w:p>
        </w:tc>
      </w:tr>
      <w:tr>
        <w:tc>
          <w:tcPr>
            <w:tcW w:type="dxa" w:w="2160"/>
            <w:vAlign w:val="top"/>
          </w:tcPr>
          <w:p>
            <w:pPr>
              <w:spacing w:after="0"/>
            </w:pPr>
            <w:r/>
            <w:r>
              <w:rPr>
                <w:rFonts w:ascii="Times New Roman" w:hAnsi="Times New Roman"/>
                <w:b w:val="0"/>
                <w:sz w:val="18"/>
              </w:rPr>
              <w:t>TDEE</w:t>
            </w:r>
          </w:p>
        </w:tc>
        <w:tc>
          <w:tcPr>
            <w:tcW w:type="dxa" w:w="4032"/>
            <w:vAlign w:val="top"/>
          </w:tcPr>
          <w:p>
            <w:pPr>
              <w:spacing w:after="0"/>
            </w:pPr>
            <w:r/>
            <w:r>
              <w:rPr>
                <w:rFonts w:ascii="Times New Roman" w:hAnsi="Times New Roman"/>
                <w:b w:val="0"/>
                <w:sz w:val="18"/>
              </w:rPr>
              <w:t>TDEE = int(BMR * activityMultiplier)</w:t>
            </w:r>
          </w:p>
        </w:tc>
        <w:tc>
          <w:tcPr>
            <w:tcW w:type="dxa" w:w="3024"/>
            <w:vAlign w:val="top"/>
          </w:tcPr>
          <w:p>
            <w:pPr>
              <w:spacing w:after="0"/>
            </w:pPr>
            <w:r/>
            <w:r>
              <w:rPr>
                <w:rFonts w:ascii="Times New Roman" w:hAnsi="Times New Roman"/>
                <w:b w:val="0"/>
                <w:sz w:val="18"/>
              </w:rPr>
              <w:t>Daily energy estimate before goal adjustment.</w:t>
            </w:r>
          </w:p>
        </w:tc>
      </w:tr>
      <w:tr>
        <w:tc>
          <w:tcPr>
            <w:tcW w:type="dxa" w:w="2160"/>
            <w:vAlign w:val="top"/>
          </w:tcPr>
          <w:p>
            <w:pPr>
              <w:spacing w:after="0"/>
            </w:pPr>
            <w:r/>
            <w:r>
              <w:rPr>
                <w:rFonts w:ascii="Times New Roman" w:hAnsi="Times New Roman"/>
                <w:b w:val="0"/>
                <w:sz w:val="18"/>
              </w:rPr>
              <w:t>Target calories</w:t>
            </w:r>
          </w:p>
        </w:tc>
        <w:tc>
          <w:tcPr>
            <w:tcW w:type="dxa" w:w="4032"/>
            <w:vAlign w:val="top"/>
          </w:tcPr>
          <w:p>
            <w:pPr>
              <w:spacing w:after="0"/>
            </w:pPr>
            <w:r/>
            <w:r>
              <w:rPr>
                <w:rFonts w:ascii="Times New Roman" w:hAnsi="Times New Roman"/>
                <w:b w:val="0"/>
                <w:sz w:val="18"/>
              </w:rPr>
              <w:t>TargetCalories = clamp(TDEE + goalDelta + wellnessDelta, 1200, 3200)</w:t>
            </w:r>
          </w:p>
        </w:tc>
        <w:tc>
          <w:tcPr>
            <w:tcW w:type="dxa" w:w="3024"/>
            <w:vAlign w:val="top"/>
          </w:tcPr>
          <w:p>
            <w:pPr>
              <w:spacing w:after="0"/>
            </w:pPr>
            <w:r/>
            <w:r>
              <w:rPr>
                <w:rFonts w:ascii="Times New Roman" w:hAnsi="Times New Roman"/>
                <w:b w:val="0"/>
                <w:sz w:val="18"/>
              </w:rPr>
              <w:t>Bounded calorie target used by the planner.</w:t>
            </w:r>
          </w:p>
        </w:tc>
      </w:tr>
      <w:tr>
        <w:tc>
          <w:tcPr>
            <w:tcW w:type="dxa" w:w="2160"/>
            <w:vAlign w:val="top"/>
          </w:tcPr>
          <w:p>
            <w:pPr>
              <w:spacing w:after="0"/>
            </w:pPr>
            <w:r/>
            <w:r>
              <w:rPr>
                <w:rFonts w:ascii="Times New Roman" w:hAnsi="Times New Roman"/>
                <w:b w:val="0"/>
                <w:sz w:val="18"/>
              </w:rPr>
              <w:t>Macro grams</w:t>
            </w:r>
          </w:p>
        </w:tc>
        <w:tc>
          <w:tcPr>
            <w:tcW w:type="dxa" w:w="4032"/>
            <w:vAlign w:val="top"/>
          </w:tcPr>
          <w:p>
            <w:pPr>
              <w:spacing w:after="0"/>
            </w:pPr>
            <w:r/>
            <w:r>
              <w:rPr>
                <w:rFonts w:ascii="Times New Roman" w:hAnsi="Times New Roman"/>
                <w:b w:val="0"/>
                <w:sz w:val="18"/>
              </w:rPr>
              <w:t>Protein = int(TargetCalories * proteinRatio / 4); Carbs = int(TargetCalories * carbRatio / 4); Fats = int(TargetCalories * fatRatio / 9)</w:t>
            </w:r>
          </w:p>
        </w:tc>
        <w:tc>
          <w:tcPr>
            <w:tcW w:type="dxa" w:w="3024"/>
            <w:vAlign w:val="top"/>
          </w:tcPr>
          <w:p>
            <w:pPr>
              <w:spacing w:after="0"/>
            </w:pPr>
            <w:r/>
            <w:r>
              <w:rPr>
                <w:rFonts w:ascii="Times New Roman" w:hAnsi="Times New Roman"/>
                <w:b w:val="0"/>
                <w:sz w:val="18"/>
              </w:rPr>
              <w:t>Daily macro targets are clamped to policy min/max values.</w:t>
            </w:r>
          </w:p>
        </w:tc>
      </w:tr>
      <w:tr>
        <w:tc>
          <w:tcPr>
            <w:tcW w:type="dxa" w:w="2160"/>
            <w:vAlign w:val="top"/>
          </w:tcPr>
          <w:p>
            <w:pPr>
              <w:spacing w:after="0"/>
            </w:pPr>
            <w:r/>
            <w:r>
              <w:rPr>
                <w:rFonts w:ascii="Times New Roman" w:hAnsi="Times New Roman"/>
                <w:b w:val="0"/>
                <w:sz w:val="18"/>
              </w:rPr>
              <w:t>Meal distribution</w:t>
            </w:r>
          </w:p>
        </w:tc>
        <w:tc>
          <w:tcPr>
            <w:tcW w:type="dxa" w:w="4032"/>
            <w:vAlign w:val="top"/>
          </w:tcPr>
          <w:p>
            <w:pPr>
              <w:spacing w:after="0"/>
            </w:pPr>
            <w:r/>
            <w:r>
              <w:rPr>
                <w:rFonts w:ascii="Times New Roman" w:hAnsi="Times New Roman"/>
                <w:b w:val="0"/>
                <w:sz w:val="18"/>
              </w:rPr>
              <w:t>Breakfast 30 percent; Lunch 35 percent; Dinner 35 percent</w:t>
            </w:r>
          </w:p>
        </w:tc>
        <w:tc>
          <w:tcPr>
            <w:tcW w:type="dxa" w:w="3024"/>
            <w:vAlign w:val="top"/>
          </w:tcPr>
          <w:p>
            <w:pPr>
              <w:spacing w:after="0"/>
            </w:pPr>
            <w:r/>
            <w:r>
              <w:rPr>
                <w:rFonts w:ascii="Times New Roman" w:hAnsi="Times New Roman"/>
                <w:b w:val="0"/>
                <w:sz w:val="18"/>
              </w:rPr>
              <w:t>Guides per-meal calorie balance in the solver objective.</w:t>
            </w:r>
          </w:p>
        </w:tc>
      </w:tr>
    </w:tbl>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96"/>
        <w:gridCol w:w="4896"/>
      </w:tblGrid>
      <w:tr>
        <w:tc>
          <w:tcPr>
            <w:tcW w:type="dxa" w:w="4896"/>
            <w:vAlign w:val="top"/>
            <w:shd w:fill="E2F0D9"/>
          </w:tcPr>
          <w:p>
            <w:r>
              <w:t>Computation step</w:t>
            </w:r>
          </w:p>
        </w:tc>
        <w:tc>
          <w:tcPr>
            <w:tcW w:type="dxa" w:w="4896"/>
            <w:vAlign w:val="top"/>
            <w:shd w:fill="E2F0D9"/>
          </w:tcPr>
          <w:p>
            <w:r>
              <w:t>Readable result and interpretation</w:t>
            </w:r>
          </w:p>
        </w:tc>
      </w:tr>
      <w:tr>
        <w:tc>
          <w:tcPr>
            <w:tcW w:type="dxa" w:w="4896"/>
            <w:vAlign w:val="top"/>
          </w:tcPr>
          <w:p>
            <w:r>
              <w:t>Profile used for demonstration</w:t>
            </w:r>
          </w:p>
        </w:tc>
        <w:tc>
          <w:tcPr>
            <w:tcW w:type="dxa" w:w="4896"/>
            <w:vAlign w:val="top"/>
          </w:tcPr>
          <w:p>
            <w:r>
              <w:t>Age 25, height 160 cm, weight 65 kg, activity multiplier 1.375, weight-loss goal. This is an illustrative computation, not a respondent record.</w:t>
            </w:r>
          </w:p>
        </w:tc>
      </w:tr>
      <w:tr>
        <w:tc>
          <w:tcPr>
            <w:tcW w:type="dxa" w:w="4896"/>
            <w:vAlign w:val="top"/>
          </w:tcPr>
          <w:p>
            <w:r>
              <w:t>1. BMI</w:t>
            </w:r>
          </w:p>
        </w:tc>
        <w:tc>
          <w:tcPr>
            <w:tcW w:type="dxa" w:w="4896"/>
            <w:vAlign w:val="top"/>
          </w:tcPr>
          <w:p>
            <w:r>
              <w:t>65 / (1.60^2) = 25.39. This describes weight-height context for profile display and planning context.</w:t>
            </w:r>
          </w:p>
        </w:tc>
      </w:tr>
      <w:tr>
        <w:tc>
          <w:tcPr>
            <w:tcW w:type="dxa" w:w="4896"/>
            <w:vAlign w:val="top"/>
          </w:tcPr>
          <w:p>
            <w:r>
              <w:t>2. BMR</w:t>
            </w:r>
          </w:p>
        </w:tc>
        <w:tc>
          <w:tcPr>
            <w:tcW w:type="dxa" w:w="4896"/>
            <w:vAlign w:val="top"/>
          </w:tcPr>
          <w:p>
            <w:r>
              <w:t>(10*65) + (6.25*160) - (5*25) - 161 = 1,364 kcal. This estimates baseline daily energy use.</w:t>
            </w:r>
          </w:p>
        </w:tc>
      </w:tr>
      <w:tr>
        <w:tc>
          <w:tcPr>
            <w:tcW w:type="dxa" w:w="4896"/>
            <w:vAlign w:val="top"/>
          </w:tcPr>
          <w:p>
            <w:r>
              <w:t>3. TDEE</w:t>
            </w:r>
          </w:p>
        </w:tc>
        <w:tc>
          <w:tcPr>
            <w:tcW w:type="dxa" w:w="4896"/>
            <w:vAlign w:val="top"/>
          </w:tcPr>
          <w:p>
            <w:r>
              <w:t>int(1,364 * 1.375) = 1,875 kcal. This applies the selected activity level.</w:t>
            </w:r>
          </w:p>
        </w:tc>
      </w:tr>
      <w:tr>
        <w:tc>
          <w:tcPr>
            <w:tcW w:type="dxa" w:w="4896"/>
            <w:vAlign w:val="top"/>
          </w:tcPr>
          <w:p>
            <w:r>
              <w:t>4. Goal adjustment</w:t>
            </w:r>
          </w:p>
        </w:tc>
        <w:tc>
          <w:tcPr>
            <w:tcW w:type="dxa" w:w="4896"/>
            <w:vAlign w:val="top"/>
          </w:tcPr>
          <w:p>
            <w:r>
              <w:t>1,875 - 500 = 1,375 kcal. This gives the weight-loss planning target before policy clamping.</w:t>
            </w:r>
          </w:p>
        </w:tc>
      </w:tr>
      <w:tr>
        <w:tc>
          <w:tcPr>
            <w:tcW w:type="dxa" w:w="4896"/>
            <w:vAlign w:val="top"/>
          </w:tcPr>
          <w:p>
            <w:r>
              <w:t>5. Policy clamp</w:t>
            </w:r>
          </w:p>
        </w:tc>
        <w:tc>
          <w:tcPr>
            <w:tcW w:type="dxa" w:w="4896"/>
            <w:vAlign w:val="top"/>
          </w:tcPr>
          <w:p>
            <w:r>
              <w:t>clamp(1,375, 1,200, 3,200) = 1,375 kcal. This prevents extreme calorie targets.</w:t>
            </w:r>
          </w:p>
        </w:tc>
      </w:tr>
      <w:tr>
        <w:tc>
          <w:tcPr>
            <w:tcW w:type="dxa" w:w="4896"/>
            <w:vAlign w:val="top"/>
          </w:tcPr>
          <w:p>
            <w:r>
              <w:t>6. Protein target</w:t>
            </w:r>
          </w:p>
        </w:tc>
        <w:tc>
          <w:tcPr>
            <w:tcW w:type="dxa" w:w="4896"/>
            <w:vAlign w:val="top"/>
          </w:tcPr>
          <w:p>
            <w:r>
              <w:t>int(1,375 * 0.25 / 4) = 85 g. This is the daily protein guide used in nutrition balancing.</w:t>
            </w:r>
          </w:p>
        </w:tc>
      </w:tr>
      <w:tr>
        <w:tc>
          <w:tcPr>
            <w:tcW w:type="dxa" w:w="4896"/>
            <w:vAlign w:val="top"/>
          </w:tcPr>
          <w:p>
            <w:r>
              <w:t>7. Carbohydrate target</w:t>
            </w:r>
          </w:p>
        </w:tc>
        <w:tc>
          <w:tcPr>
            <w:tcW w:type="dxa" w:w="4896"/>
            <w:vAlign w:val="top"/>
          </w:tcPr>
          <w:p>
            <w:r>
              <w:t>int(1,375 * 0.40 / 4) = 137 g. This is the daily carbohydrate guide used in nutrition balancing.</w:t>
            </w:r>
          </w:p>
        </w:tc>
      </w:tr>
      <w:tr>
        <w:tc>
          <w:tcPr>
            <w:tcW w:type="dxa" w:w="4896"/>
          </w:tcPr>
          <w:p>
            <w:r>
              <w:t>8. Fat target</w:t>
            </w:r>
          </w:p>
        </w:tc>
        <w:tc>
          <w:tcPr>
            <w:tcW w:type="dxa" w:w="4896"/>
          </w:tcPr>
          <w:p>
            <w:r>
              <w:t>int(1,375 * 0.35 / 9) = 53 g. This is the daily fat guide used in nutrition balancing.</w:t>
            </w:r>
          </w:p>
        </w:tc>
      </w:tr>
      <w:tr>
        <w:tc>
          <w:tcPr>
            <w:tcW w:type="dxa" w:w="4896"/>
          </w:tcPr>
          <w:p>
            <w:r>
              <w:t>9. Meal distribution</w:t>
            </w:r>
          </w:p>
        </w:tc>
        <w:tc>
          <w:tcPr>
            <w:tcW w:type="dxa" w:w="4896"/>
          </w:tcPr>
          <w:p>
            <w:r>
              <w:t>Breakfast about 412 kcal; lunch about 481 kcal; dinner about 481 kcal. These values guide per-meal balance rather than family-size multiplication.</w:t>
            </w:r>
          </w:p>
        </w:tc>
      </w:tr>
    </w:tbl>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Interpretation for portion control</w:t>
            </w:r>
          </w:p>
        </w:tc>
      </w:tr>
      <w:tr>
        <w:tc>
          <w:tcPr>
            <w:tcW w:type="dxa" w:w="9792"/>
            <w:vAlign w:val="top"/>
            <w:shd w:fill="F3FAF1"/>
          </w:tcPr>
          <w:p>
            <w:pPr>
              <w:spacing w:after="0"/>
            </w:pPr>
            <w:r/>
            <w:r>
              <w:rPr>
                <w:rFonts w:ascii="Times New Roman" w:hAnsi="Times New Roman"/>
                <w:b w:val="0"/>
                <w:sz w:val="20"/>
              </w:rPr>
              <w:t>In this paper section, portion control means the primary user's meal plan is computed against calorie, macro, fiber, sugar, sodium, and meal-distribution rules. It does not mean family-size multiplication or nutrition adequacy for other household members.</w:t>
            </w:r>
          </w:p>
        </w:tc>
      </w:tr>
    </w:tbl>
    <w:p/>
    <w:p>
      <w:pPr>
        <w:pStyle w:val="Heading2"/>
      </w:pPr>
      <w:r>
        <w:rPr>
          <w:rFonts w:ascii="Times New Roman" w:hAnsi="Times New Roman"/>
          <w:color w:val="2F6B3F"/>
        </w:rPr>
        <w:t>4.1.3 Candidate Filtering and Safety Rules</w:t>
      </w:r>
    </w:p>
    <w:p>
      <w:pPr>
        <w:spacing w:after="120" w:line="269" w:lineRule="auto"/>
        <w:ind w:firstLine="360"/>
      </w:pPr>
      <w:r>
        <w:rPr>
          <w:rFonts w:ascii="Times New Roman" w:hAnsi="Times New Roman"/>
          <w:sz w:val="22"/>
        </w:rPr>
        <w:t>Before optimization, recipes pass through deterministic filtering. This stage checks whether each recipe is appropriate for the requested meal slot and whether it conflicts with allergies, explicit exclusions, dietary restrictions, budget behavior, cooking-time limits, and repetition policy. Recipes that fail hard rules are removed before final planning. This is the safety layer that prevents the optimizer from considering meals that should never be returned to the user.</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Rule family</w:t>
            </w:r>
          </w:p>
        </w:tc>
        <w:tc>
          <w:tcPr>
            <w:tcW w:type="dxa" w:w="3264"/>
            <w:vAlign w:val="top"/>
            <w:shd w:fill="E2F0D9"/>
          </w:tcPr>
          <w:p>
            <w:pPr>
              <w:spacing w:after="0"/>
            </w:pPr>
            <w:r/>
            <w:r>
              <w:rPr>
                <w:rFonts w:ascii="Times New Roman" w:hAnsi="Times New Roman"/>
                <w:b/>
                <w:sz w:val="18"/>
              </w:rPr>
              <w:t>Enforcement type</w:t>
            </w:r>
          </w:p>
        </w:tc>
        <w:tc>
          <w:tcPr>
            <w:tcW w:type="dxa" w:w="3264"/>
            <w:vAlign w:val="top"/>
            <w:shd w:fill="E2F0D9"/>
          </w:tcPr>
          <w:p>
            <w:pPr>
              <w:spacing w:after="0"/>
            </w:pPr>
            <w:r/>
            <w:r>
              <w:rPr>
                <w:rFonts w:ascii="Times New Roman" w:hAnsi="Times New Roman"/>
                <w:b/>
                <w:sz w:val="18"/>
              </w:rPr>
              <w:t>Concrete effect</w:t>
            </w:r>
          </w:p>
        </w:tc>
      </w:tr>
      <w:tr>
        <w:tc>
          <w:tcPr>
            <w:tcW w:type="dxa" w:w="3264"/>
            <w:vAlign w:val="top"/>
          </w:tcPr>
          <w:p>
            <w:pPr>
              <w:spacing w:after="0"/>
            </w:pPr>
            <w:r/>
            <w:r>
              <w:rPr>
                <w:rFonts w:ascii="Times New Roman" w:hAnsi="Times New Roman"/>
                <w:b w:val="0"/>
                <w:sz w:val="18"/>
              </w:rPr>
              <w:t>Allergy and exclusion matching</w:t>
            </w:r>
          </w:p>
        </w:tc>
        <w:tc>
          <w:tcPr>
            <w:tcW w:type="dxa" w:w="3264"/>
            <w:vAlign w:val="top"/>
          </w:tcPr>
          <w:p>
            <w:pPr>
              <w:spacing w:after="0"/>
            </w:pPr>
            <w:r/>
            <w:r>
              <w:rPr>
                <w:rFonts w:ascii="Times New Roman" w:hAnsi="Times New Roman"/>
                <w:b w:val="0"/>
                <w:sz w:val="18"/>
              </w:rPr>
              <w:t>Hard filter</w:t>
            </w:r>
          </w:p>
        </w:tc>
        <w:tc>
          <w:tcPr>
            <w:tcW w:type="dxa" w:w="3264"/>
            <w:vAlign w:val="top"/>
          </w:tcPr>
          <w:p>
            <w:pPr>
              <w:spacing w:after="0"/>
            </w:pPr>
            <w:r/>
            <w:r>
              <w:rPr>
                <w:rFonts w:ascii="Times New Roman" w:hAnsi="Times New Roman"/>
                <w:b w:val="0"/>
                <w:sz w:val="18"/>
              </w:rPr>
              <w:t>Blocked recipes do not enter final candidate domains.</w:t>
            </w:r>
          </w:p>
        </w:tc>
      </w:tr>
      <w:tr>
        <w:tc>
          <w:tcPr>
            <w:tcW w:type="dxa" w:w="3264"/>
            <w:vAlign w:val="top"/>
          </w:tcPr>
          <w:p>
            <w:pPr>
              <w:spacing w:after="0"/>
            </w:pPr>
            <w:r/>
            <w:r>
              <w:rPr>
                <w:rFonts w:ascii="Times New Roman" w:hAnsi="Times New Roman"/>
                <w:b w:val="0"/>
                <w:sz w:val="18"/>
              </w:rPr>
              <w:t>Dietary restrictions</w:t>
            </w:r>
          </w:p>
        </w:tc>
        <w:tc>
          <w:tcPr>
            <w:tcW w:type="dxa" w:w="3264"/>
            <w:vAlign w:val="top"/>
          </w:tcPr>
          <w:p>
            <w:pPr>
              <w:spacing w:after="0"/>
            </w:pPr>
            <w:r/>
            <w:r>
              <w:rPr>
                <w:rFonts w:ascii="Times New Roman" w:hAnsi="Times New Roman"/>
                <w:b w:val="0"/>
                <w:sz w:val="18"/>
              </w:rPr>
              <w:t>Hard filter</w:t>
            </w:r>
          </w:p>
        </w:tc>
        <w:tc>
          <w:tcPr>
            <w:tcW w:type="dxa" w:w="3264"/>
            <w:vAlign w:val="top"/>
          </w:tcPr>
          <w:p>
            <w:pPr>
              <w:spacing w:after="0"/>
            </w:pPr>
            <w:r/>
            <w:r>
              <w:rPr>
                <w:rFonts w:ascii="Times New Roman" w:hAnsi="Times New Roman"/>
                <w:b w:val="0"/>
                <w:sz w:val="18"/>
              </w:rPr>
              <w:t>Restriction-violating candidates are removed before solver assignment.</w:t>
            </w:r>
          </w:p>
        </w:tc>
      </w:tr>
      <w:tr>
        <w:tc>
          <w:tcPr>
            <w:tcW w:type="dxa" w:w="3264"/>
            <w:vAlign w:val="top"/>
          </w:tcPr>
          <w:p>
            <w:pPr>
              <w:spacing w:after="0"/>
            </w:pPr>
            <w:r/>
            <w:r>
              <w:rPr>
                <w:rFonts w:ascii="Times New Roman" w:hAnsi="Times New Roman"/>
                <w:b w:val="0"/>
                <w:sz w:val="18"/>
              </w:rPr>
              <w:t>Budget ceiling</w:t>
            </w:r>
          </w:p>
        </w:tc>
        <w:tc>
          <w:tcPr>
            <w:tcW w:type="dxa" w:w="3264"/>
            <w:vAlign w:val="top"/>
          </w:tcPr>
          <w:p>
            <w:pPr>
              <w:spacing w:after="0"/>
            </w:pPr>
            <w:r/>
            <w:r>
              <w:rPr>
                <w:rFonts w:ascii="Times New Roman" w:hAnsi="Times New Roman"/>
                <w:b w:val="0"/>
                <w:sz w:val="18"/>
              </w:rPr>
              <w:t>Hard constraint when configured</w:t>
            </w:r>
          </w:p>
        </w:tc>
        <w:tc>
          <w:tcPr>
            <w:tcW w:type="dxa" w:w="3264"/>
            <w:vAlign w:val="top"/>
          </w:tcPr>
          <w:p>
            <w:pPr>
              <w:spacing w:after="0"/>
            </w:pPr>
            <w:r/>
            <w:r>
              <w:rPr>
                <w:rFonts w:ascii="Times New Roman" w:hAnsi="Times New Roman"/>
                <w:b w:val="0"/>
                <w:sz w:val="18"/>
              </w:rPr>
              <w:t>The total estimated weekly plan cost cannot exceed the accepted budget limit.</w:t>
            </w:r>
          </w:p>
        </w:tc>
      </w:tr>
      <w:tr>
        <w:tc>
          <w:tcPr>
            <w:tcW w:type="dxa" w:w="3264"/>
            <w:vAlign w:val="top"/>
          </w:tcPr>
          <w:p>
            <w:pPr>
              <w:spacing w:after="0"/>
            </w:pPr>
            <w:r/>
            <w:r>
              <w:rPr>
                <w:rFonts w:ascii="Times New Roman" w:hAnsi="Times New Roman"/>
                <w:b w:val="0"/>
                <w:sz w:val="18"/>
              </w:rPr>
              <w:t>Nutrition bounds</w:t>
            </w:r>
          </w:p>
        </w:tc>
        <w:tc>
          <w:tcPr>
            <w:tcW w:type="dxa" w:w="3264"/>
            <w:vAlign w:val="top"/>
          </w:tcPr>
          <w:p>
            <w:pPr>
              <w:spacing w:after="0"/>
            </w:pPr>
            <w:r/>
            <w:r>
              <w:rPr>
                <w:rFonts w:ascii="Times New Roman" w:hAnsi="Times New Roman"/>
                <w:b w:val="0"/>
                <w:sz w:val="18"/>
              </w:rPr>
              <w:t>Hard and deviation-controlled solver rules</w:t>
            </w:r>
          </w:p>
        </w:tc>
        <w:tc>
          <w:tcPr>
            <w:tcW w:type="dxa" w:w="3264"/>
            <w:vAlign w:val="top"/>
          </w:tcPr>
          <w:p>
            <w:pPr>
              <w:spacing w:after="0"/>
            </w:pPr>
            <w:r/>
            <w:r>
              <w:rPr>
                <w:rFonts w:ascii="Times New Roman" w:hAnsi="Times New Roman"/>
                <w:b w:val="0"/>
                <w:sz w:val="18"/>
              </w:rPr>
              <w:t>Daily calories and macro bounds must stay within policy limits while deviations are minimized.</w:t>
            </w:r>
          </w:p>
        </w:tc>
      </w:tr>
      <w:tr>
        <w:tc>
          <w:tcPr>
            <w:tcW w:type="dxa" w:w="3264"/>
            <w:vAlign w:val="top"/>
          </w:tcPr>
          <w:p>
            <w:pPr>
              <w:spacing w:after="0"/>
            </w:pPr>
            <w:r/>
            <w:r>
              <w:rPr>
                <w:rFonts w:ascii="Times New Roman" w:hAnsi="Times New Roman"/>
                <w:b w:val="0"/>
                <w:sz w:val="18"/>
              </w:rPr>
              <w:t>Repetition and variety</w:t>
            </w:r>
          </w:p>
        </w:tc>
        <w:tc>
          <w:tcPr>
            <w:tcW w:type="dxa" w:w="3264"/>
            <w:vAlign w:val="top"/>
          </w:tcPr>
          <w:p>
            <w:pPr>
              <w:spacing w:after="0"/>
            </w:pPr>
            <w:r/>
            <w:r>
              <w:rPr>
                <w:rFonts w:ascii="Times New Roman" w:hAnsi="Times New Roman"/>
                <w:b w:val="0"/>
                <w:sz w:val="18"/>
              </w:rPr>
              <w:t>Hard or weighted constraints</w:t>
            </w:r>
          </w:p>
        </w:tc>
        <w:tc>
          <w:tcPr>
            <w:tcW w:type="dxa" w:w="3264"/>
            <w:vAlign w:val="top"/>
          </w:tcPr>
          <w:p>
            <w:pPr>
              <w:spacing w:after="0"/>
            </w:pPr>
            <w:r/>
            <w:r>
              <w:rPr>
                <w:rFonts w:ascii="Times New Roman" w:hAnsi="Times New Roman"/>
                <w:b w:val="0"/>
                <w:sz w:val="18"/>
              </w:rPr>
              <w:t>Prevents repetitive weekly plans and improves practical usability.</w:t>
            </w:r>
          </w:p>
        </w:tc>
      </w:tr>
      <w:tr>
        <w:tc>
          <w:tcPr>
            <w:tcW w:type="dxa" w:w="3264"/>
            <w:vAlign w:val="top"/>
          </w:tcPr>
          <w:p>
            <w:pPr>
              <w:spacing w:after="0"/>
            </w:pPr>
            <w:r/>
            <w:r>
              <w:rPr>
                <w:rFonts w:ascii="Times New Roman" w:hAnsi="Times New Roman"/>
                <w:b w:val="0"/>
                <w:sz w:val="18"/>
              </w:rPr>
              <w:t>Pantry overlap</w:t>
            </w:r>
          </w:p>
        </w:tc>
        <w:tc>
          <w:tcPr>
            <w:tcW w:type="dxa" w:w="3264"/>
            <w:vAlign w:val="top"/>
          </w:tcPr>
          <w:p>
            <w:pPr>
              <w:spacing w:after="0"/>
            </w:pPr>
            <w:r/>
            <w:r>
              <w:rPr>
                <w:rFonts w:ascii="Times New Roman" w:hAnsi="Times New Roman"/>
                <w:b w:val="0"/>
                <w:sz w:val="18"/>
              </w:rPr>
              <w:t>Soft reward or thresholded planning signal</w:t>
            </w:r>
          </w:p>
        </w:tc>
        <w:tc>
          <w:tcPr>
            <w:tcW w:type="dxa" w:w="3264"/>
            <w:vAlign w:val="top"/>
          </w:tcPr>
          <w:p>
            <w:pPr>
              <w:spacing w:after="0"/>
            </w:pPr>
            <w:r/>
            <w:r>
              <w:rPr>
                <w:rFonts w:ascii="Times New Roman" w:hAnsi="Times New Roman"/>
                <w:b w:val="0"/>
                <w:sz w:val="18"/>
              </w:rPr>
              <w:t>Encourages use of available items but does not replace safety or nutrition adequacy.</w:t>
            </w:r>
          </w:p>
        </w:tc>
      </w:tr>
    </w:tbl>
    <w:p/>
    <w:p>
      <w:pPr>
        <w:pStyle w:val="Heading2"/>
      </w:pPr>
      <w:r>
        <w:rPr>
          <w:rFonts w:ascii="Times New Roman" w:hAnsi="Times New Roman"/>
          <w:color w:val="2F6B3F"/>
        </w:rPr>
        <w:t>4.1.4 Weekly Optimization Process</w:t>
      </w:r>
    </w:p>
    <w:p>
      <w:pPr>
        <w:spacing w:after="120" w:line="269" w:lineRule="auto"/>
        <w:ind w:firstLine="360"/>
      </w:pPr>
      <w:r>
        <w:rPr>
          <w:rFonts w:ascii="Times New Roman" w:hAnsi="Times New Roman"/>
          <w:sz w:val="22"/>
        </w:rPr>
        <w:t>The second stage builds a 0-1 assignment model solved through OR-Tools CP-SAT. Each decision variable represents whether a recipe is assigned to a specific weekly slot. The solver must fill the seven-day structure, usually 21 meal slots, while preserving hard constraints. The model evaluates the plan as a whole because a recipe can be acceptable alone but still make the total day or week nutritionally unbalanced.</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2160"/>
            <w:vAlign w:val="top"/>
            <w:shd w:fill="E2F0D9"/>
          </w:tcPr>
          <w:p>
            <w:pPr>
              <w:spacing w:after="0"/>
            </w:pPr>
            <w:r/>
            <w:r>
              <w:rPr>
                <w:rFonts w:ascii="Times New Roman" w:hAnsi="Times New Roman"/>
                <w:b/>
                <w:sz w:val="18"/>
              </w:rPr>
              <w:t>CP-SAT model elements</w:t>
            </w:r>
          </w:p>
        </w:tc>
        <w:tc>
          <w:tcPr>
            <w:tcW w:type="dxa" w:w="4032"/>
            <w:vAlign w:val="top"/>
            <w:shd w:fill="E2F0D9"/>
          </w:tcPr>
          <w:p>
            <w:pPr>
              <w:spacing w:after="0"/>
            </w:pPr>
            <w:r/>
            <w:r>
              <w:rPr>
                <w:rFonts w:ascii="Times New Roman" w:hAnsi="Times New Roman"/>
                <w:b/>
                <w:sz w:val="18"/>
              </w:rPr>
              <w:t>Formula / computation</w:t>
            </w:r>
          </w:p>
        </w:tc>
        <w:tc>
          <w:tcPr>
            <w:tcW w:type="dxa" w:w="3024"/>
            <w:vAlign w:val="top"/>
            <w:shd w:fill="E2F0D9"/>
          </w:tcPr>
          <w:p>
            <w:pPr>
              <w:spacing w:after="0"/>
            </w:pPr>
            <w:r/>
            <w:r>
              <w:rPr>
                <w:rFonts w:ascii="Times New Roman" w:hAnsi="Times New Roman"/>
                <w:b/>
                <w:sz w:val="18"/>
              </w:rPr>
              <w:t>Use in PCOSina</w:t>
            </w:r>
          </w:p>
        </w:tc>
      </w:tr>
      <w:tr>
        <w:tc>
          <w:tcPr>
            <w:tcW w:type="dxa" w:w="2160"/>
            <w:vAlign w:val="top"/>
          </w:tcPr>
          <w:p>
            <w:pPr>
              <w:spacing w:after="0"/>
            </w:pPr>
            <w:r/>
            <w:r>
              <w:rPr>
                <w:rFonts w:ascii="Times New Roman" w:hAnsi="Times New Roman"/>
                <w:b w:val="0"/>
                <w:sz w:val="18"/>
              </w:rPr>
              <w:t>Decision variable</w:t>
            </w:r>
          </w:p>
        </w:tc>
        <w:tc>
          <w:tcPr>
            <w:tcW w:type="dxa" w:w="4032"/>
            <w:vAlign w:val="top"/>
          </w:tcPr>
          <w:p>
            <w:pPr>
              <w:spacing w:after="0"/>
            </w:pPr>
            <w:r/>
            <w:r>
              <w:rPr>
                <w:rFonts w:ascii="Times New Roman" w:hAnsi="Times New Roman"/>
                <w:b w:val="0"/>
                <w:sz w:val="18"/>
              </w:rPr>
              <w:t>x[s,r] = 1 if recipe r is assigned to meal slot s; otherwise 0</w:t>
            </w:r>
          </w:p>
        </w:tc>
        <w:tc>
          <w:tcPr>
            <w:tcW w:type="dxa" w:w="3024"/>
            <w:vAlign w:val="top"/>
          </w:tcPr>
          <w:p>
            <w:pPr>
              <w:spacing w:after="0"/>
            </w:pPr>
            <w:r/>
            <w:r>
              <w:rPr>
                <w:rFonts w:ascii="Times New Roman" w:hAnsi="Times New Roman"/>
                <w:b w:val="0"/>
                <w:sz w:val="18"/>
              </w:rPr>
              <w:t>Defines the weekly assignment decision.</w:t>
            </w:r>
          </w:p>
        </w:tc>
      </w:tr>
      <w:tr>
        <w:tc>
          <w:tcPr>
            <w:tcW w:type="dxa" w:w="2160"/>
            <w:vAlign w:val="top"/>
          </w:tcPr>
          <w:p>
            <w:pPr>
              <w:spacing w:after="0"/>
            </w:pPr>
            <w:r/>
            <w:r>
              <w:rPr>
                <w:rFonts w:ascii="Times New Roman" w:hAnsi="Times New Roman"/>
                <w:b w:val="0"/>
                <w:sz w:val="18"/>
              </w:rPr>
              <w:t>Slot coverage</w:t>
            </w:r>
          </w:p>
        </w:tc>
        <w:tc>
          <w:tcPr>
            <w:tcW w:type="dxa" w:w="4032"/>
            <w:vAlign w:val="top"/>
          </w:tcPr>
          <w:p>
            <w:pPr>
              <w:spacing w:after="0"/>
            </w:pPr>
            <w:r/>
            <w:r>
              <w:rPr>
                <w:rFonts w:ascii="Times New Roman" w:hAnsi="Times New Roman"/>
                <w:b w:val="0"/>
                <w:sz w:val="18"/>
              </w:rPr>
              <w:t>sum_r x[s,r] = 1 for each required slot s</w:t>
            </w:r>
          </w:p>
        </w:tc>
        <w:tc>
          <w:tcPr>
            <w:tcW w:type="dxa" w:w="3024"/>
            <w:vAlign w:val="top"/>
          </w:tcPr>
          <w:p>
            <w:pPr>
              <w:spacing w:after="0"/>
            </w:pPr>
            <w:r/>
            <w:r>
              <w:rPr>
                <w:rFonts w:ascii="Times New Roman" w:hAnsi="Times New Roman"/>
                <w:b w:val="0"/>
                <w:sz w:val="18"/>
              </w:rPr>
              <w:t>Ensures every breakfast/lunch/dinner slot is filled.</w:t>
            </w:r>
          </w:p>
        </w:tc>
      </w:tr>
      <w:tr>
        <w:tc>
          <w:tcPr>
            <w:tcW w:type="dxa" w:w="2160"/>
            <w:vAlign w:val="top"/>
          </w:tcPr>
          <w:p>
            <w:pPr>
              <w:spacing w:after="0"/>
            </w:pPr>
            <w:r/>
            <w:r>
              <w:rPr>
                <w:rFonts w:ascii="Times New Roman" w:hAnsi="Times New Roman"/>
                <w:b w:val="0"/>
                <w:sz w:val="18"/>
              </w:rPr>
              <w:t>Budget rule</w:t>
            </w:r>
          </w:p>
        </w:tc>
        <w:tc>
          <w:tcPr>
            <w:tcW w:type="dxa" w:w="4032"/>
            <w:vAlign w:val="top"/>
          </w:tcPr>
          <w:p>
            <w:pPr>
              <w:spacing w:after="0"/>
            </w:pPr>
            <w:r/>
            <w:r>
              <w:rPr>
                <w:rFonts w:ascii="Times New Roman" w:hAnsi="Times New Roman"/>
                <w:b w:val="0"/>
                <w:sz w:val="18"/>
              </w:rPr>
              <w:t>totalCost &lt;= weeklyBudget when a budget is configured</w:t>
            </w:r>
          </w:p>
        </w:tc>
        <w:tc>
          <w:tcPr>
            <w:tcW w:type="dxa" w:w="3024"/>
            <w:vAlign w:val="top"/>
          </w:tcPr>
          <w:p>
            <w:pPr>
              <w:spacing w:after="0"/>
            </w:pPr>
            <w:r/>
            <w:r>
              <w:rPr>
                <w:rFonts w:ascii="Times New Roman" w:hAnsi="Times New Roman"/>
                <w:b w:val="0"/>
                <w:sz w:val="18"/>
              </w:rPr>
              <w:t>Keeps cost ceilings as hard constraints.</w:t>
            </w:r>
          </w:p>
        </w:tc>
      </w:tr>
      <w:tr>
        <w:tc>
          <w:tcPr>
            <w:tcW w:type="dxa" w:w="2160"/>
            <w:vAlign w:val="top"/>
          </w:tcPr>
          <w:p>
            <w:pPr>
              <w:spacing w:after="0"/>
            </w:pPr>
            <w:r/>
            <w:r>
              <w:rPr>
                <w:rFonts w:ascii="Times New Roman" w:hAnsi="Times New Roman"/>
                <w:b w:val="0"/>
                <w:sz w:val="18"/>
              </w:rPr>
              <w:t>Daily nutrition</w:t>
            </w:r>
          </w:p>
        </w:tc>
        <w:tc>
          <w:tcPr>
            <w:tcW w:type="dxa" w:w="4032"/>
            <w:vAlign w:val="top"/>
          </w:tcPr>
          <w:p>
            <w:pPr>
              <w:spacing w:after="0"/>
            </w:pPr>
            <w:r/>
            <w:r>
              <w:rPr>
                <w:rFonts w:ascii="Times New Roman" w:hAnsi="Times New Roman"/>
                <w:b w:val="0"/>
                <w:sz w:val="18"/>
              </w:rPr>
              <w:t>calorieMin &lt;= dailyCalories &lt;= calorieMax; macro lower &lt;= dailyMacro &lt;= macro upper</w:t>
            </w:r>
          </w:p>
        </w:tc>
        <w:tc>
          <w:tcPr>
            <w:tcW w:type="dxa" w:w="3024"/>
            <w:vAlign w:val="top"/>
          </w:tcPr>
          <w:p>
            <w:pPr>
              <w:spacing w:after="0"/>
            </w:pPr>
            <w:r/>
            <w:r>
              <w:rPr>
                <w:rFonts w:ascii="Times New Roman" w:hAnsi="Times New Roman"/>
                <w:b w:val="0"/>
                <w:sz w:val="18"/>
              </w:rPr>
              <w:t>Preserves nutrition adequacy and bounded deviations.</w:t>
            </w:r>
          </w:p>
        </w:tc>
      </w:tr>
      <w:tr>
        <w:tc>
          <w:tcPr>
            <w:tcW w:type="dxa" w:w="2160"/>
            <w:vAlign w:val="top"/>
          </w:tcPr>
          <w:p>
            <w:pPr>
              <w:spacing w:after="0"/>
            </w:pPr>
            <w:r/>
            <w:r>
              <w:rPr>
                <w:rFonts w:ascii="Times New Roman" w:hAnsi="Times New Roman"/>
                <w:b w:val="0"/>
                <w:sz w:val="18"/>
              </w:rPr>
              <w:t>Fiber/sugar/sodium</w:t>
            </w:r>
          </w:p>
        </w:tc>
        <w:tc>
          <w:tcPr>
            <w:tcW w:type="dxa" w:w="4032"/>
            <w:vAlign w:val="top"/>
          </w:tcPr>
          <w:p>
            <w:pPr>
              <w:spacing w:after="0"/>
            </w:pPr>
            <w:r/>
            <w:r>
              <w:rPr>
                <w:rFonts w:ascii="Times New Roman" w:hAnsi="Times New Roman"/>
                <w:b w:val="0"/>
                <w:sz w:val="18"/>
              </w:rPr>
              <w:t>dailyFiber &gt;= fiberMin; sugar and sodium overage variables are penalized</w:t>
            </w:r>
          </w:p>
        </w:tc>
        <w:tc>
          <w:tcPr>
            <w:tcW w:type="dxa" w:w="3024"/>
            <w:vAlign w:val="top"/>
          </w:tcPr>
          <w:p>
            <w:pPr>
              <w:spacing w:after="0"/>
            </w:pPr>
            <w:r/>
            <w:r>
              <w:rPr>
                <w:rFonts w:ascii="Times New Roman" w:hAnsi="Times New Roman"/>
                <w:b w:val="0"/>
                <w:sz w:val="18"/>
              </w:rPr>
              <w:t>Keeps nutrition quality visible even when advisory nutrients require slack.</w:t>
            </w:r>
          </w:p>
        </w:tc>
      </w:tr>
      <w:tr>
        <w:tc>
          <w:tcPr>
            <w:tcW w:type="dxa" w:w="2160"/>
            <w:vAlign w:val="top"/>
          </w:tcPr>
          <w:p>
            <w:pPr>
              <w:spacing w:after="0"/>
            </w:pPr>
            <w:r/>
            <w:r>
              <w:rPr>
                <w:rFonts w:ascii="Times New Roman" w:hAnsi="Times New Roman"/>
                <w:b w:val="0"/>
                <w:sz w:val="18"/>
              </w:rPr>
              <w:t>Objective</w:t>
            </w:r>
          </w:p>
        </w:tc>
        <w:tc>
          <w:tcPr>
            <w:tcW w:type="dxa" w:w="4032"/>
            <w:vAlign w:val="top"/>
          </w:tcPr>
          <w:p>
            <w:pPr>
              <w:spacing w:after="0"/>
            </w:pPr>
            <w:r/>
            <w:r>
              <w:rPr>
                <w:rFonts w:ascii="Times New Roman" w:hAnsi="Times New Roman"/>
                <w:b w:val="0"/>
                <w:sz w:val="18"/>
              </w:rPr>
              <w:t>Minimize nutrition deviation, meal calorie error, repetition/group penalties, cost pressure, and selected slacks; reward pantry overlap</w:t>
            </w:r>
          </w:p>
        </w:tc>
        <w:tc>
          <w:tcPr>
            <w:tcW w:type="dxa" w:w="3024"/>
            <w:vAlign w:val="top"/>
          </w:tcPr>
          <w:p>
            <w:pPr>
              <w:spacing w:after="0"/>
            </w:pPr>
            <w:r/>
            <w:r>
              <w:rPr>
                <w:rFonts w:ascii="Times New Roman" w:hAnsi="Times New Roman"/>
                <w:b w:val="0"/>
                <w:sz w:val="18"/>
              </w:rPr>
              <w:t>Balances feasible plans without allowing soft goals to override hard rules.</w:t>
            </w:r>
          </w:p>
        </w:tc>
      </w:tr>
    </w:tbl>
    <w:p/>
    <w:p>
      <w:pPr>
        <w:pStyle w:val="Heading2"/>
      </w:pPr>
      <w:r>
        <w:rPr>
          <w:rFonts w:ascii="Times New Roman" w:hAnsi="Times New Roman"/>
          <w:color w:val="2F6B3F"/>
        </w:rPr>
        <w:t>4.1.5 Generated Outputs and Validation Evidence</w:t>
      </w:r>
    </w:p>
    <w:p>
      <w:pPr>
        <w:spacing w:after="120" w:line="269" w:lineRule="auto"/>
        <w:ind w:firstLine="360"/>
      </w:pPr>
      <w:r>
        <w:rPr>
          <w:rFonts w:ascii="Times New Roman" w:hAnsi="Times New Roman"/>
          <w:sz w:val="22"/>
        </w:rPr>
        <w:t>When the solver succeeds, the backend returns a structured seven-day plan with meal schedules, nutrition summaries, estimated weekly cost, explanation values, pantry-aware indicators, and grocery guidance. If no complete safe plan is possible, the system returns structured no-safe-plan feedback rather than forcing a recommendation. This behavior is critical because a decision-support system must be allowed to reject infeasible input combinations.</w:t>
      </w:r>
    </w:p>
    <w:p>
      <w:pPr>
        <w:jc w:val="center"/>
      </w:pPr>
      <w:r>
        <w:drawing>
          <wp:inline xmlns:a="http://schemas.openxmlformats.org/drawingml/2006/main" xmlns:pic="http://schemas.openxmlformats.org/drawingml/2006/picture">
            <wp:extent cx="5806440" cy="3329026"/>
            <wp:docPr id="30" name="Picture 30"/>
            <wp:cNvGraphicFramePr>
              <a:graphicFrameLocks noChangeAspect="1"/>
            </wp:cNvGraphicFramePr>
            <a:graphic>
              <a:graphicData uri="http://schemas.openxmlformats.org/drawingml/2006/picture">
                <pic:pic>
                  <pic:nvPicPr>
                    <pic:cNvPr id="0" name="placeholder_mealplan.png"/>
                    <pic:cNvPicPr/>
                  </pic:nvPicPr>
                  <pic:blipFill>
                    <a:blip r:embed="rId38"/>
                    <a:stretch>
                      <a:fillRect/>
                    </a:stretch>
                  </pic:blipFill>
                  <pic:spPr>
                    <a:xfrm>
                      <a:off x="0" y="0"/>
                      <a:ext cx="5806440" cy="3329026"/>
                    </a:xfrm>
                    <a:prstGeom prst="rect"/>
                  </pic:spPr>
                </pic:pic>
              </a:graphicData>
            </a:graphic>
          </wp:inline>
        </w:drawing>
      </w:r>
    </w:p>
    <w:p>
      <w:pPr>
        <w:jc w:val="center"/>
      </w:pPr>
      <w:r>
        <w:rPr>
          <w:b w:val="0"/>
          <w:i/>
          <w:sz w:val="18"/>
        </w:rPr>
        <w:t>Figure 4.5. Placeholder for updated app screenshot: weekly meal-plan output screen.</w:t>
      </w:r>
    </w:p>
    <w:p>
      <w:pPr>
        <w:jc w:val="center"/>
      </w:pPr>
      <w:r>
        <w:drawing>
          <wp:inline xmlns:a="http://schemas.openxmlformats.org/drawingml/2006/main" xmlns:pic="http://schemas.openxmlformats.org/drawingml/2006/picture">
            <wp:extent cx="5303520" cy="2757830"/>
            <wp:docPr id="5" name="Picture 5"/>
            <wp:cNvGraphicFramePr>
              <a:graphicFrameLocks noChangeAspect="1"/>
            </wp:cNvGraphicFramePr>
            <a:graphic>
              <a:graphicData uri="http://schemas.openxmlformats.org/drawingml/2006/picture">
                <pic:pic>
                  <pic:nvPicPr>
                    <pic:cNvPr id="0" name="runtime_chart.png"/>
                    <pic:cNvPicPr/>
                  </pic:nvPicPr>
                  <pic:blipFill>
                    <a:blip r:embed="rId13"/>
                    <a:stretch>
                      <a:fillRect/>
                    </a:stretch>
                  </pic:blipFill>
                  <pic:spPr>
                    <a:xfrm>
                      <a:off x="0" y="0"/>
                      <a:ext cx="5303520" cy="2757830"/>
                    </a:xfrm>
                    <a:prstGeom prst="rect"/>
                  </pic:spPr>
                </pic:pic>
              </a:graphicData>
            </a:graphic>
          </wp:inline>
        </w:drawing>
      </w:r>
    </w:p>
    <w:p>
      <w:pPr>
        <w:jc w:val="center"/>
      </w:pPr>
      <w:r>
        <w:rPr>
          <w:b w:val="0"/>
          <w:i/>
          <w:sz w:val="18"/>
        </w:rPr>
        <w:t>Figure 4.6. Final runtime evidence for weekly planning.</w:t>
      </w:r>
    </w:p>
    <w:p>
      <w:pPr>
        <w:jc w:val="center"/>
      </w:pPr>
      <w:r>
        <w:drawing>
          <wp:inline xmlns:a="http://schemas.openxmlformats.org/drawingml/2006/main" xmlns:pic="http://schemas.openxmlformats.org/drawingml/2006/picture">
            <wp:extent cx="5303520" cy="3093720"/>
            <wp:docPr id="6" name="Picture 6"/>
            <wp:cNvGraphicFramePr>
              <a:graphicFrameLocks noChangeAspect="1"/>
            </wp:cNvGraphicFramePr>
            <a:graphic>
              <a:graphicData uri="http://schemas.openxmlformats.org/drawingml/2006/picture">
                <pic:pic>
                  <pic:nvPicPr>
                    <pic:cNvPr id="0" name="figure_18_planner_runtime_optimization_progression.png"/>
                    <pic:cNvPicPr/>
                  </pic:nvPicPr>
                  <pic:blipFill>
                    <a:blip r:embed="rId14"/>
                    <a:stretch>
                      <a:fillRect/>
                    </a:stretch>
                  </pic:blipFill>
                  <pic:spPr>
                    <a:xfrm>
                      <a:off x="0" y="0"/>
                      <a:ext cx="5303520" cy="3093720"/>
                    </a:xfrm>
                    <a:prstGeom prst="rect"/>
                  </pic:spPr>
                </pic:pic>
              </a:graphicData>
            </a:graphic>
          </wp:inline>
        </w:drawing>
      </w:r>
    </w:p>
    <w:p>
      <w:pPr>
        <w:jc w:val="center"/>
      </w:pPr>
      <w:r>
        <w:rPr>
          <w:b w:val="0"/>
          <w:i/>
          <w:sz w:val="18"/>
        </w:rPr>
        <w:t>Figure 4.7. Planner runtime optimization progression from Chapter 4 assets.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Validation item</w:t>
            </w:r>
          </w:p>
        </w:tc>
        <w:tc>
          <w:tcPr>
            <w:tcW w:type="dxa" w:w="3264"/>
            <w:vAlign w:val="top"/>
            <w:shd w:fill="E2F0D9"/>
          </w:tcPr>
          <w:p>
            <w:pPr>
              <w:spacing w:after="0"/>
            </w:pPr>
            <w:r/>
            <w:r>
              <w:rPr>
                <w:rFonts w:ascii="Times New Roman" w:hAnsi="Times New Roman"/>
                <w:b/>
                <w:sz w:val="18"/>
              </w:rPr>
              <w:t>Reported result</w:t>
            </w:r>
          </w:p>
        </w:tc>
        <w:tc>
          <w:tcPr>
            <w:tcW w:type="dxa" w:w="3264"/>
            <w:vAlign w:val="top"/>
            <w:shd w:fill="E2F0D9"/>
          </w:tcPr>
          <w:p>
            <w:pPr>
              <w:spacing w:after="0"/>
            </w:pPr>
            <w:r/>
            <w:r>
              <w:rPr>
                <w:rFonts w:ascii="Times New Roman" w:hAnsi="Times New Roman"/>
                <w:b/>
                <w:sz w:val="18"/>
              </w:rPr>
              <w:t>Meaning for SOP 1</w:t>
            </w:r>
          </w:p>
        </w:tc>
      </w:tr>
      <w:tr>
        <w:tc>
          <w:tcPr>
            <w:tcW w:type="dxa" w:w="3264"/>
            <w:vAlign w:val="top"/>
          </w:tcPr>
          <w:p>
            <w:pPr>
              <w:spacing w:after="0"/>
            </w:pPr>
            <w:r/>
            <w:r>
              <w:rPr>
                <w:rFonts w:ascii="Times New Roman" w:hAnsi="Times New Roman"/>
                <w:b w:val="0"/>
                <w:sz w:val="18"/>
              </w:rPr>
              <w:t>Weekly plan structure</w:t>
            </w:r>
          </w:p>
        </w:tc>
        <w:tc>
          <w:tcPr>
            <w:tcW w:type="dxa" w:w="3264"/>
            <w:vAlign w:val="top"/>
          </w:tcPr>
          <w:p>
            <w:pPr>
              <w:spacing w:after="0"/>
            </w:pPr>
            <w:r/>
            <w:r>
              <w:rPr>
                <w:rFonts w:ascii="Times New Roman" w:hAnsi="Times New Roman"/>
                <w:b w:val="0"/>
                <w:sz w:val="18"/>
              </w:rPr>
              <w:t>100/100 final benchmark runs produced complete 21-slot plans.</w:t>
            </w:r>
          </w:p>
        </w:tc>
        <w:tc>
          <w:tcPr>
            <w:tcW w:type="dxa" w:w="3264"/>
            <w:vAlign w:val="top"/>
          </w:tcPr>
          <w:p>
            <w:pPr>
              <w:spacing w:after="0"/>
            </w:pPr>
            <w:r/>
            <w:r>
              <w:rPr>
                <w:rFonts w:ascii="Times New Roman" w:hAnsi="Times New Roman"/>
                <w:b w:val="0"/>
                <w:sz w:val="18"/>
              </w:rPr>
              <w:t>The system produced complete weekly schedules under tested profiles.</w:t>
            </w:r>
          </w:p>
        </w:tc>
      </w:tr>
      <w:tr>
        <w:tc>
          <w:tcPr>
            <w:tcW w:type="dxa" w:w="3264"/>
            <w:vAlign w:val="top"/>
          </w:tcPr>
          <w:p>
            <w:pPr>
              <w:spacing w:after="0"/>
            </w:pPr>
            <w:r/>
            <w:r>
              <w:rPr>
                <w:rFonts w:ascii="Times New Roman" w:hAnsi="Times New Roman"/>
                <w:b w:val="0"/>
                <w:sz w:val="18"/>
              </w:rPr>
              <w:t>Hard-rule violations</w:t>
            </w:r>
          </w:p>
        </w:tc>
        <w:tc>
          <w:tcPr>
            <w:tcW w:type="dxa" w:w="3264"/>
            <w:vAlign w:val="top"/>
          </w:tcPr>
          <w:p>
            <w:pPr>
              <w:spacing w:after="0"/>
            </w:pPr>
            <w:r/>
            <w:r>
              <w:rPr>
                <w:rFonts w:ascii="Times New Roman" w:hAnsi="Times New Roman"/>
                <w:b w:val="0"/>
                <w:sz w:val="18"/>
              </w:rPr>
              <w:t>0 hard-rule violations.</w:t>
            </w:r>
          </w:p>
        </w:tc>
        <w:tc>
          <w:tcPr>
            <w:tcW w:type="dxa" w:w="3264"/>
            <w:vAlign w:val="top"/>
          </w:tcPr>
          <w:p>
            <w:pPr>
              <w:spacing w:after="0"/>
            </w:pPr>
            <w:r/>
            <w:r>
              <w:rPr>
                <w:rFonts w:ascii="Times New Roman" w:hAnsi="Times New Roman"/>
                <w:b w:val="0"/>
                <w:sz w:val="18"/>
              </w:rPr>
              <w:t>All tested final outputs preserved configured hard constraints.</w:t>
            </w:r>
          </w:p>
        </w:tc>
      </w:tr>
      <w:tr>
        <w:tc>
          <w:tcPr>
            <w:tcW w:type="dxa" w:w="3264"/>
            <w:vAlign w:val="top"/>
          </w:tcPr>
          <w:p>
            <w:pPr>
              <w:spacing w:after="0"/>
            </w:pPr>
            <w:r/>
            <w:r>
              <w:rPr>
                <w:rFonts w:ascii="Times New Roman" w:hAnsi="Times New Roman"/>
                <w:b w:val="0"/>
                <w:sz w:val="18"/>
              </w:rPr>
              <w:t>Nutrition feasibility</w:t>
            </w:r>
          </w:p>
        </w:tc>
        <w:tc>
          <w:tcPr>
            <w:tcW w:type="dxa" w:w="3264"/>
            <w:vAlign w:val="top"/>
          </w:tcPr>
          <w:p>
            <w:pPr>
              <w:spacing w:after="0"/>
            </w:pPr>
            <w:r/>
            <w:r>
              <w:rPr>
                <w:rFonts w:ascii="Times New Roman" w:hAnsi="Times New Roman"/>
                <w:b w:val="0"/>
                <w:sz w:val="18"/>
              </w:rPr>
              <w:t>Passed in 100/100 final benchmark runs.</w:t>
            </w:r>
          </w:p>
        </w:tc>
        <w:tc>
          <w:tcPr>
            <w:tcW w:type="dxa" w:w="3264"/>
            <w:vAlign w:val="top"/>
          </w:tcPr>
          <w:p>
            <w:pPr>
              <w:spacing w:after="0"/>
            </w:pPr>
            <w:r/>
            <w:r>
              <w:rPr>
                <w:rFonts w:ascii="Times New Roman" w:hAnsi="Times New Roman"/>
                <w:b w:val="0"/>
                <w:sz w:val="18"/>
              </w:rPr>
              <w:t>The final plans satisfied the tested nutrition feasibility checks.</w:t>
            </w:r>
          </w:p>
        </w:tc>
      </w:tr>
      <w:tr>
        <w:tc>
          <w:tcPr>
            <w:tcW w:type="dxa" w:w="3264"/>
            <w:vAlign w:val="top"/>
          </w:tcPr>
          <w:p>
            <w:pPr>
              <w:spacing w:after="0"/>
            </w:pPr>
            <w:r/>
            <w:r>
              <w:rPr>
                <w:rFonts w:ascii="Times New Roman" w:hAnsi="Times New Roman"/>
                <w:b w:val="0"/>
                <w:sz w:val="18"/>
              </w:rPr>
              <w:t>Runtime</w:t>
            </w:r>
          </w:p>
        </w:tc>
        <w:tc>
          <w:tcPr>
            <w:tcW w:type="dxa" w:w="3264"/>
            <w:vAlign w:val="top"/>
          </w:tcPr>
          <w:p>
            <w:pPr>
              <w:spacing w:after="0"/>
            </w:pPr>
            <w:r/>
            <w:r>
              <w:rPr>
                <w:rFonts w:ascii="Times New Roman" w:hAnsi="Times New Roman"/>
                <w:b w:val="0"/>
                <w:sz w:val="18"/>
              </w:rPr>
              <w:t>Average 257 ms, P95 313 ms, maximum 357 ms.</w:t>
            </w:r>
          </w:p>
        </w:tc>
        <w:tc>
          <w:tcPr>
            <w:tcW w:type="dxa" w:w="3264"/>
            <w:vAlign w:val="top"/>
          </w:tcPr>
          <w:p>
            <w:pPr>
              <w:spacing w:after="0"/>
            </w:pPr>
            <w:r/>
            <w:r>
              <w:rPr>
                <w:rFonts w:ascii="Times New Roman" w:hAnsi="Times New Roman"/>
                <w:b w:val="0"/>
                <w:sz w:val="18"/>
              </w:rPr>
              <w:t>The tested planner path was computationally practical.</w:t>
            </w:r>
          </w:p>
        </w:tc>
      </w:tr>
    </w:tbl>
    <w:p/>
    <w:p>
      <w:pPr>
        <w:pStyle w:val="Heading1"/>
      </w:pPr>
      <w:r>
        <w:rPr>
          <w:rFonts w:ascii="Times New Roman" w:hAnsi="Times New Roman"/>
          <w:color w:val="2F6B3F"/>
        </w:rPr>
        <w:t>4.2 Integration of Preferences, Filipino Food Practices, and Dietary Restrictions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Revised SOP 2 question</w:t>
            </w:r>
          </w:p>
        </w:tc>
      </w:tr>
      <w:tr>
        <w:tc>
          <w:tcPr>
            <w:tcW w:type="dxa" w:w="9792"/>
            <w:vAlign w:val="top"/>
            <w:shd w:fill="F3FAF1"/>
          </w:tcPr>
          <w:p>
            <w:pPr>
              <w:spacing w:after="0"/>
            </w:pPr>
            <w:r/>
            <w:r>
              <w:rPr>
                <w:rFonts w:ascii="Times New Roman" w:hAnsi="Times New Roman"/>
                <w:b w:val="0"/>
                <w:sz w:val="20"/>
              </w:rPr>
              <w:t>How can user preferences, Filipino food practices, and dietary restrictions be effectively integrated into a personalized meal-planning algorithm for individuals with PCOS?</w:t>
            </w:r>
          </w:p>
        </w:tc>
      </w:tr>
    </w:tbl>
    <w:p/>
    <w:p>
      <w:pPr>
        <w:jc w:val="center"/>
      </w:pPr>
      <w:r>
        <w:drawing>
          <wp:inline xmlns:a="http://schemas.openxmlformats.org/drawingml/2006/main" xmlns:pic="http://schemas.openxmlformats.org/drawingml/2006/picture">
            <wp:extent cx="5760720" cy="1664208"/>
            <wp:docPr id="7" name="Picture 7"/>
            <wp:cNvGraphicFramePr>
              <a:graphicFrameLocks noChangeAspect="1"/>
            </wp:cNvGraphicFramePr>
            <a:graphic>
              <a:graphicData uri="http://schemas.openxmlformats.org/drawingml/2006/picture">
                <pic:pic>
                  <pic:nvPicPr>
                    <pic:cNvPr id="0" name="sop2_flow.png"/>
                    <pic:cNvPicPr/>
                  </pic:nvPicPr>
                  <pic:blipFill>
                    <a:blip r:embed="rId15"/>
                    <a:stretch>
                      <a:fillRect/>
                    </a:stretch>
                  </pic:blipFill>
                  <pic:spPr>
                    <a:xfrm>
                      <a:off x="0" y="0"/>
                      <a:ext cx="5760720" cy="1664208"/>
                    </a:xfrm>
                    <a:prstGeom prst="rect"/>
                  </pic:spPr>
                </pic:pic>
              </a:graphicData>
            </a:graphic>
          </wp:inline>
        </w:drawing>
      </w:r>
    </w:p>
    <w:p>
      <w:pPr>
        <w:jc w:val="center"/>
      </w:pPr>
      <w:r>
        <w:rPr>
          <w:b w:val="0"/>
          <w:i/>
          <w:sz w:val="18"/>
        </w:rPr>
        <w:t>Figure 4.8. Process flow for SOP 2 personalization and restriction enforcement.</w:t>
      </w:r>
    </w:p>
    <w:p>
      <w:pPr>
        <w:jc w:val="center"/>
      </w:pPr>
      <w:r>
        <w:drawing>
          <wp:inline xmlns:a="http://schemas.openxmlformats.org/drawingml/2006/main" xmlns:pic="http://schemas.openxmlformats.org/drawingml/2006/picture">
            <wp:extent cx="5806440" cy="3329026"/>
            <wp:docPr id="31" name="Picture 31"/>
            <wp:cNvGraphicFramePr>
              <a:graphicFrameLocks noChangeAspect="1"/>
            </wp:cNvGraphicFramePr>
            <a:graphic>
              <a:graphicData uri="http://schemas.openxmlformats.org/drawingml/2006/picture">
                <pic:pic>
                  <pic:nvPicPr>
                    <pic:cNvPr id="0" name="placeholder_profile.png"/>
                    <pic:cNvPicPr/>
                  </pic:nvPicPr>
                  <pic:blipFill>
                    <a:blip r:embed="rId39"/>
                    <a:stretch>
                      <a:fillRect/>
                    </a:stretch>
                  </pic:blipFill>
                  <pic:spPr>
                    <a:xfrm>
                      <a:off x="0" y="0"/>
                      <a:ext cx="5806440" cy="3329026"/>
                    </a:xfrm>
                    <a:prstGeom prst="rect"/>
                  </pic:spPr>
                </pic:pic>
              </a:graphicData>
            </a:graphic>
          </wp:inline>
        </w:drawing>
      </w:r>
    </w:p>
    <w:p>
      <w:pPr>
        <w:jc w:val="center"/>
      </w:pPr>
      <w:r>
        <w:rPr>
          <w:b w:val="0"/>
          <w:i/>
          <w:sz w:val="18"/>
        </w:rPr>
        <w:t>Figure 4.9. Placeholder for updated app screenshot: profile, preference, restriction, and pantry input screen.</w:t>
      </w:r>
    </w:p>
    <w:p>
      <w:pPr>
        <w:pStyle w:val="Heading2"/>
      </w:pPr>
      <w:r>
        <w:rPr>
          <w:rFonts w:ascii="Times New Roman" w:hAnsi="Times New Roman"/>
          <w:color w:val="2F6B3F"/>
        </w:rPr>
        <w:t>4.2.1 Preference and Restriction Input Capture</w:t>
      </w:r>
    </w:p>
    <w:p>
      <w:pPr>
        <w:spacing w:after="120" w:line="269" w:lineRule="auto"/>
        <w:ind w:firstLine="360"/>
      </w:pPr>
      <w:r>
        <w:rPr>
          <w:rFonts w:ascii="Times New Roman" w:hAnsi="Times New Roman"/>
          <w:sz w:val="22"/>
        </w:rPr>
        <w:t>Preference integration begins before meal generation. The user provides food preferences, dietary restrictions, allergies, explicit exclusions, cooking-time preference, budget behavior, variety preference, and pantry context. The system must capture these inputs early because they affect candidate eligibility and not merely the appearance of the final output.</w:t>
      </w:r>
    </w:p>
    <w:p>
      <w:pPr>
        <w:spacing w:after="120" w:line="269" w:lineRule="auto"/>
        <w:ind w:firstLine="360"/>
      </w:pPr>
      <w:r>
        <w:rPr>
          <w:rFonts w:ascii="Times New Roman" w:hAnsi="Times New Roman"/>
          <w:sz w:val="22"/>
        </w:rPr>
        <w:t>The important design decision is the separation between hard restrictions and soft preferences. Allergies, explicit exclusions, and mandatory restrictions are hard. Familiar Filipino dishes, preparation time, pantry overlap, and variety are preference or optimization signals. This separation allows personalization while protecting user safety.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User input</w:t>
            </w:r>
          </w:p>
        </w:tc>
        <w:tc>
          <w:tcPr>
            <w:tcW w:type="dxa" w:w="3264"/>
            <w:vAlign w:val="top"/>
            <w:shd w:fill="E2F0D9"/>
          </w:tcPr>
          <w:p>
            <w:pPr>
              <w:spacing w:after="0"/>
            </w:pPr>
            <w:r/>
            <w:r>
              <w:rPr>
                <w:rFonts w:ascii="Times New Roman" w:hAnsi="Times New Roman"/>
                <w:b/>
                <w:sz w:val="18"/>
              </w:rPr>
              <w:t>Planner interpretation</w:t>
            </w:r>
          </w:p>
        </w:tc>
        <w:tc>
          <w:tcPr>
            <w:tcW w:type="dxa" w:w="3264"/>
            <w:vAlign w:val="top"/>
            <w:shd w:fill="E2F0D9"/>
          </w:tcPr>
          <w:p>
            <w:pPr/>
            <w:r>
              <w:rPr>
                <w:b w:val="0"/>
                <w:i w:val="0"/>
              </w:rPr>
              <w:t>Paper-ready interpretation</w:t>
            </w:r>
          </w:p>
        </w:tc>
      </w:tr>
      <w:tr>
        <w:tc>
          <w:tcPr>
            <w:tcW w:type="dxa" w:w="3264"/>
            <w:vAlign w:val="top"/>
          </w:tcPr>
          <w:p>
            <w:pPr>
              <w:spacing w:after="0"/>
            </w:pPr>
            <w:r/>
            <w:r>
              <w:rPr>
                <w:rFonts w:ascii="Times New Roman" w:hAnsi="Times New Roman"/>
                <w:b w:val="0"/>
                <w:sz w:val="18"/>
              </w:rPr>
              <w:t>Allergy or explicit exclusion</w:t>
            </w:r>
          </w:p>
        </w:tc>
        <w:tc>
          <w:tcPr>
            <w:tcW w:type="dxa" w:w="3264"/>
            <w:vAlign w:val="top"/>
          </w:tcPr>
          <w:p>
            <w:pPr>
              <w:spacing w:after="0"/>
            </w:pPr>
            <w:r/>
            <w:r>
              <w:rPr>
                <w:rFonts w:ascii="Times New Roman" w:hAnsi="Times New Roman"/>
                <w:b w:val="0"/>
                <w:sz w:val="18"/>
              </w:rPr>
              <w:t>Hard removal from candidate pool</w:t>
            </w:r>
          </w:p>
        </w:tc>
        <w:tc>
          <w:tcPr>
            <w:tcW w:type="dxa" w:w="3264"/>
            <w:vAlign w:val="top"/>
          </w:tcPr>
          <w:p>
            <w:pPr>
              <w:spacing w:after="0"/>
            </w:pPr>
            <w:r/>
            <w:r>
              <w:rPr>
                <w:rFonts w:ascii="Times New Roman" w:hAnsi="Times New Roman"/>
                <w:b w:val="0"/>
                <w:sz w:val="18"/>
              </w:rPr>
              <w:t>The system must not return recipes containing declared forbidden ingredients.</w:t>
            </w:r>
          </w:p>
        </w:tc>
      </w:tr>
      <w:tr>
        <w:tc>
          <w:tcPr>
            <w:tcW w:type="dxa" w:w="3264"/>
            <w:vAlign w:val="top"/>
          </w:tcPr>
          <w:p>
            <w:pPr>
              <w:spacing w:after="0"/>
            </w:pPr>
            <w:r/>
            <w:r>
              <w:rPr>
                <w:rFonts w:ascii="Times New Roman" w:hAnsi="Times New Roman"/>
                <w:b w:val="0"/>
                <w:sz w:val="18"/>
              </w:rPr>
              <w:t>Dietary restriction</w:t>
            </w:r>
          </w:p>
        </w:tc>
        <w:tc>
          <w:tcPr>
            <w:tcW w:type="dxa" w:w="3264"/>
            <w:vAlign w:val="top"/>
          </w:tcPr>
          <w:p>
            <w:pPr>
              <w:spacing w:after="0"/>
            </w:pPr>
            <w:r/>
            <w:r>
              <w:rPr>
                <w:rFonts w:ascii="Times New Roman" w:hAnsi="Times New Roman"/>
                <w:b w:val="0"/>
                <w:sz w:val="18"/>
              </w:rPr>
              <w:t>Hard compatibility check</w:t>
            </w:r>
          </w:p>
        </w:tc>
        <w:tc>
          <w:tcPr>
            <w:tcW w:type="dxa" w:w="3264"/>
            <w:vAlign w:val="top"/>
          </w:tcPr>
          <w:p>
            <w:pPr>
              <w:spacing w:after="0"/>
            </w:pPr>
            <w:r/>
            <w:r>
              <w:rPr>
                <w:rFonts w:ascii="Times New Roman" w:hAnsi="Times New Roman"/>
                <w:b w:val="0"/>
                <w:sz w:val="18"/>
              </w:rPr>
              <w:t>The system filters incompatible meals before ranking and optimization.</w:t>
            </w:r>
          </w:p>
        </w:tc>
      </w:tr>
      <w:tr>
        <w:tc>
          <w:tcPr>
            <w:tcW w:type="dxa" w:w="3264"/>
            <w:vAlign w:val="top"/>
          </w:tcPr>
          <w:p>
            <w:pPr>
              <w:spacing w:after="0"/>
            </w:pPr>
            <w:r/>
            <w:r>
              <w:rPr>
                <w:rFonts w:ascii="Times New Roman" w:hAnsi="Times New Roman"/>
                <w:b w:val="0"/>
                <w:sz w:val="18"/>
              </w:rPr>
              <w:t>Filipino food preference</w:t>
            </w:r>
          </w:p>
        </w:tc>
        <w:tc>
          <w:tcPr>
            <w:tcW w:type="dxa" w:w="3264"/>
            <w:vAlign w:val="top"/>
          </w:tcPr>
          <w:p>
            <w:pPr>
              <w:spacing w:after="0"/>
            </w:pPr>
            <w:r/>
            <w:r>
              <w:rPr>
                <w:rFonts w:ascii="Times New Roman" w:hAnsi="Times New Roman"/>
                <w:b w:val="0"/>
                <w:sz w:val="18"/>
              </w:rPr>
              <w:t>Cultural and usability signal</w:t>
            </w:r>
          </w:p>
        </w:tc>
        <w:tc>
          <w:tcPr>
            <w:tcW w:type="dxa" w:w="3264"/>
            <w:vAlign w:val="top"/>
          </w:tcPr>
          <w:p>
            <w:pPr>
              <w:spacing w:after="0"/>
            </w:pPr>
            <w:r/>
            <w:r>
              <w:rPr>
                <w:rFonts w:ascii="Times New Roman" w:hAnsi="Times New Roman"/>
                <w:b w:val="0"/>
                <w:sz w:val="18"/>
              </w:rPr>
              <w:t>Familiar meals are preferred when they remain feasible and safe.</w:t>
            </w:r>
          </w:p>
        </w:tc>
      </w:tr>
      <w:tr>
        <w:tc>
          <w:tcPr>
            <w:tcW w:type="dxa" w:w="3264"/>
            <w:vAlign w:val="top"/>
          </w:tcPr>
          <w:p>
            <w:pPr>
              <w:spacing w:after="0"/>
            </w:pPr>
            <w:r/>
            <w:r>
              <w:rPr>
                <w:rFonts w:ascii="Times New Roman" w:hAnsi="Times New Roman"/>
                <w:b w:val="0"/>
                <w:sz w:val="18"/>
              </w:rPr>
              <w:t>Cooking time</w:t>
            </w:r>
          </w:p>
        </w:tc>
        <w:tc>
          <w:tcPr>
            <w:tcW w:type="dxa" w:w="3264"/>
            <w:vAlign w:val="top"/>
          </w:tcPr>
          <w:p>
            <w:pPr>
              <w:spacing w:after="0"/>
            </w:pPr>
            <w:r/>
            <w:r>
              <w:rPr>
                <w:rFonts w:ascii="Times New Roman" w:hAnsi="Times New Roman"/>
                <w:b w:val="0"/>
                <w:sz w:val="18"/>
              </w:rPr>
              <w:t>Practical feasibility signal</w:t>
            </w:r>
          </w:p>
        </w:tc>
        <w:tc>
          <w:tcPr>
            <w:tcW w:type="dxa" w:w="3264"/>
            <w:vAlign w:val="top"/>
          </w:tcPr>
          <w:p>
            <w:pPr>
              <w:spacing w:after="0"/>
            </w:pPr>
            <w:r/>
            <w:r>
              <w:rPr>
                <w:rFonts w:ascii="Times New Roman" w:hAnsi="Times New Roman"/>
                <w:b w:val="0"/>
                <w:sz w:val="18"/>
              </w:rPr>
              <w:t>Meals outside user time limits can be deprioritized or removed depending on policy.</w:t>
            </w:r>
          </w:p>
        </w:tc>
      </w:tr>
      <w:tr>
        <w:tc>
          <w:tcPr>
            <w:tcW w:type="dxa" w:w="3264"/>
            <w:vAlign w:val="top"/>
          </w:tcPr>
          <w:p>
            <w:pPr>
              <w:spacing w:after="0"/>
            </w:pPr>
            <w:r/>
            <w:r>
              <w:rPr>
                <w:rFonts w:ascii="Times New Roman" w:hAnsi="Times New Roman"/>
                <w:b w:val="0"/>
                <w:sz w:val="18"/>
              </w:rPr>
              <w:t>Variety preference</w:t>
            </w:r>
          </w:p>
        </w:tc>
        <w:tc>
          <w:tcPr>
            <w:tcW w:type="dxa" w:w="3264"/>
            <w:vAlign w:val="top"/>
          </w:tcPr>
          <w:p>
            <w:pPr>
              <w:spacing w:after="0"/>
            </w:pPr>
            <w:r/>
            <w:r>
              <w:rPr>
                <w:rFonts w:ascii="Times New Roman" w:hAnsi="Times New Roman"/>
                <w:b w:val="0"/>
                <w:sz w:val="18"/>
              </w:rPr>
              <w:t>Repetition and diversity control</w:t>
            </w:r>
          </w:p>
        </w:tc>
        <w:tc>
          <w:tcPr>
            <w:tcW w:type="dxa" w:w="3264"/>
            <w:vAlign w:val="top"/>
          </w:tcPr>
          <w:p>
            <w:pPr>
              <w:spacing w:after="0"/>
            </w:pPr>
            <w:r/>
            <w:r>
              <w:rPr>
                <w:rFonts w:ascii="Times New Roman" w:hAnsi="Times New Roman"/>
                <w:b w:val="0"/>
                <w:sz w:val="18"/>
              </w:rPr>
              <w:t>Controls whether weekly meals may repeat or should be more diverse.</w:t>
            </w:r>
          </w:p>
        </w:tc>
      </w:tr>
    </w:tbl>
    <w:p/>
    <w:p>
      <w:pPr>
        <w:pStyle w:val="Heading2"/>
      </w:pPr>
      <w:r>
        <w:rPr>
          <w:rFonts w:ascii="Times New Roman" w:hAnsi="Times New Roman"/>
          <w:color w:val="2F6B3F"/>
        </w:rPr>
        <w:t>4.2.2 Normalization of User and Recipe Data</w:t>
      </w:r>
    </w:p>
    <w:p>
      <w:pPr>
        <w:spacing w:after="120" w:line="269" w:lineRule="auto"/>
        <w:ind w:firstLine="360"/>
      </w:pPr>
      <w:r>
        <w:rPr>
          <w:rFonts w:ascii="Times New Roman" w:hAnsi="Times New Roman"/>
          <w:sz w:val="22"/>
        </w:rPr>
        <w:t>The system compares user restrictions against recipe titles, tags, and ingredient tokens. Since Filipino food data often uses mixed English and Filipino terms, normalization is required before matching. The same concept may appear through local names, translated names, plural forms, or recipe-specific phrasing. Normalization reduces the chance that unsafe or unwanted items bypass filtering because of spelling or wording differences.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2160"/>
            <w:vAlign w:val="top"/>
            <w:shd w:fill="E2F0D9"/>
          </w:tcPr>
          <w:p>
            <w:pPr>
              <w:spacing w:after="0"/>
            </w:pPr>
            <w:r/>
            <w:r>
              <w:rPr>
                <w:rFonts w:ascii="Times New Roman" w:hAnsi="Times New Roman"/>
                <w:b/>
                <w:sz w:val="18"/>
              </w:rPr>
              <w:t>Candidate scoring and personalization formulas</w:t>
            </w:r>
          </w:p>
        </w:tc>
        <w:tc>
          <w:tcPr>
            <w:tcW w:type="dxa" w:w="4032"/>
            <w:vAlign w:val="top"/>
            <w:shd w:fill="E2F0D9"/>
          </w:tcPr>
          <w:p>
            <w:pPr>
              <w:spacing w:after="0"/>
            </w:pPr>
            <w:r/>
            <w:r>
              <w:rPr>
                <w:rFonts w:ascii="Times New Roman" w:hAnsi="Times New Roman"/>
                <w:b/>
                <w:sz w:val="18"/>
              </w:rPr>
              <w:t>Formula / computation</w:t>
            </w:r>
          </w:p>
        </w:tc>
        <w:tc>
          <w:tcPr>
            <w:tcW w:type="dxa" w:w="3024"/>
            <w:vAlign w:val="top"/>
            <w:shd w:fill="E2F0D9"/>
          </w:tcPr>
          <w:p>
            <w:pPr>
              <w:spacing w:after="0"/>
            </w:pPr>
            <w:r/>
            <w:r>
              <w:rPr>
                <w:rFonts w:ascii="Times New Roman" w:hAnsi="Times New Roman"/>
                <w:b/>
                <w:sz w:val="18"/>
              </w:rPr>
              <w:t>Use in PCOSina</w:t>
            </w:r>
          </w:p>
        </w:tc>
      </w:tr>
      <w:tr>
        <w:tc>
          <w:tcPr>
            <w:tcW w:type="dxa" w:w="2160"/>
            <w:vAlign w:val="top"/>
          </w:tcPr>
          <w:p>
            <w:pPr>
              <w:spacing w:after="0"/>
            </w:pPr>
            <w:r/>
            <w:r>
              <w:rPr>
                <w:rFonts w:ascii="Times New Roman" w:hAnsi="Times New Roman"/>
                <w:b w:val="0"/>
                <w:sz w:val="18"/>
              </w:rPr>
              <w:t>Base candidate score</w:t>
            </w:r>
          </w:p>
        </w:tc>
        <w:tc>
          <w:tcPr>
            <w:tcW w:type="dxa" w:w="4032"/>
            <w:vAlign w:val="top"/>
          </w:tcPr>
          <w:p>
            <w:pPr>
              <w:spacing w:after="0"/>
            </w:pPr>
            <w:r/>
            <w:r>
              <w:rPr>
                <w:rFonts w:ascii="Times New Roman" w:hAnsi="Times New Roman"/>
                <w:b w:val="0"/>
                <w:sz w:val="18"/>
              </w:rPr>
              <w:t>Score = 2*protein - 0.05*cost - 0.15*abs(calories - 500) + 1.5*pantryMatch + stage1Boost</w:t>
            </w:r>
          </w:p>
        </w:tc>
        <w:tc>
          <w:tcPr>
            <w:tcW w:type="dxa" w:w="3024"/>
            <w:vAlign w:val="top"/>
          </w:tcPr>
          <w:p>
            <w:pPr>
              <w:spacing w:after="0"/>
            </w:pPr>
            <w:r/>
            <w:r>
              <w:rPr>
                <w:rFonts w:ascii="Times New Roman" w:hAnsi="Times New Roman"/>
                <w:b w:val="0"/>
                <w:sz w:val="18"/>
              </w:rPr>
              <w:t>Orders safe candidates before final assignment.</w:t>
            </w:r>
          </w:p>
        </w:tc>
      </w:tr>
      <w:tr>
        <w:tc>
          <w:tcPr>
            <w:tcW w:type="dxa" w:w="2160"/>
            <w:vAlign w:val="top"/>
          </w:tcPr>
          <w:p>
            <w:pPr>
              <w:spacing w:after="0"/>
            </w:pPr>
            <w:r/>
            <w:r>
              <w:rPr>
                <w:rFonts w:ascii="Times New Roman" w:hAnsi="Times New Roman"/>
                <w:b w:val="0"/>
                <w:sz w:val="18"/>
              </w:rPr>
              <w:t>Pantry overlap</w:t>
            </w:r>
          </w:p>
        </w:tc>
        <w:tc>
          <w:tcPr>
            <w:tcW w:type="dxa" w:w="4032"/>
            <w:vAlign w:val="top"/>
          </w:tcPr>
          <w:p>
            <w:pPr>
              <w:spacing w:after="0"/>
            </w:pPr>
            <w:r/>
            <w:r>
              <w:rPr>
                <w:rFonts w:ascii="Times New Roman" w:hAnsi="Times New Roman"/>
                <w:b w:val="0"/>
                <w:sz w:val="18"/>
              </w:rPr>
              <w:t>pantryMatch = count(recipeTokens intersect pantryTokens)</w:t>
            </w:r>
          </w:p>
        </w:tc>
        <w:tc>
          <w:tcPr>
            <w:tcW w:type="dxa" w:w="3024"/>
            <w:vAlign w:val="top"/>
          </w:tcPr>
          <w:p>
            <w:pPr>
              <w:spacing w:after="0"/>
            </w:pPr>
            <w:r/>
            <w:r>
              <w:rPr>
                <w:rFonts w:ascii="Times New Roman" w:hAnsi="Times New Roman"/>
                <w:b w:val="0"/>
                <w:sz w:val="18"/>
              </w:rPr>
              <w:t>Rewards meals that can use available ingredients.</w:t>
            </w:r>
          </w:p>
        </w:tc>
      </w:tr>
      <w:tr>
        <w:tc>
          <w:tcPr>
            <w:tcW w:type="dxa" w:w="2160"/>
            <w:vAlign w:val="top"/>
          </w:tcPr>
          <w:p>
            <w:pPr>
              <w:spacing w:after="0"/>
            </w:pPr>
            <w:r/>
            <w:r>
              <w:rPr>
                <w:rFonts w:ascii="Times New Roman" w:hAnsi="Times New Roman"/>
                <w:b w:val="0"/>
                <w:sz w:val="18"/>
              </w:rPr>
              <w:t>ML ranking boundary</w:t>
            </w:r>
          </w:p>
        </w:tc>
        <w:tc>
          <w:tcPr>
            <w:tcW w:type="dxa" w:w="4032"/>
            <w:vAlign w:val="top"/>
          </w:tcPr>
          <w:p>
            <w:pPr>
              <w:spacing w:after="0"/>
            </w:pPr>
            <w:r/>
            <w:r>
              <w:rPr>
                <w:rFonts w:ascii="Times New Roman" w:hAnsi="Times New Roman"/>
                <w:b w:val="0"/>
                <w:sz w:val="18"/>
              </w:rPr>
              <w:t>LightGBM ranks or reorders safe candidates only</w:t>
            </w:r>
          </w:p>
        </w:tc>
        <w:tc>
          <w:tcPr>
            <w:tcW w:type="dxa" w:w="3024"/>
            <w:vAlign w:val="top"/>
          </w:tcPr>
          <w:p>
            <w:pPr>
              <w:spacing w:after="0"/>
            </w:pPr>
            <w:r/>
            <w:r>
              <w:rPr>
                <w:rFonts w:ascii="Times New Roman" w:hAnsi="Times New Roman"/>
                <w:b w:val="0"/>
                <w:sz w:val="18"/>
              </w:rPr>
              <w:t>ML cannot override allergies, restrictions, exclusions, budget, meal-slot eligibility, or CP-SAT assignment.</w:t>
            </w:r>
          </w:p>
        </w:tc>
      </w:tr>
    </w:tbl>
    <w:p/>
    <w:p>
      <w:pPr>
        <w:pStyle w:val="Heading2"/>
      </w:pPr>
      <w:r>
        <w:rPr>
          <w:rFonts w:ascii="Times New Roman" w:hAnsi="Times New Roman"/>
          <w:color w:val="2F6B3F"/>
        </w:rPr>
        <w:t>4.2.3 Filipino Food Practice Integration</w:t>
      </w:r>
    </w:p>
    <w:p>
      <w:pPr>
        <w:spacing w:after="120" w:line="269" w:lineRule="auto"/>
        <w:ind w:firstLine="360"/>
      </w:pPr>
      <w:r>
        <w:rPr>
          <w:rFonts w:ascii="Times New Roman" w:hAnsi="Times New Roman"/>
          <w:sz w:val="22"/>
        </w:rPr>
        <w:t>Filipino food practice is integrated through the recipe catalog, familiar recipe titles, local ingredient references, and meal-slot organization. The goal is not to replace the user's normal food culture with generic diet meals. The goal is to choose culturally recognizable meals when they can still satisfy restrictions, nutrition targets, budget behavior, and variety requirements.</w:t>
      </w:r>
    </w:p>
    <w:p>
      <w:pPr>
        <w:jc w:val="center"/>
      </w:pPr>
      <w:r>
        <w:drawing>
          <wp:inline xmlns:a="http://schemas.openxmlformats.org/drawingml/2006/main" xmlns:pic="http://schemas.openxmlformats.org/drawingml/2006/picture">
            <wp:extent cx="5303520" cy="3148965"/>
            <wp:docPr id="9" name="Picture 9"/>
            <wp:cNvGraphicFramePr>
              <a:graphicFrameLocks noChangeAspect="1"/>
            </wp:cNvGraphicFramePr>
            <a:graphic>
              <a:graphicData uri="http://schemas.openxmlformats.org/drawingml/2006/picture">
                <pic:pic>
                  <pic:nvPicPr>
                    <pic:cNvPr id="0" name="figure_4_5_lightgbm_ranking_uplift.png"/>
                    <pic:cNvPicPr/>
                  </pic:nvPicPr>
                  <pic:blipFill>
                    <a:blip r:embed="rId17"/>
                    <a:stretch>
                      <a:fillRect/>
                    </a:stretch>
                  </pic:blipFill>
                  <pic:spPr>
                    <a:xfrm>
                      <a:off x="0" y="0"/>
                      <a:ext cx="5303520" cy="3148965"/>
                    </a:xfrm>
                    <a:prstGeom prst="rect"/>
                  </pic:spPr>
                </pic:pic>
              </a:graphicData>
            </a:graphic>
          </wp:inline>
        </w:drawing>
      </w:r>
    </w:p>
    <w:p>
      <w:pPr>
        <w:jc w:val="center"/>
      </w:pPr>
      <w:r>
        <w:rPr>
          <w:b w:val="0"/>
          <w:i/>
          <w:sz w:val="18"/>
        </w:rPr>
        <w:t>Figure 4.10. Ranking evidence showing Stage-1 candidate-ordering uplift.</w:t>
      </w:r>
    </w:p>
    <w:p>
      <w:pPr>
        <w:pStyle w:val="Heading2"/>
      </w:pPr>
      <w:r>
        <w:rPr>
          <w:rFonts w:ascii="Times New Roman" w:hAnsi="Times New Roman"/>
          <w:color w:val="2F6B3F"/>
        </w:rPr>
        <w:t>4.2.4 Deterministic Restriction Enforcement</w:t>
      </w:r>
    </w:p>
    <w:p>
      <w:pPr/>
      <w:r>
        <w:t>Restriction enforcement remains deterministic. If a recipe conflicts with hard constraints, it is removed or blocked regardless of its score, cultural familiarity, or expected preference match. This is why the system supports personalization without becoming a free-form recommendation engine. Preferences personalize the safe space; they do not redefine what is safe.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Layer</w:t>
            </w:r>
          </w:p>
        </w:tc>
        <w:tc>
          <w:tcPr>
            <w:tcW w:type="dxa" w:w="3264"/>
            <w:vAlign w:val="top"/>
            <w:shd w:fill="E2F0D9"/>
          </w:tcPr>
          <w:p>
            <w:pPr>
              <w:spacing w:after="0"/>
            </w:pPr>
            <w:r/>
            <w:r>
              <w:rPr>
                <w:rFonts w:ascii="Times New Roman" w:hAnsi="Times New Roman"/>
                <w:b/>
                <w:sz w:val="18"/>
              </w:rPr>
              <w:t>Can influence</w:t>
            </w:r>
          </w:p>
        </w:tc>
        <w:tc>
          <w:tcPr>
            <w:tcW w:type="dxa" w:w="3264"/>
            <w:vAlign w:val="top"/>
            <w:shd w:fill="E2F0D9"/>
          </w:tcPr>
          <w:p>
            <w:pPr>
              <w:spacing w:after="0"/>
            </w:pPr>
            <w:r/>
            <w:r>
              <w:rPr>
                <w:rFonts w:ascii="Times New Roman" w:hAnsi="Times New Roman"/>
                <w:b/>
                <w:sz w:val="18"/>
              </w:rPr>
              <w:t>Cannot override</w:t>
            </w:r>
          </w:p>
        </w:tc>
      </w:tr>
      <w:tr>
        <w:tc>
          <w:tcPr>
            <w:tcW w:type="dxa" w:w="3264"/>
            <w:vAlign w:val="top"/>
          </w:tcPr>
          <w:p>
            <w:pPr>
              <w:spacing w:after="0"/>
            </w:pPr>
            <w:r/>
            <w:r>
              <w:rPr>
                <w:rFonts w:ascii="Times New Roman" w:hAnsi="Times New Roman"/>
                <w:b w:val="0"/>
                <w:sz w:val="18"/>
              </w:rPr>
              <w:t>Deterministic filters</w:t>
            </w:r>
          </w:p>
        </w:tc>
        <w:tc>
          <w:tcPr>
            <w:tcW w:type="dxa" w:w="3264"/>
            <w:vAlign w:val="top"/>
          </w:tcPr>
          <w:p>
            <w:pPr>
              <w:spacing w:after="0"/>
            </w:pPr>
            <w:r/>
            <w:r>
              <w:rPr>
                <w:rFonts w:ascii="Times New Roman" w:hAnsi="Times New Roman"/>
                <w:b w:val="0"/>
                <w:sz w:val="18"/>
              </w:rPr>
              <w:t>Candidate eligibility</w:t>
            </w:r>
          </w:p>
        </w:tc>
        <w:tc>
          <w:tcPr>
            <w:tcW w:type="dxa" w:w="3264"/>
            <w:vAlign w:val="top"/>
          </w:tcPr>
          <w:p>
            <w:pPr>
              <w:spacing w:after="0"/>
            </w:pPr>
            <w:r/>
            <w:r>
              <w:rPr>
                <w:rFonts w:ascii="Times New Roman" w:hAnsi="Times New Roman"/>
                <w:b w:val="0"/>
                <w:sz w:val="18"/>
              </w:rPr>
              <w:t>N/A; this is the safety gate.</w:t>
            </w:r>
          </w:p>
        </w:tc>
      </w:tr>
      <w:tr>
        <w:tc>
          <w:tcPr>
            <w:tcW w:type="dxa" w:w="3264"/>
            <w:vAlign w:val="top"/>
          </w:tcPr>
          <w:p>
            <w:pPr>
              <w:spacing w:after="0"/>
            </w:pPr>
            <w:r/>
            <w:r>
              <w:rPr>
                <w:rFonts w:ascii="Times New Roman" w:hAnsi="Times New Roman"/>
                <w:b w:val="0"/>
                <w:sz w:val="18"/>
              </w:rPr>
              <w:t>Assistive ranking</w:t>
            </w:r>
          </w:p>
        </w:tc>
        <w:tc>
          <w:tcPr>
            <w:tcW w:type="dxa" w:w="3264"/>
            <w:vAlign w:val="top"/>
          </w:tcPr>
          <w:p>
            <w:pPr>
              <w:spacing w:after="0"/>
            </w:pPr>
            <w:r/>
            <w:r>
              <w:rPr>
                <w:rFonts w:ascii="Times New Roman" w:hAnsi="Times New Roman"/>
                <w:b w:val="0"/>
                <w:sz w:val="18"/>
              </w:rPr>
              <w:t>Ordering of already-safe candidates</w:t>
            </w:r>
          </w:p>
        </w:tc>
        <w:tc>
          <w:tcPr>
            <w:tcW w:type="dxa" w:w="3264"/>
            <w:vAlign w:val="top"/>
          </w:tcPr>
          <w:p>
            <w:pPr>
              <w:spacing w:after="0"/>
            </w:pPr>
            <w:r/>
            <w:r>
              <w:rPr>
                <w:rFonts w:ascii="Times New Roman" w:hAnsi="Times New Roman"/>
                <w:b w:val="0"/>
                <w:sz w:val="18"/>
              </w:rPr>
              <w:t>Allergies, exclusions, restrictions, budget, nutrition, meal-slot rules.</w:t>
            </w:r>
          </w:p>
        </w:tc>
      </w:tr>
      <w:tr>
        <w:tc>
          <w:tcPr>
            <w:tcW w:type="dxa" w:w="3264"/>
            <w:vAlign w:val="top"/>
          </w:tcPr>
          <w:p>
            <w:pPr>
              <w:spacing w:after="0"/>
            </w:pPr>
            <w:r/>
            <w:r>
              <w:rPr>
                <w:rFonts w:ascii="Times New Roman" w:hAnsi="Times New Roman"/>
                <w:b w:val="0"/>
                <w:sz w:val="18"/>
              </w:rPr>
              <w:t>CP-SAT optimizer</w:t>
            </w:r>
          </w:p>
        </w:tc>
        <w:tc>
          <w:tcPr>
            <w:tcW w:type="dxa" w:w="3264"/>
            <w:vAlign w:val="top"/>
          </w:tcPr>
          <w:p>
            <w:pPr>
              <w:spacing w:after="0"/>
            </w:pPr>
            <w:r/>
            <w:r>
              <w:rPr>
                <w:rFonts w:ascii="Times New Roman" w:hAnsi="Times New Roman"/>
                <w:b w:val="0"/>
                <w:sz w:val="18"/>
              </w:rPr>
              <w:t>Final weekly assignment</w:t>
            </w:r>
          </w:p>
        </w:tc>
        <w:tc>
          <w:tcPr>
            <w:tcW w:type="dxa" w:w="3264"/>
            <w:vAlign w:val="top"/>
          </w:tcPr>
          <w:p>
            <w:pPr>
              <w:spacing w:after="0"/>
            </w:pPr>
            <w:r/>
            <w:r>
              <w:rPr>
                <w:rFonts w:ascii="Times New Roman" w:hAnsi="Times New Roman"/>
                <w:b w:val="0"/>
                <w:sz w:val="18"/>
              </w:rPr>
              <w:t>Profile hard constraints and no-safe-plan handling.</w:t>
            </w:r>
          </w:p>
        </w:tc>
      </w:tr>
      <w:tr>
        <w:tc>
          <w:tcPr>
            <w:tcW w:type="dxa" w:w="3264"/>
            <w:vAlign w:val="top"/>
          </w:tcPr>
          <w:p>
            <w:pPr>
              <w:spacing w:after="0"/>
            </w:pPr>
            <w:r/>
            <w:r>
              <w:rPr>
                <w:rFonts w:ascii="Times New Roman" w:hAnsi="Times New Roman"/>
                <w:b w:val="0"/>
                <w:sz w:val="18"/>
              </w:rPr>
              <w:t>User feedback</w:t>
            </w:r>
          </w:p>
        </w:tc>
        <w:tc>
          <w:tcPr>
            <w:tcW w:type="dxa" w:w="3264"/>
            <w:vAlign w:val="top"/>
          </w:tcPr>
          <w:p>
            <w:pPr>
              <w:spacing w:after="0"/>
            </w:pPr>
            <w:r/>
            <w:r>
              <w:rPr>
                <w:rFonts w:ascii="Times New Roman" w:hAnsi="Times New Roman"/>
                <w:b w:val="0"/>
                <w:sz w:val="18"/>
              </w:rPr>
              <w:t>Future preference signal when implemented</w:t>
            </w:r>
          </w:p>
        </w:tc>
        <w:tc>
          <w:tcPr>
            <w:tcW w:type="dxa" w:w="3264"/>
            <w:vAlign w:val="top"/>
          </w:tcPr>
          <w:p>
            <w:pPr>
              <w:spacing w:after="0"/>
            </w:pPr>
            <w:r/>
            <w:r>
              <w:rPr>
                <w:rFonts w:ascii="Times New Roman" w:hAnsi="Times New Roman"/>
                <w:b w:val="0"/>
                <w:sz w:val="18"/>
              </w:rPr>
              <w:t>Current hard safety constraints.</w:t>
            </w:r>
          </w:p>
        </w:tc>
      </w:tr>
    </w:tbl>
    <w:p/>
    <w:p>
      <w:pPr>
        <w:pStyle w:val="Heading2"/>
      </w:pPr>
      <w:r>
        <w:rPr>
          <w:rFonts w:ascii="Times New Roman" w:hAnsi="Times New Roman"/>
          <w:color w:val="2F6B3F"/>
        </w:rPr>
        <w:t>4.2.5 Personalized Outputs and Evidence</w:t>
      </w:r>
    </w:p>
    <w:p>
      <w:pPr>
        <w:spacing w:after="120" w:line="269" w:lineRule="auto"/>
        <w:ind w:firstLine="360"/>
      </w:pPr>
      <w:r>
        <w:rPr>
          <w:rFonts w:ascii="Times New Roman" w:hAnsi="Times New Roman"/>
          <w:sz w:val="22"/>
        </w:rPr>
        <w:t>The output of SOP 2 is a meal plan that reflects user restrictions and Filipino food context while preserving the system's hard-rule boundary. The evaluation evidence supports this through Functional Suitability, Usability, cultural-relevance protocol, and final safety checks.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Evidence item</w:t>
            </w:r>
          </w:p>
        </w:tc>
        <w:tc>
          <w:tcPr>
            <w:tcW w:type="dxa" w:w="3264"/>
            <w:vAlign w:val="top"/>
            <w:shd w:fill="E2F0D9"/>
          </w:tcPr>
          <w:p>
            <w:pPr>
              <w:spacing w:after="0"/>
            </w:pPr>
            <w:r/>
            <w:r>
              <w:rPr>
                <w:rFonts w:ascii="Times New Roman" w:hAnsi="Times New Roman"/>
                <w:b/>
                <w:sz w:val="18"/>
              </w:rPr>
              <w:t>Reported result</w:t>
            </w:r>
          </w:p>
        </w:tc>
        <w:tc>
          <w:tcPr>
            <w:tcW w:type="dxa" w:w="3264"/>
            <w:vAlign w:val="top"/>
            <w:shd w:fill="E2F0D9"/>
          </w:tcPr>
          <w:p>
            <w:pPr>
              <w:spacing w:after="0"/>
            </w:pPr>
            <w:r/>
            <w:r>
              <w:rPr>
                <w:rFonts w:ascii="Times New Roman" w:hAnsi="Times New Roman"/>
                <w:b/>
                <w:sz w:val="18"/>
              </w:rPr>
              <w:t>Interpretation</w:t>
            </w:r>
          </w:p>
        </w:tc>
      </w:tr>
      <w:tr>
        <w:tc>
          <w:tcPr>
            <w:tcW w:type="dxa" w:w="3264"/>
            <w:vAlign w:val="top"/>
          </w:tcPr>
          <w:p>
            <w:pPr>
              <w:spacing w:after="0"/>
            </w:pPr>
            <w:r/>
            <w:r>
              <w:rPr>
                <w:rFonts w:ascii="Times New Roman" w:hAnsi="Times New Roman"/>
                <w:b w:val="0"/>
                <w:sz w:val="18"/>
              </w:rPr>
              <w:t>Functional Suitability</w:t>
            </w:r>
          </w:p>
        </w:tc>
        <w:tc>
          <w:tcPr>
            <w:tcW w:type="dxa" w:w="3264"/>
            <w:vAlign w:val="top"/>
          </w:tcPr>
          <w:p>
            <w:pPr>
              <w:spacing w:after="0"/>
            </w:pPr>
            <w:r/>
            <w:r>
              <w:rPr>
                <w:rFonts w:ascii="Times New Roman" w:hAnsi="Times New Roman"/>
                <w:b w:val="0"/>
                <w:sz w:val="18"/>
              </w:rPr>
              <w:t>Overall mean 3.93, interpreted as Agree.</w:t>
            </w:r>
          </w:p>
        </w:tc>
        <w:tc>
          <w:tcPr>
            <w:tcW w:type="dxa" w:w="3264"/>
            <w:vAlign w:val="top"/>
          </w:tcPr>
          <w:p>
            <w:pPr>
              <w:spacing w:after="0"/>
            </w:pPr>
            <w:r/>
            <w:r>
              <w:rPr>
                <w:rFonts w:ascii="Times New Roman" w:hAnsi="Times New Roman"/>
                <w:b w:val="0"/>
                <w:sz w:val="18"/>
              </w:rPr>
              <w:t>Users recognized the core meal-planning functions as suitable.</w:t>
            </w:r>
          </w:p>
        </w:tc>
      </w:tr>
      <w:tr>
        <w:tc>
          <w:tcPr>
            <w:tcW w:type="dxa" w:w="3264"/>
            <w:vAlign w:val="top"/>
          </w:tcPr>
          <w:p>
            <w:pPr>
              <w:spacing w:after="0"/>
            </w:pPr>
            <w:r/>
            <w:r>
              <w:rPr>
                <w:rFonts w:ascii="Times New Roman" w:hAnsi="Times New Roman"/>
                <w:b w:val="0"/>
                <w:sz w:val="18"/>
              </w:rPr>
              <w:t>Usability</w:t>
            </w:r>
          </w:p>
        </w:tc>
        <w:tc>
          <w:tcPr>
            <w:tcW w:type="dxa" w:w="3264"/>
            <w:vAlign w:val="top"/>
          </w:tcPr>
          <w:p>
            <w:pPr>
              <w:spacing w:after="0"/>
            </w:pPr>
            <w:r/>
            <w:r>
              <w:rPr>
                <w:rFonts w:ascii="Times New Roman" w:hAnsi="Times New Roman"/>
                <w:b w:val="0"/>
                <w:sz w:val="18"/>
              </w:rPr>
              <w:t>Overall mean 4.06, interpreted as Agree.</w:t>
            </w:r>
          </w:p>
        </w:tc>
        <w:tc>
          <w:tcPr>
            <w:tcW w:type="dxa" w:w="3264"/>
            <w:vAlign w:val="top"/>
          </w:tcPr>
          <w:p>
            <w:pPr>
              <w:spacing w:after="0"/>
            </w:pPr>
            <w:r/>
            <w:r>
              <w:rPr>
                <w:rFonts w:ascii="Times New Roman" w:hAnsi="Times New Roman"/>
                <w:b w:val="0"/>
                <w:sz w:val="18"/>
              </w:rPr>
              <w:t>Users found the app generally understandable and navigable.</w:t>
            </w:r>
          </w:p>
        </w:tc>
      </w:tr>
      <w:tr>
        <w:tc>
          <w:tcPr>
            <w:tcW w:type="dxa" w:w="3264"/>
            <w:vAlign w:val="top"/>
          </w:tcPr>
          <w:p>
            <w:pPr>
              <w:spacing w:after="0"/>
            </w:pPr>
            <w:r/>
            <w:r>
              <w:rPr>
                <w:rFonts w:ascii="Times New Roman" w:hAnsi="Times New Roman"/>
                <w:b w:val="0"/>
                <w:sz w:val="18"/>
              </w:rPr>
              <w:t>Filipino food item</w:t>
            </w:r>
          </w:p>
        </w:tc>
        <w:tc>
          <w:tcPr>
            <w:tcW w:type="dxa" w:w="3264"/>
            <w:vAlign w:val="top"/>
          </w:tcPr>
          <w:p>
            <w:pPr>
              <w:spacing w:after="0"/>
            </w:pPr>
            <w:r/>
            <w:r>
              <w:rPr>
                <w:rFonts w:ascii="Times New Roman" w:hAnsi="Times New Roman"/>
                <w:b w:val="0"/>
                <w:sz w:val="18"/>
              </w:rPr>
              <w:t>4.28 primary / 3.84 secondary.</w:t>
            </w:r>
          </w:p>
        </w:tc>
        <w:tc>
          <w:tcPr>
            <w:tcW w:type="dxa" w:w="3264"/>
            <w:vAlign w:val="top"/>
          </w:tcPr>
          <w:p>
            <w:pPr>
              <w:spacing w:after="0"/>
            </w:pPr>
            <w:r/>
            <w:r>
              <w:rPr>
                <w:rFonts w:ascii="Times New Roman" w:hAnsi="Times New Roman"/>
                <w:b w:val="0"/>
                <w:sz w:val="18"/>
              </w:rPr>
              <w:t>Users recognized culturally familiar food options.</w:t>
            </w:r>
          </w:p>
        </w:tc>
      </w:tr>
      <w:tr>
        <w:tc>
          <w:tcPr>
            <w:tcW w:type="dxa" w:w="3264"/>
            <w:vAlign w:val="top"/>
          </w:tcPr>
          <w:p>
            <w:pPr>
              <w:spacing w:after="0"/>
            </w:pPr>
            <w:r/>
            <w:r>
              <w:rPr>
                <w:rFonts w:ascii="Times New Roman" w:hAnsi="Times New Roman"/>
                <w:b w:val="0"/>
                <w:sz w:val="18"/>
              </w:rPr>
              <w:t>Safety acceptance</w:t>
            </w:r>
          </w:p>
        </w:tc>
        <w:tc>
          <w:tcPr>
            <w:tcW w:type="dxa" w:w="3264"/>
            <w:vAlign w:val="top"/>
          </w:tcPr>
          <w:p>
            <w:pPr>
              <w:spacing w:after="0"/>
            </w:pPr>
            <w:r/>
            <w:r>
              <w:rPr>
                <w:rFonts w:ascii="Times New Roman" w:hAnsi="Times New Roman"/>
                <w:b w:val="0"/>
                <w:sz w:val="18"/>
              </w:rPr>
              <w:t>Safety violations must remain zero.</w:t>
            </w:r>
          </w:p>
        </w:tc>
        <w:tc>
          <w:tcPr>
            <w:tcW w:type="dxa" w:w="3264"/>
            <w:vAlign w:val="top"/>
          </w:tcPr>
          <w:p>
            <w:pPr>
              <w:spacing w:after="0"/>
            </w:pPr>
            <w:r/>
            <w:r>
              <w:rPr>
                <w:rFonts w:ascii="Times New Roman" w:hAnsi="Times New Roman"/>
                <w:b w:val="0"/>
                <w:sz w:val="18"/>
              </w:rPr>
              <w:t>Cultural fit is accepted only when safety constraints are preserved.</w:t>
            </w:r>
          </w:p>
        </w:tc>
      </w:tr>
    </w:tbl>
    <w:p/>
    <w:p>
      <w:pPr>
        <w:pStyle w:val="Heading1"/>
      </w:pPr>
      <w:r>
        <w:rPr>
          <w:rFonts w:ascii="Times New Roman" w:hAnsi="Times New Roman"/>
          <w:color w:val="2F6B3F"/>
        </w:rPr>
        <w:t>4.3 Pantry-Aware Planning and Grocery Reduction Support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Revised SOP 3 question</w:t>
            </w:r>
          </w:p>
        </w:tc>
      </w:tr>
      <w:tr>
        <w:tc>
          <w:tcPr>
            <w:tcW w:type="dxa" w:w="9792"/>
            <w:vAlign w:val="top"/>
            <w:shd w:fill="F3FAF1"/>
          </w:tcPr>
          <w:p>
            <w:pPr>
              <w:spacing w:after="0"/>
            </w:pPr>
            <w:r/>
            <w:r>
              <w:rPr>
                <w:rFonts w:ascii="Times New Roman" w:hAnsi="Times New Roman"/>
                <w:b w:val="0"/>
                <w:sz w:val="20"/>
              </w:rPr>
              <w:t>How can pantry inventory data be integrated into meal planning to help promote reduced food waste and unnecessary grocery purchases while maintaining nutritional adequacy?</w:t>
            </w:r>
          </w:p>
        </w:tc>
      </w:tr>
    </w:tbl>
    <w:p/>
    <w:p>
      <w:pPr>
        <w:jc w:val="center"/>
      </w:pPr>
      <w:r>
        <w:drawing>
          <wp:inline xmlns:a="http://schemas.openxmlformats.org/drawingml/2006/main" xmlns:pic="http://schemas.openxmlformats.org/drawingml/2006/picture">
            <wp:extent cx="5760720" cy="1664208"/>
            <wp:docPr id="10" name="Picture 10"/>
            <wp:cNvGraphicFramePr>
              <a:graphicFrameLocks noChangeAspect="1"/>
            </wp:cNvGraphicFramePr>
            <a:graphic>
              <a:graphicData uri="http://schemas.openxmlformats.org/drawingml/2006/picture">
                <pic:pic>
                  <pic:nvPicPr>
                    <pic:cNvPr id="0" name="sop3_flow.png"/>
                    <pic:cNvPicPr/>
                  </pic:nvPicPr>
                  <pic:blipFill>
                    <a:blip r:embed="rId18"/>
                    <a:stretch>
                      <a:fillRect/>
                    </a:stretch>
                  </pic:blipFill>
                  <pic:spPr>
                    <a:xfrm>
                      <a:off x="0" y="0"/>
                      <a:ext cx="5760720" cy="1664208"/>
                    </a:xfrm>
                    <a:prstGeom prst="rect"/>
                  </pic:spPr>
                </pic:pic>
              </a:graphicData>
            </a:graphic>
          </wp:inline>
        </w:drawing>
      </w:r>
    </w:p>
    <w:p>
      <w:pPr>
        <w:jc w:val="center"/>
      </w:pPr>
      <w:r>
        <w:rPr>
          <w:b w:val="0"/>
          <w:i/>
          <w:sz w:val="18"/>
        </w:rPr>
        <w:t>Figure 4.11. Process flow for SOP 3 pantry-aware planning and grocery guidance.</w:t>
      </w:r>
    </w:p>
    <w:p>
      <w:pPr>
        <w:jc w:val="center"/>
      </w:pPr>
      <w:r>
        <w:drawing>
          <wp:inline xmlns:a="http://schemas.openxmlformats.org/drawingml/2006/main" xmlns:pic="http://schemas.openxmlformats.org/drawingml/2006/picture">
            <wp:extent cx="5303520" cy="3148965"/>
            <wp:docPr id="11" name="Picture 11"/>
            <wp:cNvGraphicFramePr>
              <a:graphicFrameLocks noChangeAspect="1"/>
            </wp:cNvGraphicFramePr>
            <a:graphic>
              <a:graphicData uri="http://schemas.openxmlformats.org/drawingml/2006/picture">
                <pic:pic>
                  <pic:nvPicPr>
                    <pic:cNvPr id="0" name="figure_4_4_pantry_overlap.png"/>
                    <pic:cNvPicPr/>
                  </pic:nvPicPr>
                  <pic:blipFill>
                    <a:blip r:embed="rId19"/>
                    <a:stretch>
                      <a:fillRect/>
                    </a:stretch>
                  </pic:blipFill>
                  <pic:spPr>
                    <a:xfrm>
                      <a:off x="0" y="0"/>
                      <a:ext cx="5303520" cy="3148965"/>
                    </a:xfrm>
                    <a:prstGeom prst="rect"/>
                  </pic:spPr>
                </pic:pic>
              </a:graphicData>
            </a:graphic>
          </wp:inline>
        </w:drawing>
      </w:r>
    </w:p>
    <w:p>
      <w:pPr>
        <w:jc w:val="center"/>
      </w:pPr>
      <w:r>
        <w:rPr>
          <w:b w:val="0"/>
          <w:i/>
          <w:sz w:val="18"/>
        </w:rPr>
        <w:t>Figure 4.12. Pantry-overlap evidence from algorithm evaluation assets.</w:t>
      </w:r>
    </w:p>
    <w:p>
      <w:pPr>
        <w:pStyle w:val="Heading2"/>
      </w:pPr>
      <w:r>
        <w:rPr>
          <w:rFonts w:ascii="Times New Roman" w:hAnsi="Times New Roman"/>
          <w:color w:val="2F6B3F"/>
        </w:rPr>
        <w:t>4.3.1 Pantry Input and Inventory Meaning</w:t>
      </w:r>
    </w:p>
    <w:p>
      <w:pPr>
        <w:spacing w:after="120" w:line="269" w:lineRule="auto"/>
        <w:ind w:firstLine="360"/>
      </w:pPr>
      <w:r>
        <w:rPr>
          <w:rFonts w:ascii="Times New Roman" w:hAnsi="Times New Roman"/>
          <w:sz w:val="22"/>
        </w:rPr>
        <w:t>The pantry process begins when users enter ingredients they already have at home. These entries provide practical planning context. The system can then prefer recipes that overlap with the pantry and organize grocery guidance around likely missing ingredients. The pantry is not treated as a clinical nutrition input; it is a household resource signal used to reduce unnecessary purchasing pressure.</w:t>
      </w:r>
    </w:p>
    <w:p>
      <w:pPr>
        <w:spacing w:after="120" w:line="269" w:lineRule="auto"/>
        <w:ind w:firstLine="360"/>
      </w:pPr>
      <w:r>
        <w:rPr>
          <w:rFonts w:ascii="Times New Roman" w:hAnsi="Times New Roman"/>
          <w:sz w:val="22"/>
        </w:rPr>
        <w:t>The correct paper wording is pantry-aware, not a claim of fully proven waste reduction. The evidence shows that pantry data are used in planning and grocery guidance. It does not prove actual household food-waste reduction through measured before-and-after waste records.</w:t>
      </w:r>
    </w:p>
    <w:p>
      <w:pPr>
        <w:jc w:val="center"/>
      </w:pPr>
      <w:r>
        <w:drawing>
          <wp:inline xmlns:a="http://schemas.openxmlformats.org/drawingml/2006/main" xmlns:pic="http://schemas.openxmlformats.org/drawingml/2006/picture">
            <wp:extent cx="5806440" cy="2254265"/>
            <wp:docPr id="35" name="Picture 35"/>
            <wp:cNvGraphicFramePr>
              <a:graphicFrameLocks noChangeAspect="1"/>
            </wp:cNvGraphicFramePr>
            <a:graphic>
              <a:graphicData uri="http://schemas.openxmlformats.org/drawingml/2006/picture">
                <pic:pic>
                  <pic:nvPicPr>
                    <pic:cNvPr id="0" name="pantry_flow.png"/>
                    <pic:cNvPicPr/>
                  </pic:nvPicPr>
                  <pic:blipFill>
                    <a:blip r:embed="rId43"/>
                    <a:stretch>
                      <a:fillRect/>
                    </a:stretch>
                  </pic:blipFill>
                  <pic:spPr>
                    <a:xfrm>
                      <a:off x="0" y="0"/>
                      <a:ext cx="5806440" cy="2254265"/>
                    </a:xfrm>
                    <a:prstGeom prst="rect"/>
                  </pic:spPr>
                </pic:pic>
              </a:graphicData>
            </a:graphic>
          </wp:inline>
        </w:drawing>
      </w:r>
    </w:p>
    <w:p>
      <w:pPr>
        <w:jc w:val="center"/>
      </w:pPr>
      <w:r>
        <w:rPr>
          <w:b w:val="0"/>
          <w:i/>
          <w:sz w:val="18"/>
        </w:rPr>
        <w:t>Figure 4.13. Pantry input-to-grocery guidance flow with quantity-deduction boundary.</w:t>
      </w:r>
    </w:p>
    <w:p>
      <w:pPr>
        <w:spacing w:after="120"/>
      </w:pPr>
      <w:r>
        <w:rPr>
          <w:b w:val="0"/>
          <w:i w:val="0"/>
          <w:sz w:val="20"/>
        </w:rPr>
        <w:t>Interpretation: Pantry data should be presented as inventory-aware planning support. A matched pantry item can reduce or flag grocery need only when the system has enough comparable ingredient information; otherwise, the paper should describe pantry use as overlap-based guidance rather than exact household waste reduction.</w:t>
      </w:r>
    </w:p>
    <w:p>
      <w:pPr>
        <w:pStyle w:val="Heading2"/>
      </w:pPr>
      <w:r>
        <w:rPr>
          <w:rFonts w:ascii="Times New Roman" w:hAnsi="Times New Roman"/>
          <w:color w:val="2F6B3F"/>
        </w:rPr>
        <w:t>4.3.2 Pantry Normalization and Matching</w:t>
      </w:r>
    </w:p>
    <w:p>
      <w:pPr>
        <w:spacing w:after="120" w:line="269" w:lineRule="auto"/>
        <w:ind w:firstLine="360"/>
      </w:pPr>
      <w:r>
        <w:rPr>
          <w:rFonts w:ascii="Times New Roman" w:hAnsi="Times New Roman"/>
          <w:sz w:val="22"/>
        </w:rPr>
        <w:t>Pantry entries are normalized into comparable tokens before matching against recipe ingredients. This makes it possible to identify overlap even when ingredient text varies. For example, a pantry entry for eggs should be normalized toward the same ingredient concept used by recipe ingredient tokens so it can contribute to pantry overlap and grocery guidance.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2160"/>
            <w:vAlign w:val="top"/>
            <w:shd w:fill="E2F0D9"/>
          </w:tcPr>
          <w:p>
            <w:pPr>
              <w:spacing w:after="0"/>
            </w:pPr>
            <w:r/>
            <w:r>
              <w:rPr>
                <w:rFonts w:ascii="Times New Roman" w:hAnsi="Times New Roman"/>
                <w:b/>
                <w:sz w:val="18"/>
              </w:rPr>
              <w:t>Pantry and grocery computations</w:t>
            </w:r>
          </w:p>
        </w:tc>
        <w:tc>
          <w:tcPr>
            <w:tcW w:type="dxa" w:w="4032"/>
            <w:vAlign w:val="top"/>
            <w:shd w:fill="E2F0D9"/>
          </w:tcPr>
          <w:p>
            <w:pPr>
              <w:spacing w:after="0"/>
            </w:pPr>
            <w:r/>
            <w:r>
              <w:rPr>
                <w:rFonts w:ascii="Times New Roman" w:hAnsi="Times New Roman"/>
                <w:b/>
                <w:sz w:val="18"/>
              </w:rPr>
              <w:t>Formula / computation</w:t>
            </w:r>
          </w:p>
        </w:tc>
        <w:tc>
          <w:tcPr>
            <w:tcW w:type="dxa" w:w="3024"/>
            <w:vAlign w:val="top"/>
            <w:shd w:fill="E2F0D9"/>
          </w:tcPr>
          <w:p>
            <w:pPr>
              <w:spacing w:after="0"/>
            </w:pPr>
            <w:r/>
            <w:r>
              <w:rPr>
                <w:rFonts w:ascii="Times New Roman" w:hAnsi="Times New Roman"/>
                <w:b/>
                <w:sz w:val="18"/>
              </w:rPr>
              <w:t>Use in PCOSina</w:t>
            </w:r>
          </w:p>
        </w:tc>
      </w:tr>
      <w:tr>
        <w:tc>
          <w:tcPr>
            <w:tcW w:type="dxa" w:w="2160"/>
            <w:vAlign w:val="top"/>
          </w:tcPr>
          <w:p>
            <w:pPr>
              <w:spacing w:after="0"/>
            </w:pPr>
            <w:r/>
            <w:r>
              <w:rPr>
                <w:rFonts w:ascii="Times New Roman" w:hAnsi="Times New Roman"/>
                <w:b w:val="0"/>
                <w:sz w:val="18"/>
              </w:rPr>
              <w:t>Pantry tokenization</w:t>
            </w:r>
          </w:p>
        </w:tc>
        <w:tc>
          <w:tcPr>
            <w:tcW w:type="dxa" w:w="4032"/>
            <w:vAlign w:val="top"/>
          </w:tcPr>
          <w:p>
            <w:pPr>
              <w:spacing w:after="0"/>
            </w:pPr>
            <w:r/>
            <w:r>
              <w:rPr>
                <w:rFonts w:ascii="Times New Roman" w:hAnsi="Times New Roman"/>
                <w:b w:val="0"/>
                <w:sz w:val="18"/>
              </w:rPr>
              <w:t>normalizedPantry = normalize(pantry item names)</w:t>
            </w:r>
          </w:p>
        </w:tc>
        <w:tc>
          <w:tcPr>
            <w:tcW w:type="dxa" w:w="3024"/>
            <w:vAlign w:val="top"/>
          </w:tcPr>
          <w:p>
            <w:pPr>
              <w:spacing w:after="0"/>
            </w:pPr>
            <w:r/>
            <w:r>
              <w:rPr>
                <w:rFonts w:ascii="Times New Roman" w:hAnsi="Times New Roman"/>
                <w:b w:val="0"/>
                <w:sz w:val="18"/>
              </w:rPr>
              <w:t>Makes pantry entries comparable with recipe ingredients.</w:t>
            </w:r>
          </w:p>
        </w:tc>
      </w:tr>
      <w:tr>
        <w:tc>
          <w:tcPr>
            <w:tcW w:type="dxa" w:w="2160"/>
            <w:vAlign w:val="top"/>
          </w:tcPr>
          <w:p>
            <w:pPr>
              <w:spacing w:after="0"/>
            </w:pPr>
            <w:r/>
            <w:r>
              <w:rPr>
                <w:rFonts w:ascii="Times New Roman" w:hAnsi="Times New Roman"/>
                <w:b w:val="0"/>
                <w:sz w:val="18"/>
              </w:rPr>
              <w:t>Overlap count</w:t>
            </w:r>
          </w:p>
        </w:tc>
        <w:tc>
          <w:tcPr>
            <w:tcW w:type="dxa" w:w="4032"/>
            <w:vAlign w:val="top"/>
          </w:tcPr>
          <w:p>
            <w:pPr>
              <w:spacing w:after="0"/>
            </w:pPr>
            <w:r/>
            <w:r>
              <w:rPr>
                <w:rFonts w:ascii="Times New Roman" w:hAnsi="Times New Roman"/>
                <w:b w:val="0"/>
                <w:sz w:val="18"/>
              </w:rPr>
              <w:t>pantryMatch = |recipeTokens intersect pantryTokens|</w:t>
            </w:r>
          </w:p>
        </w:tc>
        <w:tc>
          <w:tcPr>
            <w:tcW w:type="dxa" w:w="3024"/>
            <w:vAlign w:val="top"/>
          </w:tcPr>
          <w:p>
            <w:pPr>
              <w:spacing w:after="0"/>
            </w:pPr>
            <w:r/>
            <w:r>
              <w:rPr>
                <w:rFonts w:ascii="Times New Roman" w:hAnsi="Times New Roman"/>
                <w:b w:val="0"/>
                <w:sz w:val="18"/>
              </w:rPr>
              <w:t>Measures how many recipe ingredients align with available pantry items.</w:t>
            </w:r>
          </w:p>
        </w:tc>
      </w:tr>
      <w:tr>
        <w:tc>
          <w:tcPr>
            <w:tcW w:type="dxa" w:w="2160"/>
            <w:vAlign w:val="top"/>
          </w:tcPr>
          <w:p>
            <w:pPr>
              <w:spacing w:after="0"/>
            </w:pPr>
            <w:r/>
            <w:r>
              <w:rPr>
                <w:rFonts w:ascii="Times New Roman" w:hAnsi="Times New Roman"/>
                <w:b w:val="0"/>
                <w:sz w:val="18"/>
              </w:rPr>
              <w:t>Score contribution</w:t>
            </w:r>
          </w:p>
        </w:tc>
        <w:tc>
          <w:tcPr>
            <w:tcW w:type="dxa" w:w="4032"/>
            <w:vAlign w:val="top"/>
          </w:tcPr>
          <w:p>
            <w:pPr>
              <w:spacing w:after="0"/>
            </w:pPr>
            <w:r/>
            <w:r>
              <w:rPr>
                <w:rFonts w:ascii="Times New Roman" w:hAnsi="Times New Roman"/>
                <w:b w:val="0"/>
                <w:sz w:val="18"/>
              </w:rPr>
              <w:t>pantry bonus = 1.5 * pantryMatch</w:t>
            </w:r>
          </w:p>
        </w:tc>
        <w:tc>
          <w:tcPr>
            <w:tcW w:type="dxa" w:w="3024"/>
            <w:vAlign w:val="top"/>
          </w:tcPr>
          <w:p>
            <w:pPr>
              <w:spacing w:after="0"/>
            </w:pPr>
            <w:r/>
            <w:r>
              <w:rPr>
                <w:rFonts w:ascii="Times New Roman" w:hAnsi="Times New Roman"/>
                <w:b w:val="0"/>
                <w:sz w:val="18"/>
              </w:rPr>
              <w:t>Encourages but does not force pantry-use recipes.</w:t>
            </w:r>
          </w:p>
        </w:tc>
      </w:tr>
      <w:tr>
        <w:tc>
          <w:tcPr>
            <w:tcW w:type="dxa" w:w="2160"/>
            <w:vAlign w:val="top"/>
          </w:tcPr>
          <w:p>
            <w:pPr>
              <w:spacing w:after="0"/>
            </w:pPr>
            <w:r/>
            <w:r>
              <w:rPr>
                <w:rFonts w:ascii="Times New Roman" w:hAnsi="Times New Roman"/>
                <w:b w:val="0"/>
                <w:sz w:val="18"/>
              </w:rPr>
              <w:t>Grocery gap</w:t>
            </w:r>
          </w:p>
        </w:tc>
        <w:tc>
          <w:tcPr>
            <w:tcW w:type="dxa" w:w="4032"/>
            <w:vAlign w:val="top"/>
          </w:tcPr>
          <w:p>
            <w:pPr>
              <w:spacing w:after="0"/>
            </w:pPr>
            <w:r/>
            <w:r>
              <w:rPr>
                <w:rFonts w:ascii="Times New Roman" w:hAnsi="Times New Roman"/>
                <w:b w:val="0"/>
                <w:sz w:val="18"/>
              </w:rPr>
              <w:t>g_i = max(0, plannedQuantity_i - pantryQuantity_i), when comparable quantities exist</w:t>
            </w:r>
          </w:p>
        </w:tc>
        <w:tc>
          <w:tcPr>
            <w:tcW w:type="dxa" w:w="3024"/>
            <w:vAlign w:val="top"/>
          </w:tcPr>
          <w:p>
            <w:pPr>
              <w:spacing w:after="0"/>
            </w:pPr>
            <w:r/>
            <w:r>
              <w:rPr>
                <w:rFonts w:ascii="Times New Roman" w:hAnsi="Times New Roman"/>
                <w:b w:val="0"/>
                <w:sz w:val="18"/>
              </w:rPr>
              <w:t>Separates likely to-buy items from pantry-covered items where quantity data allow it.</w:t>
            </w:r>
          </w:p>
        </w:tc>
      </w:tr>
    </w:tbl>
    <w:p/>
    <w:p>
      <w:pPr>
        <w:pStyle w:val="Heading2"/>
      </w:pPr>
      <w:r>
        <w:rPr>
          <w:rFonts w:ascii="Times New Roman" w:hAnsi="Times New Roman"/>
          <w:color w:val="2F6B3F"/>
        </w:rPr>
        <w:t>4.3.3 Pantry-Aware Planning Signal</w:t>
      </w:r>
    </w:p>
    <w:p>
      <w:pPr>
        <w:spacing w:after="120" w:line="269" w:lineRule="auto"/>
        <w:ind w:firstLine="360"/>
      </w:pPr>
      <w:r>
        <w:rPr>
          <w:rFonts w:ascii="Times New Roman" w:hAnsi="Times New Roman"/>
          <w:sz w:val="22"/>
        </w:rPr>
        <w:t>Pantry overlap can influence candidate ranking and objective rewards. A recipe with stronger pantry overlap may be preferred over an otherwise similar recipe because it uses what the user already has. However, pantry overlap must not override nutrition adequacy, allergy safety, explicit restrictions, budget ceilings, or repetition controls. This is why pantry is described as a planning signal and grocery-support mechanism rather than the sole decision rule.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Pantry behavior</w:t>
            </w:r>
          </w:p>
        </w:tc>
        <w:tc>
          <w:tcPr>
            <w:tcW w:type="dxa" w:w="3264"/>
            <w:vAlign w:val="top"/>
            <w:shd w:fill="E2F0D9"/>
          </w:tcPr>
          <w:p>
            <w:pPr>
              <w:spacing w:after="0"/>
            </w:pPr>
            <w:r/>
            <w:r>
              <w:rPr>
                <w:rFonts w:ascii="Times New Roman" w:hAnsi="Times New Roman"/>
                <w:b/>
                <w:sz w:val="18"/>
              </w:rPr>
              <w:t>Supported by current evidence</w:t>
            </w:r>
          </w:p>
        </w:tc>
        <w:tc>
          <w:tcPr>
            <w:tcW w:type="dxa" w:w="3264"/>
            <w:vAlign w:val="top"/>
            <w:shd w:fill="E2F0D9"/>
          </w:tcPr>
          <w:p>
            <w:pPr>
              <w:spacing w:after="0"/>
            </w:pPr>
            <w:r/>
            <w:r>
              <w:rPr>
                <w:rFonts w:ascii="Times New Roman" w:hAnsi="Times New Roman"/>
                <w:b/>
                <w:sz w:val="18"/>
              </w:rPr>
              <w:t>Claim boundary</w:t>
            </w:r>
          </w:p>
        </w:tc>
      </w:tr>
      <w:tr>
        <w:tc>
          <w:tcPr>
            <w:tcW w:type="dxa" w:w="3264"/>
            <w:vAlign w:val="top"/>
          </w:tcPr>
          <w:p>
            <w:pPr>
              <w:spacing w:after="0"/>
            </w:pPr>
            <w:r/>
            <w:r>
              <w:rPr>
                <w:rFonts w:ascii="Times New Roman" w:hAnsi="Times New Roman"/>
                <w:b w:val="0"/>
                <w:sz w:val="18"/>
              </w:rPr>
              <w:t>Pantry overlap</w:t>
            </w:r>
          </w:p>
        </w:tc>
        <w:tc>
          <w:tcPr>
            <w:tcW w:type="dxa" w:w="3264"/>
            <w:vAlign w:val="top"/>
          </w:tcPr>
          <w:p>
            <w:pPr>
              <w:spacing w:after="0"/>
            </w:pPr>
            <w:r/>
            <w:r>
              <w:rPr>
                <w:rFonts w:ascii="Times New Roman" w:hAnsi="Times New Roman"/>
                <w:b w:val="0"/>
                <w:sz w:val="18"/>
              </w:rPr>
              <w:t>Scenario 4 recorded 38 pantry-overlap matches such as chicken, egg, garlic, and tomato.</w:t>
            </w:r>
          </w:p>
        </w:tc>
        <w:tc>
          <w:tcPr>
            <w:tcW w:type="dxa" w:w="3264"/>
            <w:vAlign w:val="top"/>
          </w:tcPr>
          <w:p>
            <w:pPr>
              <w:spacing w:after="0"/>
            </w:pPr>
            <w:r/>
            <w:r>
              <w:rPr>
                <w:rFonts w:ascii="Times New Roman" w:hAnsi="Times New Roman"/>
                <w:b w:val="0"/>
                <w:sz w:val="18"/>
              </w:rPr>
              <w:t>Shows pantry signals are used in planning, not measured food-waste reduction.</w:t>
            </w:r>
          </w:p>
        </w:tc>
      </w:tr>
      <w:tr>
        <w:tc>
          <w:tcPr>
            <w:tcW w:type="dxa" w:w="3264"/>
            <w:vAlign w:val="top"/>
          </w:tcPr>
          <w:p>
            <w:pPr>
              <w:spacing w:after="0"/>
            </w:pPr>
            <w:r/>
            <w:r>
              <w:rPr>
                <w:rFonts w:ascii="Times New Roman" w:hAnsi="Times New Roman"/>
                <w:b w:val="0"/>
                <w:sz w:val="18"/>
              </w:rPr>
              <w:t>Grocery guidance</w:t>
            </w:r>
          </w:p>
        </w:tc>
        <w:tc>
          <w:tcPr>
            <w:tcW w:type="dxa" w:w="3264"/>
            <w:vAlign w:val="top"/>
          </w:tcPr>
          <w:p>
            <w:pPr>
              <w:spacing w:after="0"/>
            </w:pPr>
            <w:r/>
            <w:r>
              <w:rPr>
                <w:rFonts w:ascii="Times New Roman" w:hAnsi="Times New Roman"/>
                <w:b w:val="0"/>
                <w:sz w:val="18"/>
              </w:rPr>
              <w:t>The grocery module consolidates recipe requirements and flags pantry-covered items.</w:t>
            </w:r>
          </w:p>
        </w:tc>
        <w:tc>
          <w:tcPr>
            <w:tcW w:type="dxa" w:w="3264"/>
            <w:vAlign w:val="top"/>
          </w:tcPr>
          <w:p>
            <w:pPr>
              <w:spacing w:after="0"/>
            </w:pPr>
            <w:r/>
            <w:r>
              <w:rPr>
                <w:rFonts w:ascii="Times New Roman" w:hAnsi="Times New Roman"/>
                <w:b w:val="0"/>
                <w:sz w:val="18"/>
              </w:rPr>
              <w:t>Estimated guidance depends on ingredient and quantity data quality.</w:t>
            </w:r>
          </w:p>
        </w:tc>
      </w:tr>
      <w:tr>
        <w:tc>
          <w:tcPr>
            <w:tcW w:type="dxa" w:w="3264"/>
            <w:vAlign w:val="top"/>
          </w:tcPr>
          <w:p>
            <w:pPr>
              <w:spacing w:after="0"/>
            </w:pPr>
            <w:r/>
            <w:r>
              <w:rPr>
                <w:rFonts w:ascii="Times New Roman" w:hAnsi="Times New Roman"/>
                <w:b w:val="0"/>
                <w:sz w:val="18"/>
              </w:rPr>
              <w:t>Budget interaction</w:t>
            </w:r>
          </w:p>
        </w:tc>
        <w:tc>
          <w:tcPr>
            <w:tcW w:type="dxa" w:w="3264"/>
            <w:vAlign w:val="top"/>
          </w:tcPr>
          <w:p>
            <w:pPr>
              <w:spacing w:after="0"/>
            </w:pPr>
            <w:r/>
            <w:r>
              <w:rPr>
                <w:rFonts w:ascii="Times New Roman" w:hAnsi="Times New Roman"/>
                <w:b w:val="0"/>
                <w:sz w:val="18"/>
              </w:rPr>
              <w:t>Budget remains a hard constraint when configured.</w:t>
            </w:r>
          </w:p>
        </w:tc>
        <w:tc>
          <w:tcPr>
            <w:tcW w:type="dxa" w:w="3264"/>
            <w:vAlign w:val="top"/>
          </w:tcPr>
          <w:p>
            <w:pPr>
              <w:spacing w:after="0"/>
            </w:pPr>
            <w:r/>
            <w:r>
              <w:rPr>
                <w:rFonts w:ascii="Times New Roman" w:hAnsi="Times New Roman"/>
                <w:b w:val="0"/>
                <w:sz w:val="18"/>
              </w:rPr>
              <w:t>Pantry convenience cannot justify violating budget or nutrition rules.</w:t>
            </w:r>
          </w:p>
        </w:tc>
      </w:tr>
      <w:tr>
        <w:tc>
          <w:tcPr>
            <w:tcW w:type="dxa" w:w="3264"/>
            <w:vAlign w:val="top"/>
          </w:tcPr>
          <w:p>
            <w:pPr>
              <w:spacing w:after="0"/>
            </w:pPr>
            <w:r/>
            <w:r>
              <w:rPr>
                <w:rFonts w:ascii="Times New Roman" w:hAnsi="Times New Roman"/>
                <w:b w:val="0"/>
                <w:sz w:val="18"/>
              </w:rPr>
              <w:t>Nutrition adequacy</w:t>
            </w:r>
          </w:p>
        </w:tc>
        <w:tc>
          <w:tcPr>
            <w:tcW w:type="dxa" w:w="3264"/>
            <w:vAlign w:val="top"/>
          </w:tcPr>
          <w:p>
            <w:pPr>
              <w:spacing w:after="0"/>
            </w:pPr>
            <w:r/>
            <w:r>
              <w:rPr>
                <w:rFonts w:ascii="Times New Roman" w:hAnsi="Times New Roman"/>
                <w:b w:val="0"/>
                <w:sz w:val="18"/>
              </w:rPr>
              <w:t>Final benchmark passed nutrition feasibility in 100/100 final runs.</w:t>
            </w:r>
          </w:p>
        </w:tc>
        <w:tc>
          <w:tcPr>
            <w:tcW w:type="dxa" w:w="3264"/>
            <w:vAlign w:val="top"/>
          </w:tcPr>
          <w:p>
            <w:pPr>
              <w:spacing w:after="0"/>
            </w:pPr>
            <w:r/>
            <w:r>
              <w:rPr>
                <w:rFonts w:ascii="Times New Roman" w:hAnsi="Times New Roman"/>
                <w:b w:val="0"/>
                <w:sz w:val="18"/>
              </w:rPr>
              <w:t>Pantry-aware planning remains subordinate to nutrition safety.</w:t>
            </w:r>
          </w:p>
        </w:tc>
      </w:tr>
    </w:tbl>
    <w:p/>
    <w:p>
      <w:pPr>
        <w:pStyle w:val="Heading2"/>
      </w:pPr>
      <w:r>
        <w:rPr>
          <w:rFonts w:ascii="Times New Roman" w:hAnsi="Times New Roman"/>
          <w:color w:val="2F6B3F"/>
        </w:rPr>
        <w:t>4.3.4 Grocery Guidance Outputs</w:t>
      </w:r>
    </w:p>
    <w:p>
      <w:pPr>
        <w:spacing w:after="120" w:line="269" w:lineRule="auto"/>
        <w:ind w:firstLine="360"/>
      </w:pPr>
      <w:r>
        <w:rPr>
          <w:rFonts w:ascii="Times New Roman" w:hAnsi="Times New Roman"/>
          <w:sz w:val="22"/>
        </w:rPr>
        <w:t>After meal planning, the grocery list aggregates planned recipe ingredients and estimated costs. The user-facing grocery list can separate to-buy items, bought items, and pantry-covered items where supported by the current interface. This makes pantry data actionable because users do not only see a meal plan; they also see how the plan translates into shopping guidance.</w:t>
      </w:r>
    </w:p>
    <w:p>
      <w:pPr>
        <w:jc w:val="center"/>
      </w:pPr>
      <w:r>
        <w:drawing>
          <wp:inline xmlns:a="http://schemas.openxmlformats.org/drawingml/2006/main" xmlns:pic="http://schemas.openxmlformats.org/drawingml/2006/picture">
            <wp:extent cx="5303520" cy="3093720"/>
            <wp:docPr id="12" name="Picture 12"/>
            <wp:cNvGraphicFramePr>
              <a:graphicFrameLocks noChangeAspect="1"/>
            </wp:cNvGraphicFramePr>
            <a:graphic>
              <a:graphicData uri="http://schemas.openxmlformats.org/drawingml/2006/picture">
                <pic:pic>
                  <pic:nvPicPr>
                    <pic:cNvPr id="0" name="figure_19_scenario_runtime_nutrition_comparison.png"/>
                    <pic:cNvPicPr/>
                  </pic:nvPicPr>
                  <pic:blipFill>
                    <a:blip r:embed="rId20"/>
                    <a:stretch>
                      <a:fillRect/>
                    </a:stretch>
                  </pic:blipFill>
                  <pic:spPr>
                    <a:xfrm>
                      <a:off x="0" y="0"/>
                      <a:ext cx="5303520" cy="3093720"/>
                    </a:xfrm>
                    <a:prstGeom prst="rect"/>
                  </pic:spPr>
                </pic:pic>
              </a:graphicData>
            </a:graphic>
          </wp:inline>
        </w:drawing>
      </w:r>
    </w:p>
    <w:p>
      <w:pPr>
        <w:jc w:val="center"/>
      </w:pPr>
      <w:r>
        <w:rPr>
          <w:b w:val="0"/>
          <w:i/>
          <w:sz w:val="18"/>
        </w:rPr>
        <w:t>Figure 4.14. Scenario-level runtime and nutrition comparison from Chapter 4 assets.</w:t>
      </w:r>
    </w:p>
    <w:p>
      <w:pPr>
        <w:pStyle w:val="Heading2"/>
      </w:pPr>
      <w:r>
        <w:rPr>
          <w:rFonts w:ascii="Times New Roman" w:hAnsi="Times New Roman"/>
          <w:color w:val="2F6B3F"/>
        </w:rPr>
        <w:t>4.3.5 Evidence and Boundary</w:t>
      </w:r>
    </w:p>
    <w:p>
      <w:pPr>
        <w:spacing w:after="120" w:line="269" w:lineRule="auto"/>
        <w:ind w:firstLine="360"/>
      </w:pPr>
      <w:r>
        <w:rPr>
          <w:rFonts w:ascii="Times New Roman" w:hAnsi="Times New Roman"/>
          <w:sz w:val="22"/>
        </w:rPr>
        <w:t>The final interpretation for SOP 3 is that PCOSina integrates pantry records to support pantry-aware recipe prioritization and grocery guidance. It helps promote reduced unnecessary purchases, but the paper should avoid saying that actual household food waste was proven to decrease. The credible claim is system-level support, not measured household outcome.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Evidence item</w:t>
            </w:r>
          </w:p>
        </w:tc>
        <w:tc>
          <w:tcPr>
            <w:tcW w:type="dxa" w:w="3264"/>
            <w:vAlign w:val="top"/>
            <w:shd w:fill="E2F0D9"/>
          </w:tcPr>
          <w:p>
            <w:pPr>
              <w:spacing w:after="0"/>
            </w:pPr>
            <w:r/>
            <w:r>
              <w:rPr>
                <w:rFonts w:ascii="Times New Roman" w:hAnsi="Times New Roman"/>
                <w:b/>
                <w:sz w:val="18"/>
              </w:rPr>
              <w:t>Result / observation</w:t>
            </w:r>
          </w:p>
        </w:tc>
        <w:tc>
          <w:tcPr>
            <w:tcW w:type="dxa" w:w="3264"/>
            <w:vAlign w:val="top"/>
            <w:shd w:fill="E2F0D9"/>
          </w:tcPr>
          <w:p>
            <w:pPr/>
            <w:r>
              <w:rPr>
                <w:b w:val="0"/>
                <w:i w:val="0"/>
              </w:rPr>
              <w:t>Paper-ready wording</w:t>
            </w:r>
          </w:p>
        </w:tc>
      </w:tr>
      <w:tr>
        <w:tc>
          <w:tcPr>
            <w:tcW w:type="dxa" w:w="3264"/>
            <w:vAlign w:val="top"/>
          </w:tcPr>
          <w:p>
            <w:pPr>
              <w:spacing w:after="0"/>
            </w:pPr>
            <w:r/>
            <w:r>
              <w:rPr>
                <w:rFonts w:ascii="Times New Roman" w:hAnsi="Times New Roman"/>
                <w:b w:val="0"/>
                <w:sz w:val="18"/>
              </w:rPr>
              <w:t>Pantry-overlap behavior</w:t>
            </w:r>
          </w:p>
        </w:tc>
        <w:tc>
          <w:tcPr>
            <w:tcW w:type="dxa" w:w="3264"/>
            <w:vAlign w:val="top"/>
          </w:tcPr>
          <w:p>
            <w:pPr>
              <w:spacing w:after="0"/>
            </w:pPr>
            <w:r/>
            <w:r>
              <w:rPr>
                <w:rFonts w:ascii="Times New Roman" w:hAnsi="Times New Roman"/>
                <w:b w:val="0"/>
                <w:sz w:val="18"/>
              </w:rPr>
              <w:t>Scenario 4 recorded 38 pantry-overlap matches.</w:t>
            </w:r>
          </w:p>
        </w:tc>
        <w:tc>
          <w:tcPr>
            <w:tcW w:type="dxa" w:w="3264"/>
            <w:vAlign w:val="top"/>
          </w:tcPr>
          <w:p>
            <w:pPr>
              <w:spacing w:after="0"/>
            </w:pPr>
            <w:r/>
            <w:r>
              <w:rPr>
                <w:rFonts w:ascii="Times New Roman" w:hAnsi="Times New Roman"/>
                <w:b w:val="0"/>
                <w:sz w:val="18"/>
              </w:rPr>
              <w:t>The planner considered available ingredients during ranking and planning.</w:t>
            </w:r>
          </w:p>
        </w:tc>
      </w:tr>
      <w:tr>
        <w:tc>
          <w:tcPr>
            <w:tcW w:type="dxa" w:w="3264"/>
            <w:vAlign w:val="top"/>
          </w:tcPr>
          <w:p>
            <w:pPr>
              <w:spacing w:after="0"/>
            </w:pPr>
            <w:r/>
            <w:r>
              <w:rPr>
                <w:rFonts w:ascii="Times New Roman" w:hAnsi="Times New Roman"/>
                <w:b w:val="0"/>
                <w:sz w:val="18"/>
              </w:rPr>
              <w:t>Grocery deficit guidance</w:t>
            </w:r>
          </w:p>
        </w:tc>
        <w:tc>
          <w:tcPr>
            <w:tcW w:type="dxa" w:w="3264"/>
            <w:vAlign w:val="top"/>
          </w:tcPr>
          <w:p>
            <w:pPr>
              <w:spacing w:after="0"/>
            </w:pPr>
            <w:r/>
            <w:r>
              <w:rPr>
                <w:rFonts w:ascii="Times New Roman" w:hAnsi="Times New Roman"/>
                <w:b w:val="0"/>
                <w:sz w:val="18"/>
              </w:rPr>
              <w:t>Grocery requirements are consolidated and pantry-covered items can be identified.</w:t>
            </w:r>
          </w:p>
        </w:tc>
        <w:tc>
          <w:tcPr>
            <w:tcW w:type="dxa" w:w="3264"/>
            <w:vAlign w:val="top"/>
          </w:tcPr>
          <w:p>
            <w:pPr>
              <w:spacing w:after="0"/>
            </w:pPr>
            <w:r/>
            <w:r>
              <w:rPr>
                <w:rFonts w:ascii="Times New Roman" w:hAnsi="Times New Roman"/>
                <w:b w:val="0"/>
                <w:sz w:val="18"/>
              </w:rPr>
              <w:t>The app supports shopping-list organization from planned meals.</w:t>
            </w:r>
          </w:p>
        </w:tc>
      </w:tr>
      <w:tr>
        <w:tc>
          <w:tcPr>
            <w:tcW w:type="dxa" w:w="3264"/>
            <w:vAlign w:val="top"/>
          </w:tcPr>
          <w:p>
            <w:pPr>
              <w:spacing w:after="0"/>
            </w:pPr>
            <w:r/>
            <w:r>
              <w:rPr>
                <w:rFonts w:ascii="Times New Roman" w:hAnsi="Times New Roman"/>
                <w:b w:val="0"/>
                <w:sz w:val="18"/>
              </w:rPr>
              <w:t>Functional Suitability</w:t>
            </w:r>
          </w:p>
        </w:tc>
        <w:tc>
          <w:tcPr>
            <w:tcW w:type="dxa" w:w="3264"/>
            <w:vAlign w:val="top"/>
          </w:tcPr>
          <w:p>
            <w:pPr>
              <w:spacing w:after="0"/>
            </w:pPr>
            <w:r/>
            <w:r>
              <w:rPr>
                <w:rFonts w:ascii="Times New Roman" w:hAnsi="Times New Roman"/>
                <w:b w:val="0"/>
                <w:sz w:val="18"/>
              </w:rPr>
              <w:t>Positive evaluation for pantry-aware recommendations and grocery reduction features.</w:t>
            </w:r>
          </w:p>
        </w:tc>
        <w:tc>
          <w:tcPr>
            <w:tcW w:type="dxa" w:w="3264"/>
            <w:vAlign w:val="top"/>
          </w:tcPr>
          <w:p>
            <w:pPr>
              <w:spacing w:after="0"/>
            </w:pPr>
            <w:r/>
            <w:r>
              <w:rPr>
                <w:rFonts w:ascii="Times New Roman" w:hAnsi="Times New Roman"/>
                <w:b w:val="0"/>
                <w:sz w:val="18"/>
              </w:rPr>
              <w:t>Users recognized the usefulness of pantry-aware support.</w:t>
            </w:r>
          </w:p>
        </w:tc>
      </w:tr>
      <w:tr>
        <w:tc>
          <w:tcPr>
            <w:tcW w:type="dxa" w:w="3264"/>
            <w:vAlign w:val="top"/>
          </w:tcPr>
          <w:p>
            <w:pPr>
              <w:spacing w:after="0"/>
            </w:pPr>
            <w:r/>
            <w:r>
              <w:rPr>
                <w:rFonts w:ascii="Times New Roman" w:hAnsi="Times New Roman"/>
                <w:b w:val="0"/>
                <w:sz w:val="18"/>
              </w:rPr>
              <w:t>Boundary</w:t>
            </w:r>
          </w:p>
        </w:tc>
        <w:tc>
          <w:tcPr>
            <w:tcW w:type="dxa" w:w="3264"/>
            <w:vAlign w:val="top"/>
          </w:tcPr>
          <w:p>
            <w:pPr>
              <w:spacing w:after="0"/>
            </w:pPr>
            <w:r/>
            <w:r>
              <w:rPr>
                <w:rFonts w:ascii="Times New Roman" w:hAnsi="Times New Roman"/>
                <w:b w:val="0"/>
                <w:sz w:val="18"/>
              </w:rPr>
              <w:t>No measured household food-waste reduction study.</w:t>
            </w:r>
          </w:p>
        </w:tc>
        <w:tc>
          <w:tcPr>
            <w:tcW w:type="dxa" w:w="3264"/>
            <w:vAlign w:val="top"/>
          </w:tcPr>
          <w:p>
            <w:pPr>
              <w:spacing w:after="0"/>
            </w:pPr>
            <w:r/>
            <w:r>
              <w:rPr>
                <w:rFonts w:ascii="Times New Roman" w:hAnsi="Times New Roman"/>
                <w:b w:val="0"/>
                <w:sz w:val="18"/>
              </w:rPr>
              <w:t>Use 'helps promote' or 'supports' reduced purchases, not 'proves' waste reduction.</w:t>
            </w:r>
          </w:p>
        </w:tc>
      </w:tr>
    </w:tbl>
    <w:p/>
    <w:p>
      <w:pPr>
        <w:pStyle w:val="Heading1"/>
      </w:pPr>
      <w:r>
        <w:rPr>
          <w:rFonts w:ascii="Times New Roman" w:hAnsi="Times New Roman"/>
          <w:color w:val="2F6B3F"/>
        </w:rPr>
        <w:t>4.4 Offline-First Mobile Support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Revised SOP 4 question</w:t>
            </w:r>
          </w:p>
        </w:tc>
      </w:tr>
      <w:tr>
        <w:tc>
          <w:tcPr>
            <w:tcW w:type="dxa" w:w="9792"/>
            <w:vAlign w:val="top"/>
            <w:shd w:fill="F3FAF1"/>
          </w:tcPr>
          <w:p>
            <w:pPr>
              <w:spacing w:after="0"/>
            </w:pPr>
            <w:r/>
            <w:r>
              <w:rPr>
                <w:rFonts w:ascii="Times New Roman" w:hAnsi="Times New Roman"/>
                <w:b w:val="0"/>
                <w:sz w:val="20"/>
              </w:rPr>
              <w:t>How can an offline-first mobile application be designed to support saved meal planning, saved recipe access, grocery/pantry management, and progress tracking in environments with limited or no internet connectivity?</w:t>
            </w:r>
          </w:p>
        </w:tc>
      </w:tr>
    </w:tbl>
    <w:p/>
    <w:p>
      <w:pPr>
        <w:jc w:val="center"/>
      </w:pPr>
      <w:r>
        <w:drawing>
          <wp:inline xmlns:a="http://schemas.openxmlformats.org/drawingml/2006/main" xmlns:pic="http://schemas.openxmlformats.org/drawingml/2006/picture">
            <wp:extent cx="5760720" cy="1664208"/>
            <wp:docPr id="13" name="Picture 13"/>
            <wp:cNvGraphicFramePr>
              <a:graphicFrameLocks noChangeAspect="1"/>
            </wp:cNvGraphicFramePr>
            <a:graphic>
              <a:graphicData uri="http://schemas.openxmlformats.org/drawingml/2006/picture">
                <pic:pic>
                  <pic:nvPicPr>
                    <pic:cNvPr id="0" name="sop4_flow.png"/>
                    <pic:cNvPicPr/>
                  </pic:nvPicPr>
                  <pic:blipFill>
                    <a:blip r:embed="rId21"/>
                    <a:stretch>
                      <a:fillRect/>
                    </a:stretch>
                  </pic:blipFill>
                  <pic:spPr>
                    <a:xfrm>
                      <a:off x="0" y="0"/>
                      <a:ext cx="5760720" cy="1664208"/>
                    </a:xfrm>
                    <a:prstGeom prst="rect"/>
                  </pic:spPr>
                </pic:pic>
              </a:graphicData>
            </a:graphic>
          </wp:inline>
        </w:drawing>
      </w:r>
    </w:p>
    <w:p>
      <w:pPr>
        <w:jc w:val="center"/>
      </w:pPr>
      <w:r>
        <w:rPr>
          <w:b w:val="0"/>
          <w:i/>
          <w:sz w:val="18"/>
        </w:rPr>
        <w:t>Figure 4.15. Process flow for SOP 4 offline-first continuity.</w:t>
      </w:r>
    </w:p>
    <w:p>
      <w:pPr>
        <w:jc w:val="center"/>
      </w:pPr>
      <w:r>
        <w:drawing>
          <wp:inline xmlns:a="http://schemas.openxmlformats.org/drawingml/2006/main" xmlns:pic="http://schemas.openxmlformats.org/drawingml/2006/picture">
            <wp:extent cx="5303520" cy="3899368"/>
            <wp:docPr id="14" name="Picture 14"/>
            <wp:cNvGraphicFramePr>
              <a:graphicFrameLocks noChangeAspect="1"/>
            </wp:cNvGraphicFramePr>
            <a:graphic>
              <a:graphicData uri="http://schemas.openxmlformats.org/drawingml/2006/picture">
                <pic:pic>
                  <pic:nvPicPr>
                    <pic:cNvPr id="0" name="figure_08.png"/>
                    <pic:cNvPicPr/>
                  </pic:nvPicPr>
                  <pic:blipFill>
                    <a:blip r:embed="rId22"/>
                    <a:stretch>
                      <a:fillRect/>
                    </a:stretch>
                  </pic:blipFill>
                  <pic:spPr>
                    <a:xfrm>
                      <a:off x="0" y="0"/>
                      <a:ext cx="5303520" cy="3899368"/>
                    </a:xfrm>
                    <a:prstGeom prst="rect"/>
                  </pic:spPr>
                </pic:pic>
              </a:graphicData>
            </a:graphic>
          </wp:inline>
        </w:drawing>
      </w:r>
    </w:p>
    <w:p>
      <w:pPr>
        <w:jc w:val="center"/>
      </w:pPr>
      <w:r>
        <w:rPr>
          <w:b w:val="0"/>
          <w:i/>
          <w:sz w:val="18"/>
        </w:rPr>
        <w:t>Figure 4.16. System architecture source visual from the evidence dossier.</w:t>
      </w:r>
    </w:p>
    <w:p>
      <w:pPr>
        <w:jc w:val="center"/>
      </w:pPr>
      <w:r>
        <w:drawing>
          <wp:inline xmlns:a="http://schemas.openxmlformats.org/drawingml/2006/main" xmlns:pic="http://schemas.openxmlformats.org/drawingml/2006/picture">
            <wp:extent cx="5303520" cy="4728730"/>
            <wp:docPr id="15" name="Picture 15"/>
            <wp:cNvGraphicFramePr>
              <a:graphicFrameLocks noChangeAspect="1"/>
            </wp:cNvGraphicFramePr>
            <a:graphic>
              <a:graphicData uri="http://schemas.openxmlformats.org/drawingml/2006/picture">
                <pic:pic>
                  <pic:nvPicPr>
                    <pic:cNvPr id="0" name="figure_09.png"/>
                    <pic:cNvPicPr/>
                  </pic:nvPicPr>
                  <pic:blipFill>
                    <a:blip r:embed="rId23"/>
                    <a:stretch>
                      <a:fillRect/>
                    </a:stretch>
                  </pic:blipFill>
                  <pic:spPr>
                    <a:xfrm>
                      <a:off x="0" y="0"/>
                      <a:ext cx="5303520" cy="4728730"/>
                    </a:xfrm>
                    <a:prstGeom prst="rect"/>
                  </pic:spPr>
                </pic:pic>
              </a:graphicData>
            </a:graphic>
          </wp:inline>
        </w:drawing>
      </w:r>
    </w:p>
    <w:p>
      <w:pPr>
        <w:jc w:val="center"/>
      </w:pPr>
      <w:r>
        <w:rPr>
          <w:b w:val="0"/>
          <w:i/>
          <w:sz w:val="18"/>
        </w:rPr>
        <w:t>Figure 4.17. Offline-first workflow source visual from the evidence dossier.</w:t>
      </w:r>
    </w:p>
    <w:p>
      <w:pPr>
        <w:jc w:val="center"/>
      </w:pPr>
      <w:r>
        <w:drawing>
          <wp:inline xmlns:a="http://schemas.openxmlformats.org/drawingml/2006/main" xmlns:pic="http://schemas.openxmlformats.org/drawingml/2006/picture">
            <wp:extent cx="5303520" cy="10634953"/>
            <wp:docPr id="16" name="Picture 16"/>
            <wp:cNvGraphicFramePr>
              <a:graphicFrameLocks noChangeAspect="1"/>
            </wp:cNvGraphicFramePr>
            <a:graphic>
              <a:graphicData uri="http://schemas.openxmlformats.org/drawingml/2006/picture">
                <pic:pic>
                  <pic:nvPicPr>
                    <pic:cNvPr id="0" name="figure_10.png"/>
                    <pic:cNvPicPr/>
                  </pic:nvPicPr>
                  <pic:blipFill>
                    <a:blip r:embed="rId24"/>
                    <a:stretch>
                      <a:fillRect/>
                    </a:stretch>
                  </pic:blipFill>
                  <pic:spPr>
                    <a:xfrm>
                      <a:off x="0" y="0"/>
                      <a:ext cx="5303520" cy="10634953"/>
                    </a:xfrm>
                    <a:prstGeom prst="rect"/>
                  </pic:spPr>
                </pic:pic>
              </a:graphicData>
            </a:graphic>
          </wp:inline>
        </w:drawing>
      </w:r>
    </w:p>
    <w:p>
      <w:pPr>
        <w:jc w:val="center"/>
      </w:pPr>
      <w:r>
        <w:rPr>
          <w:b w:val="0"/>
          <w:i/>
          <w:sz w:val="18"/>
        </w:rPr>
        <w:t>Figure 4.18. Online and offline availability map source visual from the evidence dossier.</w:t>
      </w:r>
    </w:p>
    <w:p>
      <w:pPr>
        <w:pStyle w:val="Heading2"/>
      </w:pPr>
      <w:r>
        <w:rPr>
          <w:rFonts w:ascii="Times New Roman" w:hAnsi="Times New Roman"/>
          <w:color w:val="2F6B3F"/>
        </w:rPr>
        <w:t>4.4.1 Offline-First Scope and Boundary</w:t>
      </w:r>
    </w:p>
    <w:p>
      <w:pPr>
        <w:spacing w:after="120" w:line="269" w:lineRule="auto"/>
        <w:ind w:firstLine="360"/>
      </w:pPr>
      <w:r>
        <w:rPr>
          <w:rFonts w:ascii="Times New Roman" w:hAnsi="Times New Roman"/>
          <w:sz w:val="22"/>
        </w:rPr>
        <w:t>Offline-first in PCOSina means saved user-facing artifacts remain accessible after they have been created or retrieved. It does not mean every feature is fully offline. New optimized plan generation remains backend-dependent because the current planner uses the remote CP-SAT optimization service. The important design promise is saved-data continuity under limited connectivity.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Feature group</w:t>
            </w:r>
          </w:p>
        </w:tc>
        <w:tc>
          <w:tcPr>
            <w:tcW w:type="dxa" w:w="3264"/>
            <w:vAlign w:val="top"/>
            <w:shd w:fill="E2F0D9"/>
          </w:tcPr>
          <w:p>
            <w:pPr>
              <w:spacing w:after="0"/>
            </w:pPr>
            <w:r/>
            <w:r>
              <w:rPr>
                <w:rFonts w:ascii="Times New Roman" w:hAnsi="Times New Roman"/>
                <w:b/>
                <w:sz w:val="18"/>
              </w:rPr>
              <w:t>Offline after saved?</w:t>
            </w:r>
          </w:p>
        </w:tc>
        <w:tc>
          <w:tcPr>
            <w:tcW w:type="dxa" w:w="3264"/>
            <w:vAlign w:val="top"/>
            <w:shd w:fill="E2F0D9"/>
          </w:tcPr>
          <w:p>
            <w:pPr>
              <w:spacing w:after="0"/>
            </w:pPr>
            <w:r/>
            <w:r>
              <w:rPr>
                <w:rFonts w:ascii="Times New Roman" w:hAnsi="Times New Roman"/>
                <w:b/>
                <w:sz w:val="18"/>
              </w:rPr>
              <w:t>Network-dependent boundary</w:t>
            </w:r>
          </w:p>
        </w:tc>
      </w:tr>
      <w:tr>
        <w:tc>
          <w:tcPr>
            <w:tcW w:type="dxa" w:w="3264"/>
            <w:vAlign w:val="top"/>
          </w:tcPr>
          <w:p>
            <w:pPr>
              <w:spacing w:after="0"/>
            </w:pPr>
            <w:r/>
            <w:r>
              <w:rPr>
                <w:rFonts w:ascii="Times New Roman" w:hAnsi="Times New Roman"/>
                <w:b w:val="0"/>
                <w:sz w:val="18"/>
              </w:rPr>
              <w:t>Profile and preferences</w:t>
            </w:r>
          </w:p>
        </w:tc>
        <w:tc>
          <w:tcPr>
            <w:tcW w:type="dxa" w:w="3264"/>
            <w:vAlign w:val="top"/>
          </w:tcPr>
          <w:p>
            <w:pPr>
              <w:spacing w:after="0"/>
            </w:pPr>
            <w:r/>
            <w:r>
              <w:rPr>
                <w:rFonts w:ascii="Times New Roman" w:hAnsi="Times New Roman"/>
                <w:b w:val="0"/>
                <w:sz w:val="18"/>
              </w:rPr>
              <w:t>Yes, saved profile data are local.</w:t>
            </w:r>
          </w:p>
        </w:tc>
        <w:tc>
          <w:tcPr>
            <w:tcW w:type="dxa" w:w="3264"/>
            <w:vAlign w:val="top"/>
          </w:tcPr>
          <w:p>
            <w:pPr>
              <w:spacing w:after="0"/>
            </w:pPr>
            <w:r/>
            <w:r>
              <w:rPr>
                <w:rFonts w:ascii="Times New Roman" w:hAnsi="Times New Roman"/>
                <w:b w:val="0"/>
                <w:sz w:val="18"/>
              </w:rPr>
              <w:t>Initial account recovery or cloud restore may need internet.</w:t>
            </w:r>
          </w:p>
        </w:tc>
      </w:tr>
      <w:tr>
        <w:tc>
          <w:tcPr>
            <w:tcW w:type="dxa" w:w="3264"/>
            <w:vAlign w:val="top"/>
          </w:tcPr>
          <w:p>
            <w:pPr>
              <w:spacing w:after="0"/>
            </w:pPr>
            <w:r/>
            <w:r>
              <w:rPr>
                <w:rFonts w:ascii="Times New Roman" w:hAnsi="Times New Roman"/>
                <w:b w:val="0"/>
                <w:sz w:val="18"/>
              </w:rPr>
              <w:t>Generated meal plan</w:t>
            </w:r>
          </w:p>
        </w:tc>
        <w:tc>
          <w:tcPr>
            <w:tcW w:type="dxa" w:w="3264"/>
            <w:vAlign w:val="top"/>
          </w:tcPr>
          <w:p>
            <w:pPr>
              <w:spacing w:after="0"/>
            </w:pPr>
            <w:r/>
            <w:r>
              <w:rPr>
                <w:rFonts w:ascii="Times New Roman" w:hAnsi="Times New Roman"/>
                <w:b w:val="0"/>
                <w:sz w:val="18"/>
              </w:rPr>
              <w:t>Yes, previously generated plans can be reopened.</w:t>
            </w:r>
          </w:p>
        </w:tc>
        <w:tc>
          <w:tcPr>
            <w:tcW w:type="dxa" w:w="3264"/>
            <w:vAlign w:val="top"/>
          </w:tcPr>
          <w:p>
            <w:pPr>
              <w:spacing w:after="0"/>
            </w:pPr>
            <w:r/>
            <w:r>
              <w:rPr>
                <w:rFonts w:ascii="Times New Roman" w:hAnsi="Times New Roman"/>
                <w:b w:val="0"/>
                <w:sz w:val="18"/>
              </w:rPr>
              <w:t>New optimized generation needs backend execution.</w:t>
            </w:r>
          </w:p>
        </w:tc>
      </w:tr>
      <w:tr>
        <w:tc>
          <w:tcPr>
            <w:tcW w:type="dxa" w:w="3264"/>
            <w:vAlign w:val="top"/>
          </w:tcPr>
          <w:p>
            <w:pPr>
              <w:spacing w:after="0"/>
            </w:pPr>
            <w:r/>
            <w:r>
              <w:rPr>
                <w:rFonts w:ascii="Times New Roman" w:hAnsi="Times New Roman"/>
                <w:b w:val="0"/>
                <w:sz w:val="18"/>
              </w:rPr>
              <w:t>Pantry and grocery guidance</w:t>
            </w:r>
          </w:p>
        </w:tc>
        <w:tc>
          <w:tcPr>
            <w:tcW w:type="dxa" w:w="3264"/>
            <w:vAlign w:val="top"/>
          </w:tcPr>
          <w:p>
            <w:pPr>
              <w:spacing w:after="0"/>
            </w:pPr>
            <w:r/>
            <w:r>
              <w:rPr>
                <w:rFonts w:ascii="Times New Roman" w:hAnsi="Times New Roman"/>
                <w:b w:val="0"/>
                <w:sz w:val="18"/>
              </w:rPr>
              <w:t>Yes, saved pantry/grocery records can be viewed.</w:t>
            </w:r>
          </w:p>
        </w:tc>
        <w:tc>
          <w:tcPr>
            <w:tcW w:type="dxa" w:w="3264"/>
            <w:vAlign w:val="top"/>
          </w:tcPr>
          <w:p>
            <w:pPr>
              <w:spacing w:after="0"/>
            </w:pPr>
            <w:r/>
            <w:r>
              <w:rPr>
                <w:rFonts w:ascii="Times New Roman" w:hAnsi="Times New Roman"/>
                <w:b w:val="0"/>
                <w:sz w:val="18"/>
              </w:rPr>
              <w:t>Fresh recipe detail retrieval or remote updates may need internet.</w:t>
            </w:r>
          </w:p>
        </w:tc>
      </w:tr>
      <w:tr>
        <w:tc>
          <w:tcPr>
            <w:tcW w:type="dxa" w:w="3264"/>
            <w:vAlign w:val="top"/>
          </w:tcPr>
          <w:p>
            <w:pPr>
              <w:spacing w:after="0"/>
            </w:pPr>
            <w:r/>
            <w:r>
              <w:rPr>
                <w:rFonts w:ascii="Times New Roman" w:hAnsi="Times New Roman"/>
                <w:b w:val="0"/>
                <w:sz w:val="18"/>
              </w:rPr>
              <w:t>Progress and history</w:t>
            </w:r>
          </w:p>
        </w:tc>
        <w:tc>
          <w:tcPr>
            <w:tcW w:type="dxa" w:w="3264"/>
            <w:vAlign w:val="top"/>
          </w:tcPr>
          <w:p>
            <w:pPr>
              <w:spacing w:after="0"/>
            </w:pPr>
            <w:r/>
            <w:r>
              <w:rPr>
                <w:rFonts w:ascii="Times New Roman" w:hAnsi="Times New Roman"/>
                <w:b w:val="0"/>
                <w:sz w:val="18"/>
              </w:rPr>
              <w:t>Yes, self-reported progress records are local.</w:t>
            </w:r>
          </w:p>
        </w:tc>
        <w:tc>
          <w:tcPr>
            <w:tcW w:type="dxa" w:w="3264"/>
            <w:vAlign w:val="top"/>
          </w:tcPr>
          <w:p>
            <w:pPr>
              <w:spacing w:after="0"/>
            </w:pPr>
            <w:r/>
            <w:r>
              <w:rPr>
                <w:rFonts w:ascii="Times New Roman" w:hAnsi="Times New Roman"/>
                <w:b w:val="0"/>
                <w:sz w:val="18"/>
              </w:rPr>
              <w:t>Feedback submission or sync services may need network.</w:t>
            </w:r>
          </w:p>
        </w:tc>
      </w:tr>
      <w:tr>
        <w:tc>
          <w:tcPr>
            <w:tcW w:type="dxa" w:w="3264"/>
            <w:vAlign w:val="top"/>
          </w:tcPr>
          <w:p>
            <w:pPr>
              <w:spacing w:after="0"/>
            </w:pPr>
            <w:r/>
            <w:r>
              <w:rPr>
                <w:rFonts w:ascii="Times New Roman" w:hAnsi="Times New Roman"/>
                <w:b w:val="0"/>
                <w:sz w:val="18"/>
              </w:rPr>
              <w:t>Recipe detail and swap alternatives</w:t>
            </w:r>
          </w:p>
        </w:tc>
        <w:tc>
          <w:tcPr>
            <w:tcW w:type="dxa" w:w="3264"/>
            <w:vAlign w:val="top"/>
          </w:tcPr>
          <w:p>
            <w:pPr>
              <w:spacing w:after="0"/>
            </w:pPr>
            <w:r/>
            <w:r>
              <w:rPr>
                <w:rFonts w:ascii="Times New Roman" w:hAnsi="Times New Roman"/>
                <w:b w:val="0"/>
                <w:sz w:val="18"/>
              </w:rPr>
              <w:t>Partial or online-dependent depending on cache/state.</w:t>
            </w:r>
          </w:p>
        </w:tc>
        <w:tc>
          <w:tcPr>
            <w:tcW w:type="dxa" w:w="3264"/>
            <w:vAlign w:val="top"/>
          </w:tcPr>
          <w:p>
            <w:pPr>
              <w:spacing w:after="0"/>
            </w:pPr>
            <w:r/>
            <w:r>
              <w:rPr>
                <w:rFonts w:ascii="Times New Roman" w:hAnsi="Times New Roman"/>
                <w:b w:val="0"/>
                <w:sz w:val="18"/>
              </w:rPr>
              <w:t>Do not claim all recipe detail and swap paths work offline.</w:t>
            </w:r>
          </w:p>
        </w:tc>
      </w:tr>
    </w:tbl>
    <w:p/>
    <w:p>
      <w:pPr>
        <w:pStyle w:val="Heading2"/>
      </w:pPr>
      <w:r>
        <w:rPr>
          <w:rFonts w:ascii="Times New Roman" w:hAnsi="Times New Roman"/>
          <w:color w:val="2F6B3F"/>
        </w:rPr>
        <w:t>4.4.2 Local Data Storage and Recovery Flow</w:t>
      </w:r>
    </w:p>
    <w:p>
      <w:pPr>
        <w:spacing w:after="120" w:line="269" w:lineRule="auto"/>
        <w:ind w:firstLine="360"/>
      </w:pPr>
      <w:r>
        <w:rPr>
          <w:rFonts w:ascii="Times New Roman" w:hAnsi="Times New Roman"/>
          <w:sz w:val="22"/>
        </w:rPr>
        <w:t>The app persists saved plan JSON, plan history, pantry records, grocery records, grocery sources, daily logs, weekly journals, weekly spending, reminder preferences, and progress UI preferences through local repositories and secure local artifacts. On app restart, ViewModels reload these artifacts and reconstruct the visible plan, grocery, pantry, dashboard, and progress states for the signed-in user.</w:t>
      </w:r>
    </w:p>
    <w:p>
      <w:pPr>
        <w:jc w:val="center"/>
      </w:pPr>
      <w:r>
        <w:drawing>
          <wp:inline xmlns:a="http://schemas.openxmlformats.org/drawingml/2006/main" xmlns:pic="http://schemas.openxmlformats.org/drawingml/2006/picture">
            <wp:extent cx="5806440" cy="3329026"/>
            <wp:docPr id="32" name="Picture 32"/>
            <wp:cNvGraphicFramePr>
              <a:graphicFrameLocks noChangeAspect="1"/>
            </wp:cNvGraphicFramePr>
            <a:graphic>
              <a:graphicData uri="http://schemas.openxmlformats.org/drawingml/2006/picture">
                <pic:pic>
                  <pic:nvPicPr>
                    <pic:cNvPr id="0" name="placeholder_dashboard.png"/>
                    <pic:cNvPicPr/>
                  </pic:nvPicPr>
                  <pic:blipFill>
                    <a:blip r:embed="rId40"/>
                    <a:stretch>
                      <a:fillRect/>
                    </a:stretch>
                  </pic:blipFill>
                  <pic:spPr>
                    <a:xfrm>
                      <a:off x="0" y="0"/>
                      <a:ext cx="5806440" cy="3329026"/>
                    </a:xfrm>
                    <a:prstGeom prst="rect"/>
                  </pic:spPr>
                </pic:pic>
              </a:graphicData>
            </a:graphic>
          </wp:inline>
        </w:drawing>
      </w:r>
    </w:p>
    <w:p>
      <w:pPr>
        <w:jc w:val="center"/>
      </w:pPr>
      <w:r>
        <w:rPr>
          <w:b w:val="0"/>
          <w:i/>
          <w:sz w:val="18"/>
        </w:rPr>
        <w:t>Figure 4.19. Placeholder for updated app screenshot: saved-plan dashboard continuity screen.</w:t>
      </w:r>
    </w:p>
    <w:p>
      <w:pPr>
        <w:jc w:val="center"/>
      </w:pPr>
      <w:r>
        <w:drawing>
          <wp:inline xmlns:a="http://schemas.openxmlformats.org/drawingml/2006/main" xmlns:pic="http://schemas.openxmlformats.org/drawingml/2006/picture">
            <wp:extent cx="5806440" cy="3329026"/>
            <wp:docPr id="33" name="Picture 33"/>
            <wp:cNvGraphicFramePr>
              <a:graphicFrameLocks noChangeAspect="1"/>
            </wp:cNvGraphicFramePr>
            <a:graphic>
              <a:graphicData uri="http://schemas.openxmlformats.org/drawingml/2006/picture">
                <pic:pic>
                  <pic:nvPicPr>
                    <pic:cNvPr id="0" name="placeholder_progress.png"/>
                    <pic:cNvPicPr/>
                  </pic:nvPicPr>
                  <pic:blipFill>
                    <a:blip r:embed="rId41"/>
                    <a:stretch>
                      <a:fillRect/>
                    </a:stretch>
                  </pic:blipFill>
                  <pic:spPr>
                    <a:xfrm>
                      <a:off x="0" y="0"/>
                      <a:ext cx="5806440" cy="3329026"/>
                    </a:xfrm>
                    <a:prstGeom prst="rect"/>
                  </pic:spPr>
                </pic:pic>
              </a:graphicData>
            </a:graphic>
          </wp:inline>
        </w:drawing>
      </w:r>
    </w:p>
    <w:p>
      <w:pPr>
        <w:jc w:val="center"/>
      </w:pPr>
      <w:r>
        <w:rPr>
          <w:b w:val="0"/>
          <w:i/>
          <w:sz w:val="18"/>
        </w:rPr>
        <w:t>Figure 4.20. Placeholder for updated app screenshot: progress, history, or wellness log screen.</w:t>
      </w:r>
    </w:p>
    <w:p>
      <w:pPr>
        <w:pStyle w:val="Heading2"/>
      </w:pPr>
      <w:r>
        <w:rPr>
          <w:rFonts w:ascii="Times New Roman" w:hAnsi="Times New Roman"/>
          <w:color w:val="2F6B3F"/>
        </w:rPr>
        <w:t>4.4.3 Online Generation and Local Save Sequence</w:t>
      </w:r>
    </w:p>
    <w:p>
      <w:pPr>
        <w:spacing w:after="120" w:line="269" w:lineRule="auto"/>
        <w:ind w:firstLine="360"/>
      </w:pPr>
      <w:r>
        <w:rPr>
          <w:rFonts w:ascii="Times New Roman" w:hAnsi="Times New Roman"/>
          <w:sz w:val="22"/>
        </w:rPr>
        <w:t>When a user requests a new plan, the mobile app sends the prepared profile to the backend. The backend filters candidates and solves the weekly assignment model. The accepted plan returns to Android, where it is saved locally as the latest plan and appended to plan history. This sequence allows the system to combine backend optimization with offline access to the accepted result.</w:t>
      </w:r>
    </w:p>
    <w:p>
      <w:pPr>
        <w:jc w:val="center"/>
      </w:pPr>
      <w:r>
        <w:drawing>
          <wp:inline xmlns:a="http://schemas.openxmlformats.org/drawingml/2006/main" xmlns:pic="http://schemas.openxmlformats.org/drawingml/2006/picture">
            <wp:extent cx="5806440" cy="2254265"/>
            <wp:docPr id="36" name="Picture 36"/>
            <wp:cNvGraphicFramePr>
              <a:graphicFrameLocks noChangeAspect="1"/>
            </wp:cNvGraphicFramePr>
            <a:graphic>
              <a:graphicData uri="http://schemas.openxmlformats.org/drawingml/2006/picture">
                <pic:pic>
                  <pic:nvPicPr>
                    <pic:cNvPr id="0" name="offline_save_flow.png"/>
                    <pic:cNvPicPr/>
                  </pic:nvPicPr>
                  <pic:blipFill>
                    <a:blip r:embed="rId44"/>
                    <a:stretch>
                      <a:fillRect/>
                    </a:stretch>
                  </pic:blipFill>
                  <pic:spPr>
                    <a:xfrm>
                      <a:off x="0" y="0"/>
                      <a:ext cx="5806440" cy="2254265"/>
                    </a:xfrm>
                    <a:prstGeom prst="rect"/>
                  </pic:spPr>
                </pic:pic>
              </a:graphicData>
            </a:graphic>
          </wp:inline>
        </w:drawing>
      </w:r>
    </w:p>
    <w:p>
      <w:pPr>
        <w:jc w:val="center"/>
      </w:pPr>
      <w:r>
        <w:rPr>
          <w:b w:val="0"/>
          <w:i/>
          <w:sz w:val="18"/>
        </w:rPr>
        <w:t>Figure 4.21. Online optimization and local-save sequence for offline-first continuity.</w:t>
      </w:r>
    </w:p>
    <w:p>
      <w:pPr/>
      <w:r>
        <w:t>Interpretation: Section 4.4.3 should be read as the handoff between online optimization and local continuity. The system supports saved-plan offline access, but it should not claim that new optimized plan generation is fully offline.</w:t>
      </w:r>
    </w:p>
    <w:p>
      <w:pPr>
        <w:pStyle w:val="Heading2"/>
      </w:pPr>
      <w:r>
        <w:rPr>
          <w:rFonts w:ascii="Times New Roman" w:hAnsi="Times New Roman"/>
          <w:color w:val="2F6B3F"/>
        </w:rPr>
        <w:t>4.4.4 Offline Access to Meal, Grocery, Pantry, and Progress Data</w:t>
      </w:r>
    </w:p>
    <w:p>
      <w:pPr>
        <w:spacing w:after="120" w:line="269" w:lineRule="auto"/>
        <w:ind w:firstLine="360"/>
      </w:pPr>
      <w:r>
        <w:rPr>
          <w:rFonts w:ascii="Times New Roman" w:hAnsi="Times New Roman"/>
          <w:sz w:val="22"/>
        </w:rPr>
        <w:t>Once saved, core records can be reviewed without re-running the optimizer. The user can view saved meal plans, pantry entries, grocery guidance, progress logs, weekly reflections, and spending notes. Progress entries remain self-reported wellness records. They should not be described as clinical monitoring or proof of health improvement.</w:t>
      </w:r>
    </w:p>
    <w:p>
      <w:pPr>
        <w:jc w:val="center"/>
      </w:pPr>
      <w:r>
        <w:drawing>
          <wp:inline xmlns:a="http://schemas.openxmlformats.org/drawingml/2006/main" xmlns:pic="http://schemas.openxmlformats.org/drawingml/2006/picture">
            <wp:extent cx="5303520" cy="2899258"/>
            <wp:docPr id="19" name="Picture 19"/>
            <wp:cNvGraphicFramePr>
              <a:graphicFrameLocks noChangeAspect="1"/>
            </wp:cNvGraphicFramePr>
            <a:graphic>
              <a:graphicData uri="http://schemas.openxmlformats.org/drawingml/2006/picture">
                <pic:pic>
                  <pic:nvPicPr>
                    <pic:cNvPr id="0" name="offline_chart.png"/>
                    <pic:cNvPicPr/>
                  </pic:nvPicPr>
                  <pic:blipFill>
                    <a:blip r:embed="rId27"/>
                    <a:stretch>
                      <a:fillRect/>
                    </a:stretch>
                  </pic:blipFill>
                  <pic:spPr>
                    <a:xfrm>
                      <a:off x="0" y="0"/>
                      <a:ext cx="5303520" cy="2899258"/>
                    </a:xfrm>
                    <a:prstGeom prst="rect"/>
                  </pic:spPr>
                </pic:pic>
              </a:graphicData>
            </a:graphic>
          </wp:inline>
        </w:drawing>
      </w:r>
    </w:p>
    <w:p>
      <w:pPr>
        <w:jc w:val="center"/>
      </w:pPr>
      <w:r>
        <w:rPr>
          <w:b w:val="0"/>
          <w:i/>
          <w:sz w:val="18"/>
        </w:rPr>
        <w:t>Figure 4.22. Offline-first survey evidence for saved-data continuity.</w:t>
      </w:r>
    </w:p>
    <w:p>
      <w:pPr>
        <w:pStyle w:val="Heading2"/>
      </w:pPr>
      <w:r>
        <w:rPr>
          <w:rFonts w:ascii="Times New Roman" w:hAnsi="Times New Roman"/>
          <w:color w:val="2F6B3F"/>
        </w:rPr>
        <w:t>4.4.5 Evidence and Offline Claim Limits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Offline evidence</w:t>
            </w:r>
          </w:p>
        </w:tc>
        <w:tc>
          <w:tcPr>
            <w:tcW w:type="dxa" w:w="3264"/>
            <w:vAlign w:val="top"/>
            <w:shd w:fill="E2F0D9"/>
          </w:tcPr>
          <w:p>
            <w:pPr>
              <w:spacing w:after="0"/>
            </w:pPr>
            <w:r/>
            <w:r>
              <w:rPr>
                <w:rFonts w:ascii="Times New Roman" w:hAnsi="Times New Roman"/>
                <w:b/>
                <w:sz w:val="18"/>
              </w:rPr>
              <w:t>Reported result</w:t>
            </w:r>
          </w:p>
        </w:tc>
        <w:tc>
          <w:tcPr>
            <w:tcW w:type="dxa" w:w="3264"/>
            <w:vAlign w:val="top"/>
            <w:shd w:fill="E2F0D9"/>
          </w:tcPr>
          <w:p>
            <w:pPr>
              <w:spacing w:after="0"/>
            </w:pPr>
            <w:r/>
            <w:r>
              <w:rPr>
                <w:rFonts w:ascii="Times New Roman" w:hAnsi="Times New Roman"/>
                <w:b/>
                <w:sz w:val="18"/>
              </w:rPr>
              <w:t>Interpretation</w:t>
            </w:r>
          </w:p>
        </w:tc>
      </w:tr>
      <w:tr>
        <w:tc>
          <w:tcPr>
            <w:tcW w:type="dxa" w:w="3264"/>
            <w:vAlign w:val="top"/>
          </w:tcPr>
          <w:p>
            <w:pPr>
              <w:spacing w:after="0"/>
            </w:pPr>
            <w:r/>
            <w:r>
              <w:rPr>
                <w:rFonts w:ascii="Times New Roman" w:hAnsi="Times New Roman"/>
                <w:b w:val="0"/>
                <w:sz w:val="18"/>
              </w:rPr>
              <w:t>Portability average</w:t>
            </w:r>
          </w:p>
        </w:tc>
        <w:tc>
          <w:tcPr>
            <w:tcW w:type="dxa" w:w="3264"/>
            <w:vAlign w:val="top"/>
          </w:tcPr>
          <w:p>
            <w:pPr>
              <w:spacing w:after="0"/>
            </w:pPr>
            <w:r/>
            <w:r>
              <w:rPr>
                <w:rFonts w:ascii="Times New Roman" w:hAnsi="Times New Roman"/>
                <w:b w:val="0"/>
                <w:sz w:val="18"/>
              </w:rPr>
              <w:t>4.04 overall, interpreted as Agree.</w:t>
            </w:r>
          </w:p>
        </w:tc>
        <w:tc>
          <w:tcPr>
            <w:tcW w:type="dxa" w:w="3264"/>
            <w:vAlign w:val="top"/>
          </w:tcPr>
          <w:p>
            <w:pPr>
              <w:spacing w:after="0"/>
            </w:pPr>
            <w:r/>
            <w:r>
              <w:rPr>
                <w:rFonts w:ascii="Times New Roman" w:hAnsi="Times New Roman"/>
                <w:b w:val="0"/>
                <w:sz w:val="18"/>
              </w:rPr>
              <w:t>Respondents generally agreed that the app is portable and usable under device conditions.</w:t>
            </w:r>
          </w:p>
        </w:tc>
      </w:tr>
      <w:tr>
        <w:tc>
          <w:tcPr>
            <w:tcW w:type="dxa" w:w="3264"/>
            <w:vAlign w:val="top"/>
          </w:tcPr>
          <w:p>
            <w:pPr>
              <w:spacing w:after="0"/>
            </w:pPr>
            <w:r/>
            <w:r>
              <w:rPr>
                <w:rFonts w:ascii="Times New Roman" w:hAnsi="Times New Roman"/>
                <w:b w:val="0"/>
                <w:sz w:val="18"/>
              </w:rPr>
              <w:t>Use without internet</w:t>
            </w:r>
          </w:p>
        </w:tc>
        <w:tc>
          <w:tcPr>
            <w:tcW w:type="dxa" w:w="3264"/>
            <w:vAlign w:val="top"/>
          </w:tcPr>
          <w:p>
            <w:pPr>
              <w:spacing w:after="0"/>
            </w:pPr>
            <w:r/>
            <w:r>
              <w:rPr>
                <w:rFonts w:ascii="Times New Roman" w:hAnsi="Times New Roman"/>
                <w:b w:val="0"/>
                <w:sz w:val="18"/>
              </w:rPr>
              <w:t>4.04 primary / 3.88 secondary.</w:t>
            </w:r>
          </w:p>
        </w:tc>
        <w:tc>
          <w:tcPr>
            <w:tcW w:type="dxa" w:w="3264"/>
            <w:vAlign w:val="top"/>
          </w:tcPr>
          <w:p>
            <w:pPr>
              <w:spacing w:after="0"/>
            </w:pPr>
            <w:r/>
            <w:r>
              <w:rPr>
                <w:rFonts w:ascii="Times New Roman" w:hAnsi="Times New Roman"/>
                <w:b w:val="0"/>
                <w:sz w:val="18"/>
              </w:rPr>
              <w:t>Supports the saved-data offline access claim.</w:t>
            </w:r>
          </w:p>
        </w:tc>
      </w:tr>
      <w:tr>
        <w:tc>
          <w:tcPr>
            <w:tcW w:type="dxa" w:w="3264"/>
            <w:vAlign w:val="top"/>
          </w:tcPr>
          <w:p>
            <w:pPr>
              <w:spacing w:after="0"/>
            </w:pPr>
            <w:r/>
            <w:r>
              <w:rPr>
                <w:rFonts w:ascii="Times New Roman" w:hAnsi="Times New Roman"/>
                <w:b w:val="0"/>
                <w:sz w:val="18"/>
              </w:rPr>
              <w:t>Saved plans and pantry offline</w:t>
            </w:r>
          </w:p>
        </w:tc>
        <w:tc>
          <w:tcPr>
            <w:tcW w:type="dxa" w:w="3264"/>
            <w:vAlign w:val="top"/>
          </w:tcPr>
          <w:p>
            <w:pPr>
              <w:spacing w:after="0"/>
            </w:pPr>
            <w:r/>
            <w:r>
              <w:rPr>
                <w:rFonts w:ascii="Times New Roman" w:hAnsi="Times New Roman"/>
                <w:b w:val="0"/>
                <w:sz w:val="18"/>
              </w:rPr>
              <w:t>4.16 primary / 4.12 secondary.</w:t>
            </w:r>
          </w:p>
        </w:tc>
        <w:tc>
          <w:tcPr>
            <w:tcW w:type="dxa" w:w="3264"/>
            <w:vAlign w:val="top"/>
          </w:tcPr>
          <w:p>
            <w:pPr>
              <w:spacing w:after="0"/>
            </w:pPr>
            <w:r/>
            <w:r>
              <w:rPr>
                <w:rFonts w:ascii="Times New Roman" w:hAnsi="Times New Roman"/>
                <w:b w:val="0"/>
                <w:sz w:val="18"/>
              </w:rPr>
              <w:t>Strongest survey support for local continuity.</w:t>
            </w:r>
          </w:p>
        </w:tc>
      </w:tr>
      <w:tr>
        <w:tc>
          <w:tcPr>
            <w:tcW w:type="dxa" w:w="3264"/>
            <w:vAlign w:val="top"/>
          </w:tcPr>
          <w:p>
            <w:pPr>
              <w:spacing w:after="0"/>
            </w:pPr>
            <w:r/>
            <w:r>
              <w:rPr>
                <w:rFonts w:ascii="Times New Roman" w:hAnsi="Times New Roman"/>
                <w:b w:val="0"/>
                <w:sz w:val="18"/>
              </w:rPr>
              <w:t>Reliability average</w:t>
            </w:r>
          </w:p>
        </w:tc>
        <w:tc>
          <w:tcPr>
            <w:tcW w:type="dxa" w:w="3264"/>
            <w:vAlign w:val="top"/>
          </w:tcPr>
          <w:p>
            <w:pPr>
              <w:spacing w:after="0"/>
            </w:pPr>
            <w:r/>
            <w:r>
              <w:rPr>
                <w:rFonts w:ascii="Times New Roman" w:hAnsi="Times New Roman"/>
                <w:b w:val="0"/>
                <w:sz w:val="18"/>
              </w:rPr>
              <w:t>4.00 overall, interpreted as Agree.</w:t>
            </w:r>
          </w:p>
        </w:tc>
        <w:tc>
          <w:tcPr>
            <w:tcW w:type="dxa" w:w="3264"/>
            <w:vAlign w:val="top"/>
          </w:tcPr>
          <w:p>
            <w:pPr>
              <w:spacing w:after="0"/>
            </w:pPr>
            <w:r/>
            <w:r>
              <w:rPr>
                <w:rFonts w:ascii="Times New Roman" w:hAnsi="Times New Roman"/>
                <w:b w:val="0"/>
                <w:sz w:val="18"/>
              </w:rPr>
              <w:t>Supports general stability perception under evaluated use.</w:t>
            </w:r>
          </w:p>
        </w:tc>
      </w:tr>
      <w:tr>
        <w:tc>
          <w:tcPr>
            <w:tcW w:type="dxa" w:w="3264"/>
            <w:vAlign w:val="top"/>
          </w:tcPr>
          <w:p>
            <w:pPr>
              <w:spacing w:after="0"/>
            </w:pPr>
            <w:r/>
            <w:r>
              <w:rPr>
                <w:rFonts w:ascii="Times New Roman" w:hAnsi="Times New Roman"/>
                <w:b w:val="0"/>
                <w:sz w:val="18"/>
              </w:rPr>
              <w:t>Boundary</w:t>
            </w:r>
          </w:p>
        </w:tc>
        <w:tc>
          <w:tcPr>
            <w:tcW w:type="dxa" w:w="3264"/>
            <w:vAlign w:val="top"/>
          </w:tcPr>
          <w:p>
            <w:pPr>
              <w:spacing w:after="0"/>
            </w:pPr>
            <w:r/>
            <w:r>
              <w:rPr>
                <w:rFonts w:ascii="Times New Roman" w:hAnsi="Times New Roman"/>
                <w:b w:val="0"/>
                <w:sz w:val="18"/>
              </w:rPr>
              <w:t>New optimized generation remains backend-dependent.</w:t>
            </w:r>
          </w:p>
        </w:tc>
        <w:tc>
          <w:tcPr>
            <w:tcW w:type="dxa" w:w="3264"/>
            <w:vAlign w:val="top"/>
          </w:tcPr>
          <w:p>
            <w:pPr>
              <w:spacing w:after="0"/>
            </w:pPr>
            <w:r/>
            <w:r>
              <w:rPr>
                <w:rFonts w:ascii="Times New Roman" w:hAnsi="Times New Roman"/>
                <w:b w:val="0"/>
                <w:sz w:val="18"/>
              </w:rPr>
              <w:t>Do not claim full offline optimization.</w:t>
            </w:r>
          </w:p>
        </w:tc>
      </w:tr>
    </w:tbl>
    <w:p/>
    <w:p>
      <w:pPr>
        <w:pStyle w:val="Heading1"/>
      </w:pPr>
      <w:r>
        <w:rPr>
          <w:rFonts w:ascii="Times New Roman" w:hAnsi="Times New Roman"/>
          <w:color w:val="2F6B3F"/>
        </w:rPr>
        <w:t>4.5 Evaluation of Nutrition Quality, Usability, Cultural Relevance, and Computational Efficiency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Revised SOP 5 question</w:t>
            </w:r>
          </w:p>
        </w:tc>
      </w:tr>
      <w:tr>
        <w:tc>
          <w:tcPr>
            <w:tcW w:type="dxa" w:w="9792"/>
            <w:vAlign w:val="top"/>
            <w:shd w:fill="F3FAF1"/>
          </w:tcPr>
          <w:p>
            <w:pPr>
              <w:spacing w:after="0"/>
            </w:pPr>
            <w:r/>
            <w:r>
              <w:rPr>
                <w:rFonts w:ascii="Times New Roman" w:hAnsi="Times New Roman"/>
                <w:b w:val="0"/>
                <w:sz w:val="20"/>
              </w:rPr>
              <w:t>How does the proposed system perform in terms of nutritional quality, usability, cultural relevance, and computational efficiency based on algorithmic, expert, and user-centered evaluation metrics?</w:t>
            </w:r>
          </w:p>
        </w:tc>
      </w:tr>
    </w:tbl>
    <w:p/>
    <w:p>
      <w:pPr>
        <w:jc w:val="center"/>
      </w:pPr>
      <w:r>
        <w:drawing>
          <wp:inline xmlns:a="http://schemas.openxmlformats.org/drawingml/2006/main" xmlns:pic="http://schemas.openxmlformats.org/drawingml/2006/picture">
            <wp:extent cx="5760720" cy="1664208"/>
            <wp:docPr id="20" name="Picture 20"/>
            <wp:cNvGraphicFramePr>
              <a:graphicFrameLocks noChangeAspect="1"/>
            </wp:cNvGraphicFramePr>
            <a:graphic>
              <a:graphicData uri="http://schemas.openxmlformats.org/drawingml/2006/picture">
                <pic:pic>
                  <pic:nvPicPr>
                    <pic:cNvPr id="0" name="sop5_flow.png"/>
                    <pic:cNvPicPr/>
                  </pic:nvPicPr>
                  <pic:blipFill>
                    <a:blip r:embed="rId28"/>
                    <a:stretch>
                      <a:fillRect/>
                    </a:stretch>
                  </pic:blipFill>
                  <pic:spPr>
                    <a:xfrm>
                      <a:off x="0" y="0"/>
                      <a:ext cx="5760720" cy="1664208"/>
                    </a:xfrm>
                    <a:prstGeom prst="rect"/>
                  </pic:spPr>
                </pic:pic>
              </a:graphicData>
            </a:graphic>
          </wp:inline>
        </w:drawing>
      </w:r>
    </w:p>
    <w:p>
      <w:pPr>
        <w:jc w:val="center"/>
      </w:pPr>
      <w:r>
        <w:rPr>
          <w:b w:val="0"/>
          <w:i/>
          <w:sz w:val="18"/>
        </w:rPr>
        <w:t>Figure 4.23. Process flow for SOP 5 evaluation evidence.</w:t>
      </w:r>
    </w:p>
    <w:p>
      <w:pPr>
        <w:jc w:val="center"/>
      </w:pPr>
      <w:r>
        <w:drawing>
          <wp:inline xmlns:a="http://schemas.openxmlformats.org/drawingml/2006/main" xmlns:pic="http://schemas.openxmlformats.org/drawingml/2006/picture">
            <wp:extent cx="5303520" cy="15428422"/>
            <wp:docPr id="21" name="Picture 21"/>
            <wp:cNvGraphicFramePr>
              <a:graphicFrameLocks noChangeAspect="1"/>
            </wp:cNvGraphicFramePr>
            <a:graphic>
              <a:graphicData uri="http://schemas.openxmlformats.org/drawingml/2006/picture">
                <pic:pic>
                  <pic:nvPicPr>
                    <pic:cNvPr id="0" name="figure_16.png"/>
                    <pic:cNvPicPr/>
                  </pic:nvPicPr>
                  <pic:blipFill>
                    <a:blip r:embed="rId29"/>
                    <a:stretch>
                      <a:fillRect/>
                    </a:stretch>
                  </pic:blipFill>
                  <pic:spPr>
                    <a:xfrm>
                      <a:off x="0" y="0"/>
                      <a:ext cx="5303520" cy="15428422"/>
                    </a:xfrm>
                    <a:prstGeom prst="rect"/>
                  </pic:spPr>
                </pic:pic>
              </a:graphicData>
            </a:graphic>
          </wp:inline>
        </w:drawing>
      </w:r>
    </w:p>
    <w:p>
      <w:pPr>
        <w:jc w:val="center"/>
      </w:pPr>
      <w:r>
        <w:rPr>
          <w:b w:val="0"/>
          <w:i/>
          <w:sz w:val="18"/>
        </w:rPr>
        <w:t>Figure 4.24. ISO-based software evaluation model from the evidence dossier.</w:t>
      </w:r>
    </w:p>
    <w:p>
      <w:pPr>
        <w:jc w:val="center"/>
      </w:pPr>
      <w:r>
        <w:drawing>
          <wp:inline xmlns:a="http://schemas.openxmlformats.org/drawingml/2006/main" xmlns:pic="http://schemas.openxmlformats.org/drawingml/2006/picture">
            <wp:extent cx="5303520" cy="3393621"/>
            <wp:docPr id="22" name="Picture 22"/>
            <wp:cNvGraphicFramePr>
              <a:graphicFrameLocks noChangeAspect="1"/>
            </wp:cNvGraphicFramePr>
            <a:graphic>
              <a:graphicData uri="http://schemas.openxmlformats.org/drawingml/2006/picture">
                <pic:pic>
                  <pic:nvPicPr>
                    <pic:cNvPr id="0" name="figure_18.png"/>
                    <pic:cNvPicPr/>
                  </pic:nvPicPr>
                  <pic:blipFill>
                    <a:blip r:embed="rId30"/>
                    <a:stretch>
                      <a:fillRect/>
                    </a:stretch>
                  </pic:blipFill>
                  <pic:spPr>
                    <a:xfrm>
                      <a:off x="0" y="0"/>
                      <a:ext cx="5303520" cy="3393621"/>
                    </a:xfrm>
                    <a:prstGeom prst="rect"/>
                  </pic:spPr>
                </pic:pic>
              </a:graphicData>
            </a:graphic>
          </wp:inline>
        </w:drawing>
      </w:r>
    </w:p>
    <w:p>
      <w:pPr>
        <w:jc w:val="center"/>
      </w:pPr>
      <w:r>
        <w:rPr>
          <w:b w:val="0"/>
          <w:i/>
          <w:sz w:val="18"/>
        </w:rPr>
        <w:t>Figure 4.25. Effectiveness dimensions, metrics, and output artifacts.</w:t>
      </w:r>
    </w:p>
    <w:p>
      <w:pPr>
        <w:jc w:val="center"/>
      </w:pPr>
      <w:r>
        <w:drawing>
          <wp:inline xmlns:a="http://schemas.openxmlformats.org/drawingml/2006/main" xmlns:pic="http://schemas.openxmlformats.org/drawingml/2006/picture">
            <wp:extent cx="5303520" cy="3037130"/>
            <wp:docPr id="23" name="Picture 23"/>
            <wp:cNvGraphicFramePr>
              <a:graphicFrameLocks noChangeAspect="1"/>
            </wp:cNvGraphicFramePr>
            <a:graphic>
              <a:graphicData uri="http://schemas.openxmlformats.org/drawingml/2006/picture">
                <pic:pic>
                  <pic:nvPicPr>
                    <pic:cNvPr id="0" name="figure_19.png"/>
                    <pic:cNvPicPr/>
                  </pic:nvPicPr>
                  <pic:blipFill>
                    <a:blip r:embed="rId31"/>
                    <a:stretch>
                      <a:fillRect/>
                    </a:stretch>
                  </pic:blipFill>
                  <pic:spPr>
                    <a:xfrm>
                      <a:off x="0" y="0"/>
                      <a:ext cx="5303520" cy="3037130"/>
                    </a:xfrm>
                    <a:prstGeom prst="rect"/>
                  </pic:spPr>
                </pic:pic>
              </a:graphicData>
            </a:graphic>
          </wp:inline>
        </w:drawing>
      </w:r>
    </w:p>
    <w:p>
      <w:pPr>
        <w:jc w:val="center"/>
      </w:pPr>
      <w:r>
        <w:rPr>
          <w:b w:val="0"/>
          <w:i/>
          <w:sz w:val="18"/>
        </w:rPr>
        <w:t>Figure 4.26. Evaluation flowchart showing software-evaluation scope.</w:t>
      </w:r>
    </w:p>
    <w:p>
      <w:pPr>
        <w:pStyle w:val="Heading2"/>
      </w:pPr>
      <w:r>
        <w:rPr>
          <w:rFonts w:ascii="Times New Roman" w:hAnsi="Times New Roman"/>
          <w:color w:val="2F6B3F"/>
        </w:rPr>
        <w:t>4.5.1 Evaluation Scope and Data Sources</w:t>
      </w:r>
    </w:p>
    <w:p>
      <w:pPr>
        <w:spacing w:after="120" w:line="269" w:lineRule="auto"/>
        <w:ind w:firstLine="360"/>
      </w:pPr>
      <w:r>
        <w:rPr>
          <w:rFonts w:ascii="Times New Roman" w:hAnsi="Times New Roman"/>
          <w:sz w:val="22"/>
        </w:rPr>
        <w:t>SOP 5 is answered through combined algorithmic, expert, and user-centered evidence. The evaluation does not rely on one metric. It uses questionnaire reliability, ISO/IEC 25010 weighted means, functional tests, benchmark scenarios, nutrition and safety validation, ML ranking metrics, pantry/offline summaries, and runtime results. The evaluation scope remains software quality and decision-support performance, not clinical outcome measurement.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Evaluation dimension</w:t>
            </w:r>
          </w:p>
        </w:tc>
        <w:tc>
          <w:tcPr>
            <w:tcW w:type="dxa" w:w="3264"/>
            <w:vAlign w:val="top"/>
            <w:shd w:fill="E2F0D9"/>
          </w:tcPr>
          <w:p>
            <w:pPr>
              <w:spacing w:after="0"/>
            </w:pPr>
            <w:r/>
            <w:r>
              <w:rPr>
                <w:rFonts w:ascii="Times New Roman" w:hAnsi="Times New Roman"/>
                <w:b/>
                <w:sz w:val="18"/>
              </w:rPr>
              <w:t>Evidence source</w:t>
            </w:r>
          </w:p>
        </w:tc>
        <w:tc>
          <w:tcPr>
            <w:tcW w:type="dxa" w:w="3264"/>
            <w:vAlign w:val="top"/>
            <w:shd w:fill="E2F0D9"/>
          </w:tcPr>
          <w:p>
            <w:pPr>
              <w:spacing w:after="0"/>
            </w:pPr>
            <w:r/>
            <w:r>
              <w:rPr>
                <w:rFonts w:ascii="Times New Roman" w:hAnsi="Times New Roman"/>
                <w:b/>
                <w:sz w:val="18"/>
              </w:rPr>
              <w:t>What it proves</w:t>
            </w:r>
          </w:p>
        </w:tc>
      </w:tr>
      <w:tr>
        <w:tc>
          <w:tcPr>
            <w:tcW w:type="dxa" w:w="3264"/>
            <w:vAlign w:val="top"/>
          </w:tcPr>
          <w:p>
            <w:pPr>
              <w:spacing w:after="0"/>
            </w:pPr>
            <w:r/>
            <w:r>
              <w:rPr>
                <w:rFonts w:ascii="Times New Roman" w:hAnsi="Times New Roman"/>
                <w:b w:val="0"/>
                <w:sz w:val="18"/>
              </w:rPr>
              <w:t>Instrument reliability</w:t>
            </w:r>
          </w:p>
        </w:tc>
        <w:tc>
          <w:tcPr>
            <w:tcW w:type="dxa" w:w="3264"/>
            <w:vAlign w:val="top"/>
          </w:tcPr>
          <w:p>
            <w:pPr>
              <w:spacing w:after="0"/>
            </w:pPr>
            <w:r/>
            <w:r>
              <w:rPr>
                <w:rFonts w:ascii="Times New Roman" w:hAnsi="Times New Roman"/>
                <w:b w:val="0"/>
                <w:sz w:val="18"/>
              </w:rPr>
              <w:t>Cronbach alpha per ISO/IEC 25010 category</w:t>
            </w:r>
          </w:p>
        </w:tc>
        <w:tc>
          <w:tcPr>
            <w:tcW w:type="dxa" w:w="3264"/>
            <w:vAlign w:val="top"/>
          </w:tcPr>
          <w:p>
            <w:pPr>
              <w:spacing w:after="0"/>
            </w:pPr>
            <w:r/>
            <w:r>
              <w:rPr>
                <w:rFonts w:ascii="Times New Roman" w:hAnsi="Times New Roman"/>
                <w:b w:val="0"/>
                <w:sz w:val="18"/>
              </w:rPr>
              <w:t>Questionnaire consistency before interpreting scores.</w:t>
            </w:r>
          </w:p>
        </w:tc>
      </w:tr>
      <w:tr>
        <w:tc>
          <w:tcPr>
            <w:tcW w:type="dxa" w:w="3264"/>
            <w:vAlign w:val="top"/>
          </w:tcPr>
          <w:p>
            <w:pPr>
              <w:spacing w:after="0"/>
            </w:pPr>
            <w:r/>
            <w:r>
              <w:rPr>
                <w:rFonts w:ascii="Times New Roman" w:hAnsi="Times New Roman"/>
                <w:b w:val="0"/>
                <w:sz w:val="18"/>
              </w:rPr>
              <w:t>User-centered quality</w:t>
            </w:r>
          </w:p>
        </w:tc>
        <w:tc>
          <w:tcPr>
            <w:tcW w:type="dxa" w:w="3264"/>
            <w:vAlign w:val="top"/>
          </w:tcPr>
          <w:p>
            <w:pPr>
              <w:spacing w:after="0"/>
            </w:pPr>
            <w:r/>
            <w:r>
              <w:rPr>
                <w:rFonts w:ascii="Times New Roman" w:hAnsi="Times New Roman"/>
                <w:b w:val="0"/>
                <w:sz w:val="18"/>
              </w:rPr>
              <w:t>Weighted mean across eight ISO/IEC 25010 categories</w:t>
            </w:r>
          </w:p>
        </w:tc>
        <w:tc>
          <w:tcPr>
            <w:tcW w:type="dxa" w:w="3264"/>
            <w:vAlign w:val="top"/>
          </w:tcPr>
          <w:p>
            <w:pPr>
              <w:spacing w:after="0"/>
            </w:pPr>
            <w:r/>
            <w:r>
              <w:rPr>
                <w:rFonts w:ascii="Times New Roman" w:hAnsi="Times New Roman"/>
                <w:b w:val="0"/>
                <w:sz w:val="18"/>
              </w:rPr>
              <w:t>Perceived software quality, usability, security, reliability, and portability.</w:t>
            </w:r>
          </w:p>
        </w:tc>
      </w:tr>
      <w:tr>
        <w:tc>
          <w:tcPr>
            <w:tcW w:type="dxa" w:w="3264"/>
            <w:vAlign w:val="top"/>
          </w:tcPr>
          <w:p>
            <w:pPr>
              <w:spacing w:after="0"/>
            </w:pPr>
            <w:r/>
            <w:r>
              <w:rPr>
                <w:rFonts w:ascii="Times New Roman" w:hAnsi="Times New Roman"/>
                <w:b w:val="0"/>
                <w:sz w:val="18"/>
              </w:rPr>
              <w:t>Nutrition quality</w:t>
            </w:r>
          </w:p>
        </w:tc>
        <w:tc>
          <w:tcPr>
            <w:tcW w:type="dxa" w:w="3264"/>
            <w:vAlign w:val="top"/>
          </w:tcPr>
          <w:p>
            <w:pPr>
              <w:spacing w:after="0"/>
            </w:pPr>
            <w:r/>
            <w:r>
              <w:rPr>
                <w:rFonts w:ascii="Times New Roman" w:hAnsi="Times New Roman"/>
                <w:b w:val="0"/>
                <w:sz w:val="18"/>
              </w:rPr>
              <w:t>Planner benchmark, nutrition feasibility, macro and calorie checks</w:t>
            </w:r>
          </w:p>
        </w:tc>
        <w:tc>
          <w:tcPr>
            <w:tcW w:type="dxa" w:w="3264"/>
            <w:vAlign w:val="top"/>
          </w:tcPr>
          <w:p>
            <w:pPr>
              <w:spacing w:after="0"/>
            </w:pPr>
            <w:r/>
            <w:r>
              <w:rPr>
                <w:rFonts w:ascii="Times New Roman" w:hAnsi="Times New Roman"/>
                <w:b w:val="0"/>
                <w:sz w:val="18"/>
              </w:rPr>
              <w:t>System output satisfies implemented nutrition rules under tested profiles.</w:t>
            </w:r>
          </w:p>
        </w:tc>
      </w:tr>
      <w:tr>
        <w:tc>
          <w:tcPr>
            <w:tcW w:type="dxa" w:w="3264"/>
            <w:vAlign w:val="top"/>
          </w:tcPr>
          <w:p>
            <w:pPr>
              <w:spacing w:after="0"/>
            </w:pPr>
            <w:r/>
            <w:r>
              <w:rPr>
                <w:rFonts w:ascii="Times New Roman" w:hAnsi="Times New Roman"/>
                <w:b w:val="0"/>
                <w:sz w:val="18"/>
              </w:rPr>
              <w:t>Safety</w:t>
            </w:r>
          </w:p>
        </w:tc>
        <w:tc>
          <w:tcPr>
            <w:tcW w:type="dxa" w:w="3264"/>
            <w:vAlign w:val="top"/>
          </w:tcPr>
          <w:p>
            <w:pPr>
              <w:spacing w:after="0"/>
            </w:pPr>
            <w:r/>
            <w:r>
              <w:rPr>
                <w:rFonts w:ascii="Times New Roman" w:hAnsi="Times New Roman"/>
                <w:b w:val="0"/>
                <w:sz w:val="18"/>
              </w:rPr>
              <w:t>Hard-rule violations and no-safe-plan behavior</w:t>
            </w:r>
          </w:p>
        </w:tc>
        <w:tc>
          <w:tcPr>
            <w:tcW w:type="dxa" w:w="3264"/>
            <w:vAlign w:val="top"/>
          </w:tcPr>
          <w:p>
            <w:pPr>
              <w:spacing w:after="0"/>
            </w:pPr>
            <w:r/>
            <w:r>
              <w:rPr>
                <w:rFonts w:ascii="Times New Roman" w:hAnsi="Times New Roman"/>
                <w:b w:val="0"/>
                <w:sz w:val="18"/>
              </w:rPr>
              <w:t>Unsafe plans are rejected rather than forced.</w:t>
            </w:r>
          </w:p>
        </w:tc>
      </w:tr>
      <w:tr>
        <w:tc>
          <w:tcPr>
            <w:tcW w:type="dxa" w:w="3264"/>
            <w:vAlign w:val="top"/>
          </w:tcPr>
          <w:p>
            <w:pPr>
              <w:spacing w:after="0"/>
            </w:pPr>
            <w:r/>
            <w:r>
              <w:rPr>
                <w:rFonts w:ascii="Times New Roman" w:hAnsi="Times New Roman"/>
                <w:b w:val="0"/>
                <w:sz w:val="18"/>
              </w:rPr>
              <w:t>Cultural relevance</w:t>
            </w:r>
          </w:p>
        </w:tc>
        <w:tc>
          <w:tcPr>
            <w:tcW w:type="dxa" w:w="3264"/>
            <w:vAlign w:val="top"/>
          </w:tcPr>
          <w:p>
            <w:pPr>
              <w:spacing w:after="0"/>
            </w:pPr>
            <w:r/>
            <w:r>
              <w:rPr>
                <w:rFonts w:ascii="Times New Roman" w:hAnsi="Times New Roman"/>
                <w:b w:val="0"/>
                <w:sz w:val="18"/>
              </w:rPr>
              <w:t>Filipino food context, cultural protocol, user ratings</w:t>
            </w:r>
          </w:p>
        </w:tc>
        <w:tc>
          <w:tcPr>
            <w:tcW w:type="dxa" w:w="3264"/>
            <w:vAlign w:val="top"/>
          </w:tcPr>
          <w:p>
            <w:pPr>
              <w:spacing w:after="0"/>
            </w:pPr>
            <w:r/>
            <w:r>
              <w:rPr>
                <w:rFonts w:ascii="Times New Roman" w:hAnsi="Times New Roman"/>
                <w:b w:val="0"/>
                <w:sz w:val="18"/>
              </w:rPr>
              <w:t>Meal outputs support familiar Filipino food practices within constraints.</w:t>
            </w:r>
          </w:p>
        </w:tc>
      </w:tr>
      <w:tr>
        <w:tc>
          <w:tcPr>
            <w:tcW w:type="dxa" w:w="3264"/>
            <w:vAlign w:val="top"/>
          </w:tcPr>
          <w:p>
            <w:pPr>
              <w:spacing w:after="0"/>
            </w:pPr>
            <w:r/>
            <w:r>
              <w:rPr>
                <w:rFonts w:ascii="Times New Roman" w:hAnsi="Times New Roman"/>
                <w:b w:val="0"/>
                <w:sz w:val="18"/>
              </w:rPr>
              <w:t>Computational efficiency</w:t>
            </w:r>
          </w:p>
        </w:tc>
        <w:tc>
          <w:tcPr>
            <w:tcW w:type="dxa" w:w="3264"/>
            <w:vAlign w:val="top"/>
          </w:tcPr>
          <w:p>
            <w:pPr>
              <w:spacing w:after="0"/>
            </w:pPr>
            <w:r/>
            <w:r>
              <w:rPr>
                <w:rFonts w:ascii="Times New Roman" w:hAnsi="Times New Roman"/>
                <w:b w:val="0"/>
                <w:sz w:val="18"/>
              </w:rPr>
              <w:t>Runtime average, P95, max, completion rate</w:t>
            </w:r>
          </w:p>
        </w:tc>
        <w:tc>
          <w:tcPr>
            <w:tcW w:type="dxa" w:w="3264"/>
            <w:vAlign w:val="top"/>
          </w:tcPr>
          <w:p>
            <w:pPr>
              <w:spacing w:after="0"/>
            </w:pPr>
            <w:r/>
            <w:r>
              <w:rPr>
                <w:rFonts w:ascii="Times New Roman" w:hAnsi="Times New Roman"/>
                <w:b w:val="0"/>
                <w:sz w:val="18"/>
              </w:rPr>
              <w:t>Planner is practical under evaluated benchmark conditions.</w:t>
            </w:r>
          </w:p>
        </w:tc>
      </w:tr>
    </w:tbl>
    <w:p/>
    <w:p>
      <w:pPr>
        <w:pStyle w:val="Heading2"/>
      </w:pPr>
      <w:r>
        <w:rPr>
          <w:rFonts w:ascii="Times New Roman" w:hAnsi="Times New Roman"/>
          <w:color w:val="2F6B3F"/>
        </w:rPr>
        <w:t>4.5.2 Instrument Reliability and User-Centered Evaluation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2160"/>
            <w:vAlign w:val="top"/>
            <w:shd w:fill="E2F0D9"/>
          </w:tcPr>
          <w:p>
            <w:pPr>
              <w:spacing w:after="0"/>
            </w:pPr>
            <w:r/>
            <w:r>
              <w:rPr>
                <w:rFonts w:ascii="Times New Roman" w:hAnsi="Times New Roman"/>
                <w:b/>
                <w:sz w:val="18"/>
              </w:rPr>
              <w:t>Statistical formulas</w:t>
            </w:r>
          </w:p>
        </w:tc>
        <w:tc>
          <w:tcPr>
            <w:tcW w:type="dxa" w:w="4032"/>
            <w:vAlign w:val="top"/>
            <w:shd w:fill="E2F0D9"/>
          </w:tcPr>
          <w:p>
            <w:pPr>
              <w:spacing w:after="0"/>
            </w:pPr>
            <w:r/>
            <w:r>
              <w:rPr>
                <w:rFonts w:ascii="Times New Roman" w:hAnsi="Times New Roman"/>
                <w:b/>
                <w:sz w:val="18"/>
              </w:rPr>
              <w:t>Formula / computation</w:t>
            </w:r>
          </w:p>
        </w:tc>
        <w:tc>
          <w:tcPr>
            <w:tcW w:type="dxa" w:w="3024"/>
            <w:vAlign w:val="top"/>
            <w:shd w:fill="E2F0D9"/>
          </w:tcPr>
          <w:p>
            <w:pPr>
              <w:spacing w:after="0"/>
            </w:pPr>
            <w:r/>
            <w:r>
              <w:rPr>
                <w:rFonts w:ascii="Times New Roman" w:hAnsi="Times New Roman"/>
                <w:b/>
                <w:sz w:val="18"/>
              </w:rPr>
              <w:t>Use in PCOSina</w:t>
            </w:r>
          </w:p>
        </w:tc>
      </w:tr>
      <w:tr>
        <w:tc>
          <w:tcPr>
            <w:tcW w:type="dxa" w:w="2160"/>
            <w:vAlign w:val="top"/>
          </w:tcPr>
          <w:p>
            <w:pPr>
              <w:spacing w:after="0"/>
            </w:pPr>
            <w:r/>
            <w:r>
              <w:rPr>
                <w:rFonts w:ascii="Times New Roman" w:hAnsi="Times New Roman"/>
                <w:b w:val="0"/>
                <w:sz w:val="18"/>
              </w:rPr>
              <w:t>Weighted mean</w:t>
            </w:r>
          </w:p>
        </w:tc>
        <w:tc>
          <w:tcPr>
            <w:tcW w:type="dxa" w:w="4032"/>
            <w:vAlign w:val="top"/>
          </w:tcPr>
          <w:p>
            <w:pPr>
              <w:spacing w:after="0"/>
            </w:pPr>
            <w:r/>
            <w:r>
              <w:rPr>
                <w:rFonts w:ascii="Times New Roman" w:hAnsi="Times New Roman"/>
                <w:b w:val="0"/>
                <w:sz w:val="18"/>
              </w:rPr>
              <w:t>WM = sum(score_i) / N, or sum(f_i*x_i) / N for grouped responses</w:t>
            </w:r>
          </w:p>
        </w:tc>
        <w:tc>
          <w:tcPr>
            <w:tcW w:type="dxa" w:w="3024"/>
            <w:vAlign w:val="top"/>
          </w:tcPr>
          <w:p>
            <w:pPr>
              <w:spacing w:after="0"/>
            </w:pPr>
            <w:r/>
            <w:r>
              <w:rPr>
                <w:rFonts w:ascii="Times New Roman" w:hAnsi="Times New Roman"/>
                <w:b w:val="0"/>
                <w:sz w:val="18"/>
              </w:rPr>
              <w:t>Interprets survey agreement per ISO/IEC 25010 category.</w:t>
            </w:r>
          </w:p>
        </w:tc>
      </w:tr>
      <w:tr>
        <w:tc>
          <w:tcPr>
            <w:tcW w:type="dxa" w:w="2160"/>
            <w:vAlign w:val="top"/>
          </w:tcPr>
          <w:p>
            <w:pPr>
              <w:spacing w:after="0"/>
            </w:pPr>
            <w:r/>
            <w:r>
              <w:rPr>
                <w:rFonts w:ascii="Times New Roman" w:hAnsi="Times New Roman"/>
                <w:b w:val="0"/>
                <w:sz w:val="18"/>
              </w:rPr>
              <w:t>Cronbach alpha</w:t>
            </w:r>
          </w:p>
        </w:tc>
        <w:tc>
          <w:tcPr>
            <w:tcW w:type="dxa" w:w="4032"/>
            <w:vAlign w:val="top"/>
          </w:tcPr>
          <w:p>
            <w:pPr>
              <w:spacing w:after="0"/>
            </w:pPr>
            <w:r/>
            <w:r>
              <w:rPr>
                <w:rFonts w:ascii="Times New Roman" w:hAnsi="Times New Roman"/>
                <w:b w:val="0"/>
                <w:sz w:val="18"/>
              </w:rPr>
              <w:t>alpha = (k / (k - 1)) * (1 - sum(item variances) / total score variance)</w:t>
            </w:r>
          </w:p>
        </w:tc>
        <w:tc>
          <w:tcPr>
            <w:tcW w:type="dxa" w:w="3024"/>
            <w:vAlign w:val="top"/>
          </w:tcPr>
          <w:p>
            <w:pPr>
              <w:spacing w:after="0"/>
            </w:pPr>
            <w:r/>
            <w:r>
              <w:rPr>
                <w:rFonts w:ascii="Times New Roman" w:hAnsi="Times New Roman"/>
                <w:b w:val="0"/>
                <w:sz w:val="18"/>
              </w:rPr>
              <w:t>Checks internal consistency of questionnaire items.</w:t>
            </w:r>
          </w:p>
        </w:tc>
      </w:tr>
      <w:tr>
        <w:tc>
          <w:tcPr>
            <w:tcW w:type="dxa" w:w="2160"/>
            <w:vAlign w:val="top"/>
          </w:tcPr>
          <w:p>
            <w:pPr>
              <w:spacing w:after="0"/>
            </w:pPr>
            <w:r/>
            <w:r>
              <w:rPr>
                <w:rFonts w:ascii="Times New Roman" w:hAnsi="Times New Roman"/>
                <w:b w:val="0"/>
                <w:sz w:val="18"/>
              </w:rPr>
              <w:t>Interpretation threshold</w:t>
            </w:r>
          </w:p>
        </w:tc>
        <w:tc>
          <w:tcPr>
            <w:tcW w:type="dxa" w:w="4032"/>
            <w:vAlign w:val="top"/>
          </w:tcPr>
          <w:p>
            <w:pPr>
              <w:spacing w:after="0"/>
            </w:pPr>
            <w:r/>
            <w:r>
              <w:rPr>
                <w:rFonts w:ascii="Times New Roman" w:hAnsi="Times New Roman"/>
                <w:b w:val="0"/>
                <w:sz w:val="18"/>
              </w:rPr>
              <w:t>alpha &gt;= 0.700</w:t>
            </w:r>
          </w:p>
        </w:tc>
        <w:tc>
          <w:tcPr>
            <w:tcW w:type="dxa" w:w="3024"/>
            <w:vAlign w:val="top"/>
          </w:tcPr>
          <w:p>
            <w:pPr>
              <w:spacing w:after="0"/>
            </w:pPr>
            <w:r/>
            <w:r>
              <w:rPr>
                <w:rFonts w:ascii="Times New Roman" w:hAnsi="Times New Roman"/>
                <w:b w:val="0"/>
                <w:sz w:val="18"/>
              </w:rPr>
              <w:t>Minimum accepted reliability threshold used in the dossier.</w:t>
            </w:r>
          </w:p>
        </w:tc>
      </w:tr>
    </w:tbl>
    <w:p/>
    <w:p>
      <w:pPr>
        <w:jc w:val="center"/>
      </w:pPr>
      <w:r>
        <w:drawing>
          <wp:inline xmlns:a="http://schemas.openxmlformats.org/drawingml/2006/main" xmlns:pic="http://schemas.openxmlformats.org/drawingml/2006/picture">
            <wp:extent cx="5303520" cy="2899258"/>
            <wp:docPr id="24" name="Picture 24"/>
            <wp:cNvGraphicFramePr>
              <a:graphicFrameLocks noChangeAspect="1"/>
            </wp:cNvGraphicFramePr>
            <a:graphic>
              <a:graphicData uri="http://schemas.openxmlformats.org/drawingml/2006/picture">
                <pic:pic>
                  <pic:nvPicPr>
                    <pic:cNvPr id="0" name="alpha_chart.png"/>
                    <pic:cNvPicPr/>
                  </pic:nvPicPr>
                  <pic:blipFill>
                    <a:blip r:embed="rId32"/>
                    <a:stretch>
                      <a:fillRect/>
                    </a:stretch>
                  </pic:blipFill>
                  <pic:spPr>
                    <a:xfrm>
                      <a:off x="0" y="0"/>
                      <a:ext cx="5303520" cy="2899258"/>
                    </a:xfrm>
                    <a:prstGeom prst="rect"/>
                  </pic:spPr>
                </pic:pic>
              </a:graphicData>
            </a:graphic>
          </wp:inline>
        </w:drawing>
      </w:r>
    </w:p>
    <w:p>
      <w:pPr>
        <w:jc w:val="center"/>
      </w:pPr>
      <w:r>
        <w:rPr>
          <w:b w:val="0"/>
          <w:i/>
          <w:sz w:val="18"/>
        </w:rPr>
        <w:t>Figure 4.27. Cronbach alpha reliability evidence by category.</w:t>
      </w:r>
    </w:p>
    <w:p>
      <w:pPr>
        <w:jc w:val="center"/>
      </w:pPr>
      <w:r>
        <w:drawing>
          <wp:inline xmlns:a="http://schemas.openxmlformats.org/drawingml/2006/main" xmlns:pic="http://schemas.openxmlformats.org/drawingml/2006/picture">
            <wp:extent cx="5303520" cy="2757830"/>
            <wp:docPr id="25" name="Picture 25"/>
            <wp:cNvGraphicFramePr>
              <a:graphicFrameLocks noChangeAspect="1"/>
            </wp:cNvGraphicFramePr>
            <a:graphic>
              <a:graphicData uri="http://schemas.openxmlformats.org/drawingml/2006/picture">
                <pic:pic>
                  <pic:nvPicPr>
                    <pic:cNvPr id="0" name="iso_chart.png"/>
                    <pic:cNvPicPr/>
                  </pic:nvPicPr>
                  <pic:blipFill>
                    <a:blip r:embed="rId33"/>
                    <a:stretch>
                      <a:fillRect/>
                    </a:stretch>
                  </pic:blipFill>
                  <pic:spPr>
                    <a:xfrm>
                      <a:off x="0" y="0"/>
                      <a:ext cx="5303520" cy="2757830"/>
                    </a:xfrm>
                    <a:prstGeom prst="rect"/>
                  </pic:spPr>
                </pic:pic>
              </a:graphicData>
            </a:graphic>
          </wp:inline>
        </w:drawing>
      </w:r>
    </w:p>
    <w:p>
      <w:pPr>
        <w:jc w:val="center"/>
      </w:pPr>
      <w:r>
        <w:rPr>
          <w:b w:val="0"/>
          <w:i/>
          <w:sz w:val="18"/>
        </w:rPr>
        <w:t>Figure 4.28. ISO/IEC 25010 weighted-mean summary.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ISO/IEC 25010 category</w:t>
            </w:r>
          </w:p>
        </w:tc>
        <w:tc>
          <w:tcPr>
            <w:tcW w:type="dxa" w:w="3264"/>
            <w:vAlign w:val="top"/>
            <w:shd w:fill="E2F0D9"/>
          </w:tcPr>
          <w:p>
            <w:pPr>
              <w:spacing w:after="0"/>
            </w:pPr>
            <w:r/>
            <w:r>
              <w:rPr>
                <w:rFonts w:ascii="Times New Roman" w:hAnsi="Times New Roman"/>
                <w:b/>
                <w:sz w:val="18"/>
              </w:rPr>
              <w:t>Overall mean</w:t>
            </w:r>
          </w:p>
        </w:tc>
        <w:tc>
          <w:tcPr>
            <w:tcW w:type="dxa" w:w="3264"/>
            <w:vAlign w:val="top"/>
            <w:shd w:fill="E2F0D9"/>
          </w:tcPr>
          <w:p>
            <w:pPr>
              <w:spacing w:after="0"/>
            </w:pPr>
            <w:r/>
            <w:r>
              <w:rPr>
                <w:rFonts w:ascii="Times New Roman" w:hAnsi="Times New Roman"/>
                <w:b/>
                <w:sz w:val="18"/>
              </w:rPr>
              <w:t>Interpretation</w:t>
            </w:r>
          </w:p>
        </w:tc>
      </w:tr>
      <w:tr>
        <w:tc>
          <w:tcPr>
            <w:tcW w:type="dxa" w:w="3264"/>
            <w:vAlign w:val="top"/>
          </w:tcPr>
          <w:p>
            <w:pPr>
              <w:spacing w:after="0"/>
            </w:pPr>
            <w:r/>
            <w:r>
              <w:rPr>
                <w:rFonts w:ascii="Times New Roman" w:hAnsi="Times New Roman"/>
                <w:b w:val="0"/>
                <w:sz w:val="18"/>
              </w:rPr>
              <w:t>Functional Suitability</w:t>
            </w:r>
          </w:p>
        </w:tc>
        <w:tc>
          <w:tcPr>
            <w:tcW w:type="dxa" w:w="3264"/>
            <w:vAlign w:val="top"/>
          </w:tcPr>
          <w:p>
            <w:pPr>
              <w:spacing w:after="0"/>
            </w:pPr>
            <w:r/>
            <w:r>
              <w:rPr>
                <w:rFonts w:ascii="Times New Roman" w:hAnsi="Times New Roman"/>
                <w:b w:val="0"/>
                <w:sz w:val="18"/>
              </w:rPr>
              <w:t>3.93</w:t>
            </w:r>
          </w:p>
        </w:tc>
        <w:tc>
          <w:tcPr>
            <w:tcW w:type="dxa" w:w="3264"/>
            <w:vAlign w:val="top"/>
          </w:tcPr>
          <w:p>
            <w:pPr>
              <w:spacing w:after="0"/>
            </w:pPr>
            <w:r/>
            <w:r>
              <w:rPr>
                <w:rFonts w:ascii="Times New Roman" w:hAnsi="Times New Roman"/>
                <w:b w:val="0"/>
                <w:sz w:val="18"/>
              </w:rPr>
              <w:t>Agree</w:t>
            </w:r>
          </w:p>
        </w:tc>
      </w:tr>
      <w:tr>
        <w:tc>
          <w:tcPr>
            <w:tcW w:type="dxa" w:w="3264"/>
            <w:vAlign w:val="top"/>
          </w:tcPr>
          <w:p>
            <w:pPr>
              <w:spacing w:after="0"/>
            </w:pPr>
            <w:r/>
            <w:r>
              <w:rPr>
                <w:rFonts w:ascii="Times New Roman" w:hAnsi="Times New Roman"/>
                <w:b w:val="0"/>
                <w:sz w:val="18"/>
              </w:rPr>
              <w:t>Performance Efficiency</w:t>
            </w:r>
          </w:p>
        </w:tc>
        <w:tc>
          <w:tcPr>
            <w:tcW w:type="dxa" w:w="3264"/>
            <w:vAlign w:val="top"/>
          </w:tcPr>
          <w:p>
            <w:pPr>
              <w:spacing w:after="0"/>
            </w:pPr>
            <w:r/>
            <w:r>
              <w:rPr>
                <w:rFonts w:ascii="Times New Roman" w:hAnsi="Times New Roman"/>
                <w:b w:val="0"/>
                <w:sz w:val="18"/>
              </w:rPr>
              <w:t>4.01</w:t>
            </w:r>
          </w:p>
        </w:tc>
        <w:tc>
          <w:tcPr>
            <w:tcW w:type="dxa" w:w="3264"/>
            <w:vAlign w:val="top"/>
          </w:tcPr>
          <w:p>
            <w:pPr>
              <w:spacing w:after="0"/>
            </w:pPr>
            <w:r/>
            <w:r>
              <w:rPr>
                <w:rFonts w:ascii="Times New Roman" w:hAnsi="Times New Roman"/>
                <w:b w:val="0"/>
                <w:sz w:val="18"/>
              </w:rPr>
              <w:t>Agree</w:t>
            </w:r>
          </w:p>
        </w:tc>
      </w:tr>
      <w:tr>
        <w:tc>
          <w:tcPr>
            <w:tcW w:type="dxa" w:w="3264"/>
            <w:vAlign w:val="top"/>
          </w:tcPr>
          <w:p>
            <w:pPr>
              <w:spacing w:after="0"/>
            </w:pPr>
            <w:r/>
            <w:r>
              <w:rPr>
                <w:rFonts w:ascii="Times New Roman" w:hAnsi="Times New Roman"/>
                <w:b w:val="0"/>
                <w:sz w:val="18"/>
              </w:rPr>
              <w:t>Compatibility</w:t>
            </w:r>
          </w:p>
        </w:tc>
        <w:tc>
          <w:tcPr>
            <w:tcW w:type="dxa" w:w="3264"/>
            <w:vAlign w:val="top"/>
          </w:tcPr>
          <w:p>
            <w:pPr>
              <w:spacing w:after="0"/>
            </w:pPr>
            <w:r/>
            <w:r>
              <w:rPr>
                <w:rFonts w:ascii="Times New Roman" w:hAnsi="Times New Roman"/>
                <w:b w:val="0"/>
                <w:sz w:val="18"/>
              </w:rPr>
              <w:t>4.03</w:t>
            </w:r>
          </w:p>
        </w:tc>
        <w:tc>
          <w:tcPr>
            <w:tcW w:type="dxa" w:w="3264"/>
            <w:vAlign w:val="top"/>
          </w:tcPr>
          <w:p>
            <w:pPr>
              <w:spacing w:after="0"/>
            </w:pPr>
            <w:r/>
            <w:r>
              <w:rPr>
                <w:rFonts w:ascii="Times New Roman" w:hAnsi="Times New Roman"/>
                <w:b w:val="0"/>
                <w:sz w:val="18"/>
              </w:rPr>
              <w:t>Agree</w:t>
            </w:r>
          </w:p>
        </w:tc>
      </w:tr>
      <w:tr>
        <w:tc>
          <w:tcPr>
            <w:tcW w:type="dxa" w:w="3264"/>
            <w:vAlign w:val="top"/>
          </w:tcPr>
          <w:p>
            <w:pPr>
              <w:spacing w:after="0"/>
            </w:pPr>
            <w:r/>
            <w:r>
              <w:rPr>
                <w:rFonts w:ascii="Times New Roman" w:hAnsi="Times New Roman"/>
                <w:b w:val="0"/>
                <w:sz w:val="18"/>
              </w:rPr>
              <w:t>Usability</w:t>
            </w:r>
          </w:p>
        </w:tc>
        <w:tc>
          <w:tcPr>
            <w:tcW w:type="dxa" w:w="3264"/>
            <w:vAlign w:val="top"/>
          </w:tcPr>
          <w:p>
            <w:pPr>
              <w:spacing w:after="0"/>
            </w:pPr>
            <w:r/>
            <w:r>
              <w:rPr>
                <w:rFonts w:ascii="Times New Roman" w:hAnsi="Times New Roman"/>
                <w:b w:val="0"/>
                <w:sz w:val="18"/>
              </w:rPr>
              <w:t>4.06</w:t>
            </w:r>
          </w:p>
        </w:tc>
        <w:tc>
          <w:tcPr>
            <w:tcW w:type="dxa" w:w="3264"/>
            <w:vAlign w:val="top"/>
          </w:tcPr>
          <w:p>
            <w:pPr>
              <w:spacing w:after="0"/>
            </w:pPr>
            <w:r/>
            <w:r>
              <w:rPr>
                <w:rFonts w:ascii="Times New Roman" w:hAnsi="Times New Roman"/>
                <w:b w:val="0"/>
                <w:sz w:val="18"/>
              </w:rPr>
              <w:t>Agree</w:t>
            </w:r>
          </w:p>
        </w:tc>
      </w:tr>
      <w:tr>
        <w:tc>
          <w:tcPr>
            <w:tcW w:type="dxa" w:w="3264"/>
            <w:vAlign w:val="top"/>
          </w:tcPr>
          <w:p>
            <w:pPr>
              <w:spacing w:after="0"/>
            </w:pPr>
            <w:r/>
            <w:r>
              <w:rPr>
                <w:rFonts w:ascii="Times New Roman" w:hAnsi="Times New Roman"/>
                <w:b w:val="0"/>
                <w:sz w:val="18"/>
              </w:rPr>
              <w:t>Reliability</w:t>
            </w:r>
          </w:p>
        </w:tc>
        <w:tc>
          <w:tcPr>
            <w:tcW w:type="dxa" w:w="3264"/>
            <w:vAlign w:val="top"/>
          </w:tcPr>
          <w:p>
            <w:pPr>
              <w:spacing w:after="0"/>
            </w:pPr>
            <w:r/>
            <w:r>
              <w:rPr>
                <w:rFonts w:ascii="Times New Roman" w:hAnsi="Times New Roman"/>
                <w:b w:val="0"/>
                <w:sz w:val="18"/>
              </w:rPr>
              <w:t>4.00</w:t>
            </w:r>
          </w:p>
        </w:tc>
        <w:tc>
          <w:tcPr>
            <w:tcW w:type="dxa" w:w="3264"/>
            <w:vAlign w:val="top"/>
          </w:tcPr>
          <w:p>
            <w:pPr>
              <w:spacing w:after="0"/>
            </w:pPr>
            <w:r/>
            <w:r>
              <w:rPr>
                <w:rFonts w:ascii="Times New Roman" w:hAnsi="Times New Roman"/>
                <w:b w:val="0"/>
                <w:sz w:val="18"/>
              </w:rPr>
              <w:t>Agree</w:t>
            </w:r>
          </w:p>
        </w:tc>
      </w:tr>
      <w:tr>
        <w:tc>
          <w:tcPr>
            <w:tcW w:type="dxa" w:w="3264"/>
            <w:vAlign w:val="top"/>
          </w:tcPr>
          <w:p>
            <w:pPr>
              <w:spacing w:after="0"/>
            </w:pPr>
            <w:r/>
            <w:r>
              <w:rPr>
                <w:rFonts w:ascii="Times New Roman" w:hAnsi="Times New Roman"/>
                <w:b w:val="0"/>
                <w:sz w:val="18"/>
              </w:rPr>
              <w:t>Security</w:t>
            </w:r>
          </w:p>
        </w:tc>
        <w:tc>
          <w:tcPr>
            <w:tcW w:type="dxa" w:w="3264"/>
            <w:vAlign w:val="top"/>
          </w:tcPr>
          <w:p>
            <w:pPr>
              <w:spacing w:after="0"/>
            </w:pPr>
            <w:r/>
            <w:r>
              <w:rPr>
                <w:rFonts w:ascii="Times New Roman" w:hAnsi="Times New Roman"/>
                <w:b w:val="0"/>
                <w:sz w:val="18"/>
              </w:rPr>
              <w:t>4.24</w:t>
            </w:r>
          </w:p>
        </w:tc>
        <w:tc>
          <w:tcPr>
            <w:tcW w:type="dxa" w:w="3264"/>
            <w:vAlign w:val="top"/>
          </w:tcPr>
          <w:p>
            <w:pPr>
              <w:spacing w:after="0"/>
            </w:pPr>
            <w:r/>
            <w:r>
              <w:rPr>
                <w:rFonts w:ascii="Times New Roman" w:hAnsi="Times New Roman"/>
                <w:b w:val="0"/>
                <w:sz w:val="18"/>
              </w:rPr>
              <w:t>Strongly Agree</w:t>
            </w:r>
          </w:p>
        </w:tc>
      </w:tr>
      <w:tr>
        <w:tc>
          <w:tcPr>
            <w:tcW w:type="dxa" w:w="3264"/>
            <w:vAlign w:val="top"/>
          </w:tcPr>
          <w:p>
            <w:pPr>
              <w:spacing w:after="0"/>
            </w:pPr>
            <w:r/>
            <w:r>
              <w:rPr>
                <w:rFonts w:ascii="Times New Roman" w:hAnsi="Times New Roman"/>
                <w:b w:val="0"/>
                <w:sz w:val="18"/>
              </w:rPr>
              <w:t>Maintainability</w:t>
            </w:r>
          </w:p>
        </w:tc>
        <w:tc>
          <w:tcPr>
            <w:tcW w:type="dxa" w:w="3264"/>
            <w:vAlign w:val="top"/>
          </w:tcPr>
          <w:p>
            <w:pPr>
              <w:spacing w:after="0"/>
            </w:pPr>
            <w:r/>
            <w:r>
              <w:rPr>
                <w:rFonts w:ascii="Times New Roman" w:hAnsi="Times New Roman"/>
                <w:b w:val="0"/>
                <w:sz w:val="18"/>
              </w:rPr>
              <w:t>3.88</w:t>
            </w:r>
          </w:p>
        </w:tc>
        <w:tc>
          <w:tcPr>
            <w:tcW w:type="dxa" w:w="3264"/>
            <w:vAlign w:val="top"/>
          </w:tcPr>
          <w:p>
            <w:pPr>
              <w:spacing w:after="0"/>
            </w:pPr>
            <w:r/>
            <w:r>
              <w:rPr>
                <w:rFonts w:ascii="Times New Roman" w:hAnsi="Times New Roman"/>
                <w:b w:val="0"/>
                <w:sz w:val="18"/>
              </w:rPr>
              <w:t>Agree</w:t>
            </w:r>
          </w:p>
        </w:tc>
      </w:tr>
      <w:tr>
        <w:tc>
          <w:tcPr>
            <w:tcW w:type="dxa" w:w="3264"/>
            <w:vAlign w:val="top"/>
          </w:tcPr>
          <w:p>
            <w:pPr>
              <w:spacing w:after="0"/>
            </w:pPr>
            <w:r/>
            <w:r>
              <w:rPr>
                <w:rFonts w:ascii="Times New Roman" w:hAnsi="Times New Roman"/>
                <w:b w:val="0"/>
                <w:sz w:val="18"/>
              </w:rPr>
              <w:t>Portability</w:t>
            </w:r>
          </w:p>
        </w:tc>
        <w:tc>
          <w:tcPr>
            <w:tcW w:type="dxa" w:w="3264"/>
            <w:vAlign w:val="top"/>
          </w:tcPr>
          <w:p>
            <w:pPr>
              <w:spacing w:after="0"/>
            </w:pPr>
            <w:r/>
            <w:r>
              <w:rPr>
                <w:rFonts w:ascii="Times New Roman" w:hAnsi="Times New Roman"/>
                <w:b w:val="0"/>
                <w:sz w:val="18"/>
              </w:rPr>
              <w:t>4.04</w:t>
            </w:r>
          </w:p>
        </w:tc>
        <w:tc>
          <w:tcPr>
            <w:tcW w:type="dxa" w:w="3264"/>
            <w:vAlign w:val="top"/>
          </w:tcPr>
          <w:p>
            <w:pPr>
              <w:spacing w:after="0"/>
            </w:pPr>
            <w:r/>
            <w:r>
              <w:rPr>
                <w:rFonts w:ascii="Times New Roman" w:hAnsi="Times New Roman"/>
                <w:b w:val="0"/>
                <w:sz w:val="18"/>
              </w:rPr>
              <w:t>Agree</w:t>
            </w:r>
          </w:p>
        </w:tc>
      </w:tr>
    </w:tbl>
    <w:p/>
    <w:p>
      <w:pPr>
        <w:pStyle w:val="Heading2"/>
      </w:pPr>
      <w:r>
        <w:rPr>
          <w:rFonts w:ascii="Times New Roman" w:hAnsi="Times New Roman"/>
          <w:color w:val="2F6B3F"/>
        </w:rPr>
        <w:t>4.5.3 Nutrition Quality and Constraint-Safety Evaluation</w:t>
      </w:r>
    </w:p>
    <w:p>
      <w:pPr>
        <w:spacing w:after="120" w:line="269" w:lineRule="auto"/>
        <w:ind w:firstLine="360"/>
      </w:pPr>
      <w:r>
        <w:rPr>
          <w:rFonts w:ascii="Times New Roman" w:hAnsi="Times New Roman"/>
          <w:sz w:val="22"/>
        </w:rPr>
        <w:t>Nutrition quality is evaluated through plan completeness, nutrition feasibility, macro and calorie behavior, and preservation of hard constraints. The strongest benchmark evidence is the final 20-profile evaluation repeated five times per profile, producing 100 final runs. The planner generated complete 21-slot weekly plans in all 100 final runs and recorded zero hard-rule violations.</w:t>
      </w:r>
    </w:p>
    <w:p>
      <w:pPr>
        <w:jc w:val="center"/>
      </w:pPr>
      <w:r>
        <w:drawing>
          <wp:inline xmlns:a="http://schemas.openxmlformats.org/drawingml/2006/main" xmlns:pic="http://schemas.openxmlformats.org/drawingml/2006/picture">
            <wp:extent cx="5303520" cy="3148965"/>
            <wp:docPr id="26" name="Picture 26"/>
            <wp:cNvGraphicFramePr>
              <a:graphicFrameLocks noChangeAspect="1"/>
            </wp:cNvGraphicFramePr>
            <a:graphic>
              <a:graphicData uri="http://schemas.openxmlformats.org/drawingml/2006/picture">
                <pic:pic>
                  <pic:nvPicPr>
                    <pic:cNvPr id="0" name="figure_4_3_nutrition_deviation.png"/>
                    <pic:cNvPicPr/>
                  </pic:nvPicPr>
                  <pic:blipFill>
                    <a:blip r:embed="rId34"/>
                    <a:stretch>
                      <a:fillRect/>
                    </a:stretch>
                  </pic:blipFill>
                  <pic:spPr>
                    <a:xfrm>
                      <a:off x="0" y="0"/>
                      <a:ext cx="5303520" cy="3148965"/>
                    </a:xfrm>
                    <a:prstGeom prst="rect"/>
                  </pic:spPr>
                </pic:pic>
              </a:graphicData>
            </a:graphic>
          </wp:inline>
        </w:drawing>
      </w:r>
    </w:p>
    <w:p>
      <w:pPr>
        <w:jc w:val="center"/>
      </w:pPr>
      <w:r>
        <w:rPr>
          <w:b w:val="0"/>
          <w:i/>
          <w:sz w:val="18"/>
        </w:rPr>
        <w:t>Figure 4.29. Nutrition deviation evidence from algorithm evaluation assets.</w:t>
      </w:r>
    </w:p>
    <w:p>
      <w:pPr>
        <w:jc w:val="center"/>
      </w:pPr>
      <w:r>
        <w:drawing>
          <wp:inline xmlns:a="http://schemas.openxmlformats.org/drawingml/2006/main" xmlns:pic="http://schemas.openxmlformats.org/drawingml/2006/picture">
            <wp:extent cx="5303520" cy="3148965"/>
            <wp:docPr id="27" name="Picture 27"/>
            <wp:cNvGraphicFramePr>
              <a:graphicFrameLocks noChangeAspect="1"/>
            </wp:cNvGraphicFramePr>
            <a:graphic>
              <a:graphicData uri="http://schemas.openxmlformats.org/drawingml/2006/picture">
                <pic:pic>
                  <pic:nvPicPr>
                    <pic:cNvPr id="0" name="figure_4_6_algorithm_comparison.png"/>
                    <pic:cNvPicPr/>
                  </pic:nvPicPr>
                  <pic:blipFill>
                    <a:blip r:embed="rId35"/>
                    <a:stretch>
                      <a:fillRect/>
                    </a:stretch>
                  </pic:blipFill>
                  <pic:spPr>
                    <a:xfrm>
                      <a:off x="0" y="0"/>
                      <a:ext cx="5303520" cy="3148965"/>
                    </a:xfrm>
                    <a:prstGeom prst="rect"/>
                  </pic:spPr>
                </pic:pic>
              </a:graphicData>
            </a:graphic>
          </wp:inline>
        </w:drawing>
      </w:r>
    </w:p>
    <w:p>
      <w:pPr>
        <w:jc w:val="center"/>
      </w:pPr>
      <w:r>
        <w:rPr>
          <w:b w:val="0"/>
          <w:i/>
          <w:sz w:val="18"/>
        </w:rPr>
        <w:t>Figure 4.30. Algorithm comparison evidence from algorithm evaluation assets.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Planner evidence</w:t>
            </w:r>
          </w:p>
        </w:tc>
        <w:tc>
          <w:tcPr>
            <w:tcW w:type="dxa" w:w="3264"/>
            <w:vAlign w:val="top"/>
            <w:shd w:fill="E2F0D9"/>
          </w:tcPr>
          <w:p>
            <w:pPr>
              <w:spacing w:after="0"/>
            </w:pPr>
            <w:r/>
            <w:r>
              <w:rPr>
                <w:rFonts w:ascii="Times New Roman" w:hAnsi="Times New Roman"/>
                <w:b/>
                <w:sz w:val="18"/>
              </w:rPr>
              <w:t>Result</w:t>
            </w:r>
          </w:p>
        </w:tc>
        <w:tc>
          <w:tcPr>
            <w:tcW w:type="dxa" w:w="3264"/>
            <w:vAlign w:val="top"/>
            <w:shd w:fill="E2F0D9"/>
          </w:tcPr>
          <w:p>
            <w:pPr>
              <w:spacing w:after="0"/>
            </w:pPr>
            <w:r/>
            <w:r>
              <w:rPr>
                <w:rFonts w:ascii="Times New Roman" w:hAnsi="Times New Roman"/>
                <w:b/>
                <w:sz w:val="18"/>
              </w:rPr>
              <w:t>Interpretation</w:t>
            </w:r>
          </w:p>
        </w:tc>
      </w:tr>
      <w:tr>
        <w:tc>
          <w:tcPr>
            <w:tcW w:type="dxa" w:w="3264"/>
            <w:vAlign w:val="top"/>
          </w:tcPr>
          <w:p>
            <w:pPr>
              <w:spacing w:after="0"/>
            </w:pPr>
            <w:r/>
            <w:r>
              <w:rPr>
                <w:rFonts w:ascii="Times New Roman" w:hAnsi="Times New Roman"/>
                <w:b w:val="0"/>
                <w:sz w:val="18"/>
              </w:rPr>
              <w:t>Benchmark test set</w:t>
            </w:r>
          </w:p>
        </w:tc>
        <w:tc>
          <w:tcPr>
            <w:tcW w:type="dxa" w:w="3264"/>
            <w:vAlign w:val="top"/>
          </w:tcPr>
          <w:p>
            <w:pPr>
              <w:spacing w:after="0"/>
            </w:pPr>
            <w:r/>
            <w:r>
              <w:rPr>
                <w:rFonts w:ascii="Times New Roman" w:hAnsi="Times New Roman"/>
                <w:b w:val="0"/>
                <w:sz w:val="18"/>
              </w:rPr>
              <w:t>20 realistic planner profiles, repeated five times each for 100 runs.</w:t>
            </w:r>
          </w:p>
        </w:tc>
        <w:tc>
          <w:tcPr>
            <w:tcW w:type="dxa" w:w="3264"/>
            <w:vAlign w:val="top"/>
          </w:tcPr>
          <w:p>
            <w:pPr>
              <w:spacing w:after="0"/>
            </w:pPr>
            <w:r/>
            <w:r>
              <w:rPr>
                <w:rFonts w:ascii="Times New Roman" w:hAnsi="Times New Roman"/>
                <w:b w:val="0"/>
                <w:sz w:val="18"/>
              </w:rPr>
              <w:t>Evaluation covers ordinary planning, budget limits, allergies, dietary restrictions, pantry use, and no-budget planning.</w:t>
            </w:r>
          </w:p>
        </w:tc>
      </w:tr>
      <w:tr>
        <w:tc>
          <w:tcPr>
            <w:tcW w:type="dxa" w:w="3264"/>
            <w:vAlign w:val="top"/>
          </w:tcPr>
          <w:p>
            <w:pPr>
              <w:spacing w:after="0"/>
            </w:pPr>
            <w:r/>
            <w:r>
              <w:rPr>
                <w:rFonts w:ascii="Times New Roman" w:hAnsi="Times New Roman"/>
                <w:b w:val="0"/>
                <w:sz w:val="18"/>
              </w:rPr>
              <w:t>Weekly structure</w:t>
            </w:r>
          </w:p>
        </w:tc>
        <w:tc>
          <w:tcPr>
            <w:tcW w:type="dxa" w:w="3264"/>
            <w:vAlign w:val="top"/>
          </w:tcPr>
          <w:p>
            <w:pPr>
              <w:spacing w:after="0"/>
            </w:pPr>
            <w:r/>
            <w:r>
              <w:rPr>
                <w:rFonts w:ascii="Times New Roman" w:hAnsi="Times New Roman"/>
                <w:b w:val="0"/>
                <w:sz w:val="18"/>
              </w:rPr>
              <w:t>100/100 runs produced 21 meal slots.</w:t>
            </w:r>
          </w:p>
        </w:tc>
        <w:tc>
          <w:tcPr>
            <w:tcW w:type="dxa" w:w="3264"/>
            <w:vAlign w:val="top"/>
          </w:tcPr>
          <w:p>
            <w:pPr>
              <w:spacing w:after="0"/>
            </w:pPr>
            <w:r/>
            <w:r>
              <w:rPr>
                <w:rFonts w:ascii="Times New Roman" w:hAnsi="Times New Roman"/>
                <w:b w:val="0"/>
                <w:sz w:val="18"/>
              </w:rPr>
              <w:t>The planner reliably produced complete weekly plans under valid tested profiles.</w:t>
            </w:r>
          </w:p>
        </w:tc>
      </w:tr>
      <w:tr>
        <w:tc>
          <w:tcPr>
            <w:tcW w:type="dxa" w:w="3264"/>
            <w:vAlign w:val="top"/>
          </w:tcPr>
          <w:p>
            <w:pPr>
              <w:spacing w:after="0"/>
            </w:pPr>
            <w:r/>
            <w:r>
              <w:rPr>
                <w:rFonts w:ascii="Times New Roman" w:hAnsi="Times New Roman"/>
                <w:b w:val="0"/>
                <w:sz w:val="18"/>
              </w:rPr>
              <w:t>Hard-rule violations</w:t>
            </w:r>
          </w:p>
        </w:tc>
        <w:tc>
          <w:tcPr>
            <w:tcW w:type="dxa" w:w="3264"/>
            <w:vAlign w:val="top"/>
          </w:tcPr>
          <w:p>
            <w:pPr>
              <w:spacing w:after="0"/>
            </w:pPr>
            <w:r/>
            <w:r>
              <w:rPr>
                <w:rFonts w:ascii="Times New Roman" w:hAnsi="Times New Roman"/>
                <w:b w:val="0"/>
                <w:sz w:val="18"/>
              </w:rPr>
              <w:t>0.</w:t>
            </w:r>
          </w:p>
        </w:tc>
        <w:tc>
          <w:tcPr>
            <w:tcW w:type="dxa" w:w="3264"/>
            <w:vAlign w:val="top"/>
          </w:tcPr>
          <w:p>
            <w:pPr>
              <w:spacing w:after="0"/>
            </w:pPr>
            <w:r/>
            <w:r>
              <w:rPr>
                <w:rFonts w:ascii="Times New Roman" w:hAnsi="Times New Roman"/>
                <w:b w:val="0"/>
                <w:sz w:val="18"/>
              </w:rPr>
              <w:t>The planner preserved hard constraints during final benchmark testing.</w:t>
            </w:r>
          </w:p>
        </w:tc>
      </w:tr>
      <w:tr>
        <w:tc>
          <w:tcPr>
            <w:tcW w:type="dxa" w:w="3264"/>
            <w:vAlign w:val="top"/>
          </w:tcPr>
          <w:p>
            <w:pPr>
              <w:spacing w:after="0"/>
            </w:pPr>
            <w:r/>
            <w:r>
              <w:rPr>
                <w:rFonts w:ascii="Times New Roman" w:hAnsi="Times New Roman"/>
                <w:b w:val="0"/>
                <w:sz w:val="18"/>
              </w:rPr>
              <w:t>Nutrition feasibility</w:t>
            </w:r>
          </w:p>
        </w:tc>
        <w:tc>
          <w:tcPr>
            <w:tcW w:type="dxa" w:w="3264"/>
            <w:vAlign w:val="top"/>
          </w:tcPr>
          <w:p>
            <w:pPr>
              <w:spacing w:after="0"/>
            </w:pPr>
            <w:r/>
            <w:r>
              <w:rPr>
                <w:rFonts w:ascii="Times New Roman" w:hAnsi="Times New Roman"/>
                <w:b w:val="0"/>
                <w:sz w:val="18"/>
              </w:rPr>
              <w:t>Passed in 100/100 final runs.</w:t>
            </w:r>
          </w:p>
        </w:tc>
        <w:tc>
          <w:tcPr>
            <w:tcW w:type="dxa" w:w="3264"/>
            <w:vAlign w:val="top"/>
          </w:tcPr>
          <w:p>
            <w:pPr>
              <w:spacing w:after="0"/>
            </w:pPr>
            <w:r/>
            <w:r>
              <w:rPr>
                <w:rFonts w:ascii="Times New Roman" w:hAnsi="Times New Roman"/>
                <w:b w:val="0"/>
                <w:sz w:val="18"/>
              </w:rPr>
              <w:t>The system met implemented nutrition feasibility checks.</w:t>
            </w:r>
          </w:p>
        </w:tc>
      </w:tr>
      <w:tr>
        <w:tc>
          <w:tcPr>
            <w:tcW w:type="dxa" w:w="3264"/>
            <w:vAlign w:val="top"/>
          </w:tcPr>
          <w:p>
            <w:pPr>
              <w:spacing w:after="0"/>
            </w:pPr>
            <w:r/>
            <w:r>
              <w:rPr>
                <w:rFonts w:ascii="Times New Roman" w:hAnsi="Times New Roman"/>
                <w:b w:val="0"/>
                <w:sz w:val="18"/>
              </w:rPr>
              <w:t>No-safe-plan behavior</w:t>
            </w:r>
          </w:p>
        </w:tc>
        <w:tc>
          <w:tcPr>
            <w:tcW w:type="dxa" w:w="3264"/>
            <w:vAlign w:val="top"/>
          </w:tcPr>
          <w:p>
            <w:pPr>
              <w:spacing w:after="0"/>
            </w:pPr>
            <w:r/>
            <w:r>
              <w:rPr>
                <w:rFonts w:ascii="Times New Roman" w:hAnsi="Times New Roman"/>
                <w:b w:val="0"/>
                <w:sz w:val="18"/>
              </w:rPr>
              <w:t>Intentionally infeasible cases return no-safe-plan feedback.</w:t>
            </w:r>
          </w:p>
        </w:tc>
        <w:tc>
          <w:tcPr>
            <w:tcW w:type="dxa" w:w="3264"/>
            <w:vAlign w:val="top"/>
          </w:tcPr>
          <w:p>
            <w:pPr>
              <w:spacing w:after="0"/>
            </w:pPr>
            <w:r/>
            <w:r>
              <w:rPr>
                <w:rFonts w:ascii="Times New Roman" w:hAnsi="Times New Roman"/>
                <w:b w:val="0"/>
                <w:sz w:val="18"/>
              </w:rPr>
              <w:t>The system reports infeasibility instead of forcing unsafe output.</w:t>
            </w:r>
          </w:p>
        </w:tc>
      </w:tr>
    </w:tbl>
    <w:p/>
    <w:p>
      <w:pPr>
        <w:pStyle w:val="Heading2"/>
      </w:pPr>
      <w:r>
        <w:rPr>
          <w:rFonts w:ascii="Times New Roman" w:hAnsi="Times New Roman"/>
          <w:color w:val="2F6B3F"/>
        </w:rPr>
        <w:t>4.5.4 Cultural Relevance and Usability Evaluation</w:t>
      </w:r>
    </w:p>
    <w:p>
      <w:pPr>
        <w:spacing w:after="120" w:line="269" w:lineRule="auto"/>
        <w:ind w:firstLine="360"/>
      </w:pPr>
      <w:r>
        <w:rPr>
          <w:rFonts w:ascii="Times New Roman" w:hAnsi="Times New Roman"/>
          <w:sz w:val="22"/>
        </w:rPr>
        <w:t>Cultural relevance is supported by familiar Filipino recipes, local ingredient context, and user evaluation. The key boundary is that cultural relevance must pass together with safety. A culturally familiar recipe is not acceptable if it violates allergies, explicit exclusions, dietary restrictions, budget ceilings, or nutrition feasibility.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Cultural relevance evidence</w:t>
            </w:r>
          </w:p>
        </w:tc>
        <w:tc>
          <w:tcPr>
            <w:tcW w:type="dxa" w:w="3264"/>
            <w:vAlign w:val="top"/>
            <w:shd w:fill="E2F0D9"/>
          </w:tcPr>
          <w:p>
            <w:pPr>
              <w:spacing w:after="0"/>
            </w:pPr>
            <w:r/>
            <w:r>
              <w:rPr>
                <w:rFonts w:ascii="Times New Roman" w:hAnsi="Times New Roman"/>
                <w:b/>
                <w:sz w:val="18"/>
              </w:rPr>
              <w:t>Use in paper</w:t>
            </w:r>
          </w:p>
        </w:tc>
        <w:tc>
          <w:tcPr>
            <w:tcW w:type="dxa" w:w="3264"/>
            <w:vAlign w:val="top"/>
            <w:shd w:fill="E2F0D9"/>
          </w:tcPr>
          <w:p>
            <w:pPr>
              <w:spacing w:after="0"/>
            </w:pPr>
            <w:r/>
            <w:r>
              <w:rPr>
                <w:rFonts w:ascii="Times New Roman" w:hAnsi="Times New Roman"/>
                <w:b/>
                <w:sz w:val="18"/>
              </w:rPr>
              <w:t>Boundary</w:t>
            </w:r>
          </w:p>
        </w:tc>
      </w:tr>
      <w:tr>
        <w:tc>
          <w:tcPr>
            <w:tcW w:type="dxa" w:w="3264"/>
            <w:vAlign w:val="top"/>
          </w:tcPr>
          <w:p>
            <w:pPr>
              <w:spacing w:after="0"/>
            </w:pPr>
            <w:r/>
            <w:r>
              <w:rPr>
                <w:rFonts w:ascii="Times New Roman" w:hAnsi="Times New Roman"/>
                <w:b w:val="0"/>
                <w:sz w:val="18"/>
              </w:rPr>
              <w:t>Filipino recipe catalog</w:t>
            </w:r>
          </w:p>
        </w:tc>
        <w:tc>
          <w:tcPr>
            <w:tcW w:type="dxa" w:w="3264"/>
            <w:vAlign w:val="top"/>
          </w:tcPr>
          <w:p>
            <w:pPr>
              <w:spacing w:after="0"/>
            </w:pPr>
            <w:r/>
            <w:r>
              <w:rPr>
                <w:rFonts w:ascii="Times New Roman" w:hAnsi="Times New Roman"/>
                <w:b w:val="0"/>
                <w:sz w:val="18"/>
              </w:rPr>
              <w:t>Shows the system plans using culturally recognizable meals.</w:t>
            </w:r>
          </w:p>
        </w:tc>
        <w:tc>
          <w:tcPr>
            <w:tcW w:type="dxa" w:w="3264"/>
            <w:vAlign w:val="top"/>
          </w:tcPr>
          <w:p>
            <w:pPr>
              <w:spacing w:after="0"/>
            </w:pPr>
            <w:r/>
            <w:r>
              <w:rPr>
                <w:rFonts w:ascii="Times New Roman" w:hAnsi="Times New Roman"/>
                <w:b w:val="0"/>
                <w:sz w:val="18"/>
              </w:rPr>
              <w:t>Must still satisfy nutrition and safety constraints.</w:t>
            </w:r>
          </w:p>
        </w:tc>
      </w:tr>
      <w:tr>
        <w:tc>
          <w:tcPr>
            <w:tcW w:type="dxa" w:w="3264"/>
            <w:vAlign w:val="top"/>
          </w:tcPr>
          <w:p>
            <w:pPr>
              <w:spacing w:after="0"/>
            </w:pPr>
            <w:r/>
            <w:r>
              <w:rPr>
                <w:rFonts w:ascii="Times New Roman" w:hAnsi="Times New Roman"/>
                <w:b w:val="0"/>
                <w:sz w:val="18"/>
              </w:rPr>
              <w:t>Filipino food survey item</w:t>
            </w:r>
          </w:p>
        </w:tc>
        <w:tc>
          <w:tcPr>
            <w:tcW w:type="dxa" w:w="3264"/>
            <w:vAlign w:val="top"/>
          </w:tcPr>
          <w:p>
            <w:pPr>
              <w:spacing w:after="0"/>
            </w:pPr>
            <w:r/>
            <w:r>
              <w:rPr>
                <w:rFonts w:ascii="Times New Roman" w:hAnsi="Times New Roman"/>
                <w:b w:val="0"/>
                <w:sz w:val="18"/>
              </w:rPr>
              <w:t>4.28 primary / 3.84 secondary.</w:t>
            </w:r>
          </w:p>
        </w:tc>
        <w:tc>
          <w:tcPr>
            <w:tcW w:type="dxa" w:w="3264"/>
            <w:vAlign w:val="top"/>
          </w:tcPr>
          <w:p>
            <w:pPr>
              <w:spacing w:after="0"/>
            </w:pPr>
            <w:r/>
            <w:r>
              <w:rPr>
                <w:rFonts w:ascii="Times New Roman" w:hAnsi="Times New Roman"/>
                <w:b w:val="0"/>
                <w:sz w:val="18"/>
              </w:rPr>
              <w:t>Supports perceived cultural familiarity.</w:t>
            </w:r>
          </w:p>
        </w:tc>
      </w:tr>
      <w:tr>
        <w:tc>
          <w:tcPr>
            <w:tcW w:type="dxa" w:w="3264"/>
            <w:vAlign w:val="top"/>
          </w:tcPr>
          <w:p>
            <w:pPr>
              <w:spacing w:after="0"/>
            </w:pPr>
            <w:r/>
            <w:r>
              <w:rPr>
                <w:rFonts w:ascii="Times New Roman" w:hAnsi="Times New Roman"/>
                <w:b w:val="0"/>
                <w:sz w:val="18"/>
              </w:rPr>
              <w:t>Cultural relevance protocol</w:t>
            </w:r>
          </w:p>
        </w:tc>
        <w:tc>
          <w:tcPr>
            <w:tcW w:type="dxa" w:w="3264"/>
            <w:vAlign w:val="top"/>
          </w:tcPr>
          <w:p>
            <w:pPr>
              <w:spacing w:after="0"/>
            </w:pPr>
            <w:r/>
            <w:r>
              <w:rPr>
                <w:rFonts w:ascii="Times New Roman" w:hAnsi="Times New Roman"/>
                <w:b w:val="0"/>
                <w:sz w:val="18"/>
              </w:rPr>
              <w:t>Provides evaluation structure for cultural title and ingredient fit.</w:t>
            </w:r>
          </w:p>
        </w:tc>
        <w:tc>
          <w:tcPr>
            <w:tcW w:type="dxa" w:w="3264"/>
            <w:vAlign w:val="top"/>
          </w:tcPr>
          <w:p>
            <w:pPr>
              <w:spacing w:after="0"/>
            </w:pPr>
            <w:r/>
            <w:r>
              <w:rPr>
                <w:rFonts w:ascii="Times New Roman" w:hAnsi="Times New Roman"/>
                <w:b w:val="0"/>
                <w:sz w:val="18"/>
              </w:rPr>
              <w:t>Final CTS/CIS values were not visible in extracted result tables.</w:t>
            </w:r>
          </w:p>
        </w:tc>
      </w:tr>
      <w:tr>
        <w:tc>
          <w:tcPr>
            <w:tcW w:type="dxa" w:w="3264"/>
            <w:vAlign w:val="top"/>
          </w:tcPr>
          <w:p>
            <w:pPr>
              <w:spacing w:after="0"/>
            </w:pPr>
            <w:r/>
            <w:r>
              <w:rPr>
                <w:rFonts w:ascii="Times New Roman" w:hAnsi="Times New Roman"/>
                <w:b w:val="0"/>
                <w:sz w:val="18"/>
              </w:rPr>
              <w:t>User-centered usability</w:t>
            </w:r>
          </w:p>
        </w:tc>
        <w:tc>
          <w:tcPr>
            <w:tcW w:type="dxa" w:w="3264"/>
            <w:vAlign w:val="top"/>
          </w:tcPr>
          <w:p>
            <w:pPr>
              <w:spacing w:after="0"/>
            </w:pPr>
            <w:r/>
            <w:r>
              <w:rPr>
                <w:rFonts w:ascii="Times New Roman" w:hAnsi="Times New Roman"/>
                <w:b w:val="0"/>
                <w:sz w:val="18"/>
              </w:rPr>
              <w:t>Usability mean 4.06 Agree.</w:t>
            </w:r>
          </w:p>
        </w:tc>
        <w:tc>
          <w:tcPr>
            <w:tcW w:type="dxa" w:w="3264"/>
            <w:vAlign w:val="top"/>
          </w:tcPr>
          <w:p>
            <w:pPr>
              <w:spacing w:after="0"/>
            </w:pPr>
            <w:r/>
            <w:r>
              <w:rPr>
                <w:rFonts w:ascii="Times New Roman" w:hAnsi="Times New Roman"/>
                <w:b w:val="0"/>
                <w:sz w:val="18"/>
              </w:rPr>
              <w:t>Supports navigation and understandability, not long-term adherence proof.</w:t>
            </w:r>
          </w:p>
        </w:tc>
      </w:tr>
    </w:tbl>
    <w:p/>
    <w:p>
      <w:pPr>
        <w:pStyle w:val="Heading2"/>
      </w:pPr>
      <w:r>
        <w:rPr>
          <w:rFonts w:ascii="Times New Roman" w:hAnsi="Times New Roman"/>
          <w:color w:val="2F6B3F"/>
        </w:rPr>
        <w:t>4.5.5 Computational Efficiency Evaluation</w:t>
      </w:r>
    </w:p>
    <w:p>
      <w:pPr>
        <w:spacing w:after="120" w:line="269" w:lineRule="auto"/>
        <w:ind w:firstLine="360"/>
      </w:pPr>
      <w:r>
        <w:rPr>
          <w:rFonts w:ascii="Times New Roman" w:hAnsi="Times New Roman"/>
          <w:sz w:val="22"/>
        </w:rPr>
        <w:t>Computational efficiency was evaluated through final benchmark runtime and completion behavior. The final optimized planner completed all 100 final runs with average runtime of 257 ms, P95 runtime of 313 ms, and maximum runtime of 357 ms. The evidence also reports that the final planner path preserved zero hard-rule violations while improving practical runtime.</w:t>
      </w:r>
    </w:p>
    <w:p>
      <w:pPr>
        <w:jc w:val="center"/>
      </w:pPr>
      <w:r>
        <w:drawing>
          <wp:inline xmlns:a="http://schemas.openxmlformats.org/drawingml/2006/main" xmlns:pic="http://schemas.openxmlformats.org/drawingml/2006/picture">
            <wp:extent cx="5303520" cy="3092778"/>
            <wp:docPr id="28" name="Picture 28"/>
            <wp:cNvGraphicFramePr>
              <a:graphicFrameLocks noChangeAspect="1"/>
            </wp:cNvGraphicFramePr>
            <a:graphic>
              <a:graphicData uri="http://schemas.openxmlformats.org/drawingml/2006/picture">
                <pic:pic>
                  <pic:nvPicPr>
                    <pic:cNvPr id="0" name="figure_20.png"/>
                    <pic:cNvPicPr/>
                  </pic:nvPicPr>
                  <pic:blipFill>
                    <a:blip r:embed="rId36"/>
                    <a:stretch>
                      <a:fillRect/>
                    </a:stretch>
                  </pic:blipFill>
                  <pic:spPr>
                    <a:xfrm>
                      <a:off x="0" y="0"/>
                      <a:ext cx="5303520" cy="3092778"/>
                    </a:xfrm>
                    <a:prstGeom prst="rect"/>
                  </pic:spPr>
                </pic:pic>
              </a:graphicData>
            </a:graphic>
          </wp:inline>
        </w:drawing>
      </w:r>
    </w:p>
    <w:p>
      <w:pPr>
        <w:jc w:val="center"/>
      </w:pPr>
      <w:r>
        <w:rPr>
          <w:b w:val="0"/>
          <w:i/>
          <w:sz w:val="18"/>
        </w:rPr>
        <w:t>Figure 4.31. Twenty-profile planner runtime optimization progression.</w:t>
      </w:r>
    </w:p>
    <w:p>
      <w:pPr>
        <w:jc w:val="center"/>
      </w:pPr>
      <w:r>
        <w:drawing>
          <wp:inline xmlns:a="http://schemas.openxmlformats.org/drawingml/2006/main" xmlns:pic="http://schemas.openxmlformats.org/drawingml/2006/picture">
            <wp:extent cx="5303520" cy="3092778"/>
            <wp:docPr id="29" name="Picture 29"/>
            <wp:cNvGraphicFramePr>
              <a:graphicFrameLocks noChangeAspect="1"/>
            </wp:cNvGraphicFramePr>
            <a:graphic>
              <a:graphicData uri="http://schemas.openxmlformats.org/drawingml/2006/picture">
                <pic:pic>
                  <pic:nvPicPr>
                    <pic:cNvPr id="0" name="figure_21.png"/>
                    <pic:cNvPicPr/>
                  </pic:nvPicPr>
                  <pic:blipFill>
                    <a:blip r:embed="rId37"/>
                    <a:stretch>
                      <a:fillRect/>
                    </a:stretch>
                  </pic:blipFill>
                  <pic:spPr>
                    <a:xfrm>
                      <a:off x="0" y="0"/>
                      <a:ext cx="5303520" cy="3092778"/>
                    </a:xfrm>
                    <a:prstGeom prst="rect"/>
                  </pic:spPr>
                </pic:pic>
              </a:graphicData>
            </a:graphic>
          </wp:inline>
        </w:drawing>
      </w:r>
    </w:p>
    <w:p>
      <w:pPr>
        <w:jc w:val="center"/>
      </w:pPr>
      <w:r>
        <w:rPr>
          <w:b w:val="0"/>
          <w:i/>
          <w:sz w:val="18"/>
        </w:rPr>
        <w:t>Figure 4.32. Scenario-level runtime and nutrition comparison.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64"/>
        <w:gridCol w:w="3264"/>
        <w:gridCol w:w="3264"/>
      </w:tblGrid>
      <w:tr>
        <w:tc>
          <w:tcPr>
            <w:tcW w:type="dxa" w:w="3264"/>
            <w:vAlign w:val="top"/>
            <w:shd w:fill="E2F0D9"/>
          </w:tcPr>
          <w:p>
            <w:pPr>
              <w:spacing w:after="0"/>
            </w:pPr>
            <w:r/>
            <w:r>
              <w:rPr>
                <w:rFonts w:ascii="Times New Roman" w:hAnsi="Times New Roman"/>
                <w:b/>
                <w:sz w:val="18"/>
              </w:rPr>
              <w:t>Metric</w:t>
            </w:r>
          </w:p>
        </w:tc>
        <w:tc>
          <w:tcPr>
            <w:tcW w:type="dxa" w:w="3264"/>
            <w:vAlign w:val="top"/>
            <w:shd w:fill="E2F0D9"/>
          </w:tcPr>
          <w:p>
            <w:pPr>
              <w:spacing w:after="0"/>
            </w:pPr>
            <w:r/>
            <w:r>
              <w:rPr>
                <w:rFonts w:ascii="Times New Roman" w:hAnsi="Times New Roman"/>
                <w:b/>
                <w:sz w:val="18"/>
              </w:rPr>
              <w:t>Result</w:t>
            </w:r>
          </w:p>
        </w:tc>
        <w:tc>
          <w:tcPr>
            <w:tcW w:type="dxa" w:w="3264"/>
            <w:vAlign w:val="top"/>
            <w:shd w:fill="E2F0D9"/>
          </w:tcPr>
          <w:p>
            <w:pPr>
              <w:spacing w:after="0"/>
            </w:pPr>
            <w:r/>
            <w:r>
              <w:rPr>
                <w:rFonts w:ascii="Times New Roman" w:hAnsi="Times New Roman"/>
                <w:b/>
                <w:sz w:val="18"/>
              </w:rPr>
              <w:t>Meaning</w:t>
            </w:r>
          </w:p>
        </w:tc>
      </w:tr>
      <w:tr>
        <w:tc>
          <w:tcPr>
            <w:tcW w:type="dxa" w:w="3264"/>
            <w:vAlign w:val="top"/>
          </w:tcPr>
          <w:p>
            <w:pPr>
              <w:spacing w:after="0"/>
            </w:pPr>
            <w:r/>
            <w:r>
              <w:rPr>
                <w:rFonts w:ascii="Times New Roman" w:hAnsi="Times New Roman"/>
                <w:b w:val="0"/>
                <w:sz w:val="18"/>
              </w:rPr>
              <w:t>Final run count</w:t>
            </w:r>
          </w:p>
        </w:tc>
        <w:tc>
          <w:tcPr>
            <w:tcW w:type="dxa" w:w="3264"/>
            <w:vAlign w:val="top"/>
          </w:tcPr>
          <w:p>
            <w:pPr>
              <w:spacing w:after="0"/>
            </w:pPr>
            <w:r/>
            <w:r>
              <w:rPr>
                <w:rFonts w:ascii="Times New Roman" w:hAnsi="Times New Roman"/>
                <w:b w:val="0"/>
                <w:sz w:val="18"/>
              </w:rPr>
              <w:t>100/100 passed.</w:t>
            </w:r>
          </w:p>
        </w:tc>
        <w:tc>
          <w:tcPr>
            <w:tcW w:type="dxa" w:w="3264"/>
            <w:vAlign w:val="top"/>
          </w:tcPr>
          <w:p>
            <w:pPr>
              <w:spacing w:after="0"/>
            </w:pPr>
            <w:r/>
            <w:r>
              <w:rPr>
                <w:rFonts w:ascii="Times New Roman" w:hAnsi="Times New Roman"/>
                <w:b w:val="0"/>
                <w:sz w:val="18"/>
              </w:rPr>
              <w:t>No final benchmark failures under tested profiles.</w:t>
            </w:r>
          </w:p>
        </w:tc>
      </w:tr>
      <w:tr>
        <w:tc>
          <w:tcPr>
            <w:tcW w:type="dxa" w:w="3264"/>
            <w:vAlign w:val="top"/>
          </w:tcPr>
          <w:p>
            <w:pPr>
              <w:spacing w:after="0"/>
            </w:pPr>
            <w:r/>
            <w:r>
              <w:rPr>
                <w:rFonts w:ascii="Times New Roman" w:hAnsi="Times New Roman"/>
                <w:b w:val="0"/>
                <w:sz w:val="18"/>
              </w:rPr>
              <w:t>Average runtime</w:t>
            </w:r>
          </w:p>
        </w:tc>
        <w:tc>
          <w:tcPr>
            <w:tcW w:type="dxa" w:w="3264"/>
            <w:vAlign w:val="top"/>
          </w:tcPr>
          <w:p>
            <w:pPr>
              <w:spacing w:after="0"/>
            </w:pPr>
            <w:r/>
            <w:r>
              <w:rPr>
                <w:rFonts w:ascii="Times New Roman" w:hAnsi="Times New Roman"/>
                <w:b w:val="0"/>
                <w:sz w:val="18"/>
              </w:rPr>
              <w:t>257 ms.</w:t>
            </w:r>
          </w:p>
        </w:tc>
        <w:tc>
          <w:tcPr>
            <w:tcW w:type="dxa" w:w="3264"/>
            <w:vAlign w:val="top"/>
          </w:tcPr>
          <w:p>
            <w:pPr>
              <w:spacing w:after="0"/>
            </w:pPr>
            <w:r/>
            <w:r>
              <w:rPr>
                <w:rFonts w:ascii="Times New Roman" w:hAnsi="Times New Roman"/>
                <w:b w:val="0"/>
                <w:sz w:val="18"/>
              </w:rPr>
              <w:t>Typical run completed below one second in the local benchmark.</w:t>
            </w:r>
          </w:p>
        </w:tc>
      </w:tr>
      <w:tr>
        <w:tc>
          <w:tcPr>
            <w:tcW w:type="dxa" w:w="3264"/>
            <w:vAlign w:val="top"/>
          </w:tcPr>
          <w:p>
            <w:pPr>
              <w:spacing w:after="0"/>
            </w:pPr>
            <w:r/>
            <w:r>
              <w:rPr>
                <w:rFonts w:ascii="Times New Roman" w:hAnsi="Times New Roman"/>
                <w:b w:val="0"/>
                <w:sz w:val="18"/>
              </w:rPr>
              <w:t>P95 runtime</w:t>
            </w:r>
          </w:p>
        </w:tc>
        <w:tc>
          <w:tcPr>
            <w:tcW w:type="dxa" w:w="3264"/>
            <w:vAlign w:val="top"/>
          </w:tcPr>
          <w:p>
            <w:pPr>
              <w:spacing w:after="0"/>
            </w:pPr>
            <w:r/>
            <w:r>
              <w:rPr>
                <w:rFonts w:ascii="Times New Roman" w:hAnsi="Times New Roman"/>
                <w:b w:val="0"/>
                <w:sz w:val="18"/>
              </w:rPr>
              <w:t>313 ms.</w:t>
            </w:r>
          </w:p>
        </w:tc>
        <w:tc>
          <w:tcPr>
            <w:tcW w:type="dxa" w:w="3264"/>
            <w:vAlign w:val="top"/>
          </w:tcPr>
          <w:p>
            <w:pPr>
              <w:spacing w:after="0"/>
            </w:pPr>
            <w:r/>
            <w:r>
              <w:rPr>
                <w:rFonts w:ascii="Times New Roman" w:hAnsi="Times New Roman"/>
                <w:b w:val="0"/>
                <w:sz w:val="18"/>
              </w:rPr>
              <w:t>95 percent of runs completed at or below this time.</w:t>
            </w:r>
          </w:p>
        </w:tc>
      </w:tr>
      <w:tr>
        <w:tc>
          <w:tcPr>
            <w:tcW w:type="dxa" w:w="3264"/>
            <w:vAlign w:val="top"/>
          </w:tcPr>
          <w:p>
            <w:pPr>
              <w:spacing w:after="0"/>
            </w:pPr>
            <w:r/>
            <w:r>
              <w:rPr>
                <w:rFonts w:ascii="Times New Roman" w:hAnsi="Times New Roman"/>
                <w:b w:val="0"/>
                <w:sz w:val="18"/>
              </w:rPr>
              <w:t>Maximum runtime</w:t>
            </w:r>
          </w:p>
        </w:tc>
        <w:tc>
          <w:tcPr>
            <w:tcW w:type="dxa" w:w="3264"/>
            <w:vAlign w:val="top"/>
          </w:tcPr>
          <w:p>
            <w:pPr>
              <w:spacing w:after="0"/>
            </w:pPr>
            <w:r/>
            <w:r>
              <w:rPr>
                <w:rFonts w:ascii="Times New Roman" w:hAnsi="Times New Roman"/>
                <w:b w:val="0"/>
                <w:sz w:val="18"/>
              </w:rPr>
              <w:t>357 ms.</w:t>
            </w:r>
          </w:p>
        </w:tc>
        <w:tc>
          <w:tcPr>
            <w:tcW w:type="dxa" w:w="3264"/>
            <w:vAlign w:val="top"/>
          </w:tcPr>
          <w:p>
            <w:pPr>
              <w:spacing w:after="0"/>
            </w:pPr>
            <w:r/>
            <w:r>
              <w:rPr>
                <w:rFonts w:ascii="Times New Roman" w:hAnsi="Times New Roman"/>
                <w:b w:val="0"/>
                <w:sz w:val="18"/>
              </w:rPr>
              <w:t>Worst final benchmark run remained below one second.</w:t>
            </w:r>
          </w:p>
        </w:tc>
      </w:tr>
      <w:tr>
        <w:tc>
          <w:tcPr>
            <w:tcW w:type="dxa" w:w="3264"/>
            <w:vAlign w:val="top"/>
          </w:tcPr>
          <w:p>
            <w:pPr>
              <w:spacing w:after="0"/>
            </w:pPr>
            <w:r/>
            <w:r>
              <w:rPr>
                <w:rFonts w:ascii="Times New Roman" w:hAnsi="Times New Roman"/>
                <w:b w:val="0"/>
                <w:sz w:val="18"/>
              </w:rPr>
              <w:t>ML NDCG@10</w:t>
            </w:r>
          </w:p>
        </w:tc>
        <w:tc>
          <w:tcPr>
            <w:tcW w:type="dxa" w:w="3264"/>
            <w:vAlign w:val="top"/>
          </w:tcPr>
          <w:p>
            <w:pPr>
              <w:spacing w:after="0"/>
            </w:pPr>
            <w:r/>
            <w:r>
              <w:rPr>
                <w:rFonts w:ascii="Times New Roman" w:hAnsi="Times New Roman"/>
                <w:b w:val="0"/>
                <w:sz w:val="18"/>
              </w:rPr>
              <w:t>0.9211 vs baseline 0.8838.</w:t>
            </w:r>
          </w:p>
        </w:tc>
        <w:tc>
          <w:tcPr>
            <w:tcW w:type="dxa" w:w="3264"/>
            <w:vAlign w:val="top"/>
          </w:tcPr>
          <w:p>
            <w:pPr>
              <w:spacing w:after="0"/>
            </w:pPr>
            <w:r/>
            <w:r>
              <w:rPr>
                <w:rFonts w:ascii="Times New Roman" w:hAnsi="Times New Roman"/>
                <w:b w:val="0"/>
                <w:sz w:val="18"/>
              </w:rPr>
              <w:t>Assistive ranking improved candidate ordering, while hard rules remained deterministic.</w:t>
            </w:r>
          </w:p>
        </w:tc>
      </w:tr>
    </w:tbl>
    <w:p/>
    <w:p>
      <w:pPr>
        <w:pStyle w:val="Heading2"/>
      </w:pPr>
      <w:r>
        <w:rPr>
          <w:rFonts w:ascii="Times New Roman" w:hAnsi="Times New Roman"/>
          <w:color w:val="2F6B3F"/>
        </w:rPr>
        <w:t>4.5.6 Integrated Interpretation and Claim Boundary</w:t>
      </w:r>
    </w:p>
    <w:p>
      <w:pPr>
        <w:spacing w:after="120" w:line="269" w:lineRule="auto"/>
        <w:ind w:firstLine="360"/>
      </w:pPr>
      <w:r>
        <w:rPr>
          <w:rFonts w:ascii="Times New Roman" w:hAnsi="Times New Roman"/>
          <w:sz w:val="22"/>
        </w:rPr>
        <w:t>Together, the evidence supports the revised SOP 5 because the system is evaluated through both numerical system behavior and user-centered software quality. The planner generated complete nutrition-aware weekly plans, preserved hard constraints, and ran efficiently in the final benchmark. Users rated software quality positively across ISO/IEC 25010 categories, and the questionnaire reliability results support interpretation of those survey scores.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Known evidence boundaries to keep in the final paper</w:t>
            </w:r>
          </w:p>
        </w:tc>
      </w:tr>
      <w:tr>
        <w:tc>
          <w:tcPr>
            <w:tcW w:type="dxa" w:w="9792"/>
            <w:vAlign w:val="top"/>
            <w:shd w:fill="F3FAF1"/>
          </w:tcPr>
          <w:p>
            <w:pPr>
              <w:spacing w:after="0"/>
            </w:pPr>
            <w:r/>
            <w:r>
              <w:rPr>
                <w:rFonts w:ascii="Times New Roman" w:hAnsi="Times New Roman"/>
                <w:b w:val="0"/>
                <w:sz w:val="20"/>
              </w:rPr>
              <w:t>Cronbach alpha proves questionnaire consistency, not system effectiveness by itself. Cultural relevance has protocol and user evidence, but final CTS/CIS values were not visible in the extracted result tables. Standard deviation values requested by the SOP report were not visible in the manuscript result tables. Pantry evidence supports reduced-purchase guidance, not measured household food-waste reduction. Offline-first evidence supports saved-data continuity, not full offline optimization.</w:t>
            </w:r>
          </w:p>
        </w:tc>
      </w:tr>
    </w:tbl>
    <w:p/>
    <w:p>
      <w:pPr>
        <w:pStyle w:val="Heading1"/>
      </w:pPr>
      <w:r>
        <w:rPr>
          <w:rFonts w:ascii="Times New Roman" w:hAnsi="Times New Roman"/>
          <w:color w:val="2F6B3F"/>
        </w:rPr>
        <w:t>End of 4.1 to 4.5 SOP Narrative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792"/>
      </w:tblGrid>
      <w:tr>
        <w:tc>
          <w:tcPr>
            <w:tcW w:type="dxa" w:w="9792"/>
            <w:vAlign w:val="top"/>
            <w:shd w:fill="E2F0D9"/>
          </w:tcPr>
          <w:p>
            <w:pPr>
              <w:spacing w:after="0"/>
            </w:pPr>
            <w:r/>
            <w:r>
              <w:rPr>
                <w:rFonts w:ascii="Times New Roman" w:hAnsi="Times New Roman"/>
                <w:b/>
                <w:sz w:val="20"/>
              </w:rPr>
              <w:t>Final integration note</w:t>
            </w:r>
          </w:p>
        </w:tc>
      </w:tr>
      <w:tr>
        <w:tc>
          <w:tcPr>
            <w:tcW w:type="dxa" w:w="9792"/>
            <w:vAlign w:val="top"/>
            <w:shd w:fill="F3FAF1"/>
          </w:tcPr>
          <w:p>
            <w:pPr/>
            <w:r>
              <w:rPr>
                <w:b w:val="0"/>
                <w:i w:val="0"/>
              </w:rPr>
              <w:t>This section is the Chapter 4 SOP process narrative only. It should be inserted into the paper after final alignment of manuscript numbering, captions, and table sequence.</w:t>
            </w:r>
          </w:p>
        </w:tc>
      </w:tr>
    </w:tbl>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PCOSINA Chapter 4 SOP Process Narrative 4.1 to 4.5</dc:title>
  <dc:subject>Final panel-facing Chapter 4 SOP-format narrative with evidence visuals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