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ENLACES DE INTERÉS</w:t>
      </w:r>
    </w:p>
    <w:p w:rsidR="00000000" w:rsidDel="00000000" w:rsidP="00000000" w:rsidRDefault="00000000" w:rsidRPr="00000000" w14:paraId="00000032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https://lisk.com/blog/posts/how-build-blockchain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https://blog.gft.com/es/2018/03/02/conectando-a-blockchain-como-crear-nuestra-propia-cadena-de-bloques-privada/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https://medium.com/swlh/is-it-hard-to-build-a-blockchain-from-scratch-2662e9b873b7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sk.com/blog/posts/how-build-blockchain" TargetMode="External"/><Relationship Id="rId7" Type="http://schemas.openxmlformats.org/officeDocument/2006/relationships/hyperlink" Target="https://blog.gft.com/es/2018/03/02/conectando-a-blockchain-como-crear-nuestra-propia-cadena-de-bloques-privada/" TargetMode="External"/><Relationship Id="rId8" Type="http://schemas.openxmlformats.org/officeDocument/2006/relationships/hyperlink" Target="https://medium.com/swlh/is-it-hard-to-build-a-blockchain-from-scratch-2662e9b873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