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5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5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2022年月通报函生成报告</w:t>
      </w: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4152"/>
        <w:gridCol w:w="4152"/>
      </w:tblGrid>
      <w:tr>
        <w:tc>
          <w:p>
            <w:r>
              <w:t>班级</w:t>
            </w:r>
          </w:p>
        </w:tc>
        <w:tc>
          <w:p>
            <w:r>
              <w:t>排名</w:t>
            </w:r>
          </w:p>
        </w:tc>
      </w:tr>
      <w:tr>
        <w:tc>
          <w:p>
            <w:r>
              <w:t>科教1班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幼儿3班</w:t>
            </w:r>
          </w:p>
        </w:tc>
        <w:tc>
          <w:p>
            <w:r>
              <w:t>6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/>
        <w:drawing>
          <wp:inline distT="0" distR="0" distB="0" distL="0">
            <wp:extent cx="1905000" cy="1524000"/>
            <wp:docPr id="6" name="Drawing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nerated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0000"/>
          <w:spacing w:val="0"/>
          <w:sz w:val="21"/>
          <w:szCs w:val="21"/>
          <w:shd w:val="clear" w:fill="FFFEF7"/>
          <w:lang w:val="en-US" w:eastAsia="zh-CN"/>
        </w:rPr>
        <w:t>这是带样式的内容</w:t>
      </w:r>
    </w:p>
    <w:p>
      <w:pPr>
        <w:numPr>
          <w:numId w:val="1"/>
        </w:numPr>
      </w:pPr>
      <w:r>
        <w:t>排序1</w:t>
      </w:r>
    </w:p>
    <w:p>
      <w:pPr>
        <w:numPr>
          <w:numId w:val="1"/>
        </w:numPr>
      </w:pPr>
      <w:r>
        <w:t>排序2</w:t>
      </w:r>
    </w:p>
    <w:p>
      <w:pPr>
        <w:numPr>
          <w:numId w:val="1"/>
        </w:numPr>
      </w:pPr>
      <w:r>
        <w:t>排序3</w:t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71185" cy="1932940"/>
            <wp:effectExtent l="4445" t="4445" r="20320" b="5715"/>
            <wp:docPr id="2" name="图表 2" title="{{speedLin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43880" cy="3632835"/>
            <wp:effectExtent l="4445" t="4445" r="9525" b="20320"/>
            <wp:docPr id="3" name="图表 3" title="{{openCondi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43880" cy="2966085"/>
            <wp:effectExtent l="4445" t="4445" r="9525" b="20320"/>
            <wp:docPr id="5" name="图表 5" title="{{cycleRad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85155" cy="2088515"/>
            <wp:effectExtent l="4445" t="4445" r="6350" b="21590"/>
            <wp:docPr id="4" name="图表 4" title="{{areaShow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Roman"/>
      <w:lvlText w:val="%1.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ODJmNTEwYTVhNzJhYjc4NTkzZTViNjFkYmVjOWIifQ=="/>
  </w:docVars>
  <w:rsids>
    <w:rsidRoot w:val="00000000"/>
    <w:rsid w:val="09F61D50"/>
    <w:rsid w:val="0CC93655"/>
    <w:rsid w:val="0D444F81"/>
    <w:rsid w:val="0F67724C"/>
    <w:rsid w:val="191F64A1"/>
    <w:rsid w:val="198D5885"/>
    <w:rsid w:val="1ECB5101"/>
    <w:rsid w:val="2929521C"/>
    <w:rsid w:val="2C5D4207"/>
    <w:rsid w:val="38156F95"/>
    <w:rsid w:val="3CC3243E"/>
    <w:rsid w:val="43452E25"/>
    <w:rsid w:val="45541CE6"/>
    <w:rsid w:val="4EF03BB7"/>
    <w:rsid w:val="538B04D4"/>
    <w:rsid w:val="5C294C3A"/>
    <w:rsid w:val="69E83DCB"/>
    <w:rsid w:val="6B9D3F13"/>
    <w:rsid w:val="6C406AD0"/>
    <w:rsid w:val="6D486EEA"/>
    <w:rsid w:val="6DFD5F26"/>
    <w:rsid w:val="6E9437BA"/>
    <w:rsid w:val="6EA75E92"/>
    <w:rsid w:val="703853CE"/>
    <w:rsid w:val="70585696"/>
    <w:rsid w:val="7B0179C8"/>
    <w:rsid w:val="7BE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1.jpeg" Type="http://schemas.openxmlformats.org/officeDocument/2006/relationships/image"/><Relationship Id="rId11" Target="numbering.xml" Type="http://schemas.openxmlformats.org/officeDocument/2006/relationships/numbering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charts/chart2.xml" Type="http://schemas.openxmlformats.org/officeDocument/2006/relationships/chart"/><Relationship Id="rId6" Target="charts/chart3.xml" Type="http://schemas.openxmlformats.org/officeDocument/2006/relationships/chart"/><Relationship Id="rId7" Target="charts/chart4.xml" Type="http://schemas.openxmlformats.org/officeDocument/2006/relationships/chart"/><Relationship Id="rId8" Target="charts/chart5.xml" Type="http://schemas.openxmlformats.org/officeDocument/2006/relationships/chart"/><Relationship Id="rId9" Target="fontTable.xml" Type="http://schemas.openxmlformats.org/officeDocument/2006/relationships/fontTable"/></Relationships>
</file>

<file path=word/charts/_rels/chart1.xml.rels><?xml version="1.0" encoding="UTF-8" standalone="no"?><Relationships xmlns="http://schemas.openxmlformats.org/package/2006/relationships"><Relationship Id="rId1" Target="../embeddings/Workbook3.xlsx" Type="http://schemas.openxmlformats.org/officeDocument/2006/relationships/package"/><Relationship Id="rId2" Target="style3.xml" Type="http://schemas.microsoft.com/office/2011/relationships/chartStyle"/><Relationship Id="rId3" Target="colors3.xml" Type="http://schemas.microsoft.com/office/2011/relationships/chartColorStyle"/></Relationships>
</file>

<file path=word/charts/_rels/chart2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3.xml.rels><?xml version="1.0" encoding="UTF-8" standalone="no"?><Relationships xmlns="http://schemas.openxmlformats.org/package/2006/relationships"><Relationship Id="rId1" Target="../embeddings/Workbook2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_rels/chart4.xml.rels><?xml version="1.0" encoding="UTF-8" standalone="no"?><Relationships xmlns="http://schemas.openxmlformats.org/package/2006/relationships"><Relationship Id="rId1" Target="../embeddings/Workbook4.xlsx" Type="http://schemas.openxmlformats.org/officeDocument/2006/relationships/package"/><Relationship Id="rId2" Target="style4.xml" Type="http://schemas.microsoft.com/office/2011/relationships/chartStyle"/><Relationship Id="rId3" Target="colors4.xml" Type="http://schemas.microsoft.com/office/2011/relationships/chartColorStyle"/></Relationships>
</file>

<file path=word/charts/_rels/chart5.xml.rels><?xml version="1.0" encoding="UTF-8" standalone="no"?><Relationships xmlns="http://schemas.openxmlformats.org/package/2006/relationships"><Relationship Id="rId1" Target="../embeddings/Workbook5.xlsx" Type="http://schemas.openxmlformats.org/officeDocument/2006/relationships/package"/><Relationship Id="rId2" Target="style5.xml" Type="http://schemas.microsoft.com/office/2011/relationships/chartStyle"/><Relationship Id="rId3" Target="colors5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各省（自治区）直辖市新开项目数量、投资额同比情况</a:t>
            </a:r>
            <a:endParaRPr sz="900">
              <a:solidFill>
                <a:schemeClr val="tx1">
                  <a:lumMod val="65000"/>
                  <a:lumOff val="35000"/>
                </a:schemeClr>
              </a:solidFill>
              <a:uFillTx/>
            </a:endParaRPr>
          </a:p>
        </c:rich>
      </c:tx>
      <c:layout>
        <c:manualLayout>
          <c:xMode val="edge"/>
          <c:yMode val="edge"/>
          <c:x val="0.416517784635374"/>
          <c:y val="0.0335289186923722"/>
        </c:manualLayout>
      </c:layout>
      <c:overlay val="false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开工数量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Sheet1!$A$2:$A$32</c:f>
              <c:strCache>
                <c:ptCount val="31"/>
                <c:pt idx="0">
                  <c:v>贵州</c:v>
                </c:pt>
                <c:pt idx="1">
                  <c:v>西藏</c:v>
                </c:pt>
                <c:pt idx="2">
                  <c:v>黑龙江</c:v>
                </c:pt>
                <c:pt idx="3">
                  <c:v>浙江</c:v>
                </c:pt>
                <c:pt idx="4">
                  <c:v>湖北</c:v>
                </c:pt>
                <c:pt idx="5">
                  <c:v>江苏</c:v>
                </c:pt>
                <c:pt idx="6">
                  <c:v>四川</c:v>
                </c:pt>
                <c:pt idx="7">
                  <c:v>福建</c:v>
                </c:pt>
                <c:pt idx="8">
                  <c:v>安徽</c:v>
                </c:pt>
                <c:pt idx="9">
                  <c:v>海南</c:v>
                </c:pt>
                <c:pt idx="10">
                  <c:v>山西</c:v>
                </c:pt>
                <c:pt idx="11">
                  <c:v>广西</c:v>
                </c:pt>
                <c:pt idx="12">
                  <c:v>青海</c:v>
                </c:pt>
                <c:pt idx="13">
                  <c:v>广东</c:v>
                </c:pt>
                <c:pt idx="14">
                  <c:v>甘肃</c:v>
                </c:pt>
                <c:pt idx="15">
                  <c:v>云南</c:v>
                </c:pt>
                <c:pt idx="16">
                  <c:v>宁夏</c:v>
                </c:pt>
                <c:pt idx="17">
                  <c:v>新疆</c:v>
                </c:pt>
                <c:pt idx="18">
                  <c:v>湖南</c:v>
                </c:pt>
                <c:pt idx="19">
                  <c:v>北京</c:v>
                </c:pt>
                <c:pt idx="20">
                  <c:v>河北</c:v>
                </c:pt>
                <c:pt idx="21">
                  <c:v>山西</c:v>
                </c:pt>
                <c:pt idx="22">
                  <c:v>山东</c:v>
                </c:pt>
                <c:pt idx="23">
                  <c:v>内蒙古</c:v>
                </c:pt>
                <c:pt idx="24">
                  <c:v>天津</c:v>
                </c:pt>
                <c:pt idx="25">
                  <c:v>江西</c:v>
                </c:pt>
                <c:pt idx="26">
                  <c:v>吉林</c:v>
                </c:pt>
                <c:pt idx="27">
                  <c:v>河南</c:v>
                </c:pt>
                <c:pt idx="28">
                  <c:v>重庆</c:v>
                </c:pt>
                <c:pt idx="29">
                  <c:v>上海</c:v>
                </c:pt>
                <c:pt idx="30">
                  <c:v>辽宁</c:v>
                </c:pt>
              </c:strCache>
            </c:strRef>
          </c:cat>
          <c:val>
            <c:numRef>
              <c:f>Sheet1!$B$2:$B$32</c:f>
              <c:numCache>
                <c:ptCount val="31"/>
                <c:pt idx="0">
                  <c:v>40</c:v>
                </c:pt>
                <c:pt idx="1">
                  <c:v>50</c:v>
                </c:pt>
                <c:pt idx="2">
                  <c:v>45</c:v>
                </c:pt>
                <c:pt idx="3">
                  <c:v>12</c:v>
                </c:pt>
                <c:pt idx="4">
                  <c:v>21</c:v>
                </c:pt>
                <c:pt idx="5">
                  <c:v>18</c:v>
                </c:pt>
                <c:pt idx="6">
                  <c:v>21</c:v>
                </c:pt>
                <c:pt idx="7">
                  <c:v>28</c:v>
                </c:pt>
                <c:pt idx="8">
                  <c:v>21</c:v>
                </c:pt>
                <c:pt idx="9">
                  <c:v>18</c:v>
                </c:pt>
                <c:pt idx="10">
                  <c:v>28</c:v>
                </c:pt>
                <c:pt idx="11">
                  <c:v>18</c:v>
                </c:pt>
                <c:pt idx="12">
                  <c:v>20</c:v>
                </c:pt>
                <c:pt idx="13">
                  <c:v>19</c:v>
                </c:pt>
                <c:pt idx="14">
                  <c:v>-10</c:v>
                </c:pt>
                <c:pt idx="15">
                  <c:v>-9</c:v>
                </c:pt>
                <c:pt idx="16">
                  <c:v>-10</c:v>
                </c:pt>
                <c:pt idx="17">
                  <c:v>19</c:v>
                </c:pt>
                <c:pt idx="18">
                  <c:v>39</c:v>
                </c:pt>
                <c:pt idx="19">
                  <c:v>31</c:v>
                </c:pt>
                <c:pt idx="20">
                  <c:v>20</c:v>
                </c:pt>
                <c:pt idx="21">
                  <c:v>19</c:v>
                </c:pt>
                <c:pt idx="22">
                  <c:v>-10</c:v>
                </c:pt>
                <c:pt idx="23">
                  <c:v>-9</c:v>
                </c:pt>
                <c:pt idx="24">
                  <c:v>-10</c:v>
                </c:pt>
                <c:pt idx="25">
                  <c:v>19</c:v>
                </c:pt>
                <c:pt idx="26">
                  <c:v>39</c:v>
                </c:pt>
                <c:pt idx="27">
                  <c:v>31</c:v>
                </c:pt>
                <c:pt idx="28">
                  <c:v>-10</c:v>
                </c:pt>
                <c:pt idx="29">
                  <c:v>19</c:v>
                </c:pt>
                <c:pt idx="30">
                  <c:v>39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投资额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Sheet1!$A$2:$A$32</c:f>
              <c:strCache>
                <c:ptCount val="31"/>
                <c:pt idx="0">
                  <c:v>贵州</c:v>
                </c:pt>
                <c:pt idx="1">
                  <c:v>西藏</c:v>
                </c:pt>
                <c:pt idx="2">
                  <c:v>黑龙江</c:v>
                </c:pt>
                <c:pt idx="3">
                  <c:v>浙江</c:v>
                </c:pt>
                <c:pt idx="4">
                  <c:v>湖北</c:v>
                </c:pt>
                <c:pt idx="5">
                  <c:v>江苏</c:v>
                </c:pt>
                <c:pt idx="6">
                  <c:v>四川</c:v>
                </c:pt>
                <c:pt idx="7">
                  <c:v>福建</c:v>
                </c:pt>
                <c:pt idx="8">
                  <c:v>安徽</c:v>
                </c:pt>
                <c:pt idx="9">
                  <c:v>海南</c:v>
                </c:pt>
                <c:pt idx="10">
                  <c:v>山西</c:v>
                </c:pt>
                <c:pt idx="11">
                  <c:v>广西</c:v>
                </c:pt>
                <c:pt idx="12">
                  <c:v>青海</c:v>
                </c:pt>
                <c:pt idx="13">
                  <c:v>广东</c:v>
                </c:pt>
                <c:pt idx="14">
                  <c:v>甘肃</c:v>
                </c:pt>
                <c:pt idx="15">
                  <c:v>云南</c:v>
                </c:pt>
                <c:pt idx="16">
                  <c:v>宁夏</c:v>
                </c:pt>
                <c:pt idx="17">
                  <c:v>新疆</c:v>
                </c:pt>
                <c:pt idx="18">
                  <c:v>湖南</c:v>
                </c:pt>
                <c:pt idx="19">
                  <c:v>北京</c:v>
                </c:pt>
                <c:pt idx="20">
                  <c:v>河北</c:v>
                </c:pt>
                <c:pt idx="21">
                  <c:v>山西</c:v>
                </c:pt>
                <c:pt idx="22">
                  <c:v>山东</c:v>
                </c:pt>
                <c:pt idx="23">
                  <c:v>内蒙古</c:v>
                </c:pt>
                <c:pt idx="24">
                  <c:v>天津</c:v>
                </c:pt>
                <c:pt idx="25">
                  <c:v>江西</c:v>
                </c:pt>
                <c:pt idx="26">
                  <c:v>吉林</c:v>
                </c:pt>
                <c:pt idx="27">
                  <c:v>河南</c:v>
                </c:pt>
                <c:pt idx="28">
                  <c:v>重庆</c:v>
                </c:pt>
                <c:pt idx="29">
                  <c:v>上海</c:v>
                </c:pt>
                <c:pt idx="30">
                  <c:v>辽宁</c:v>
                </c:pt>
              </c:strCache>
            </c:strRef>
          </c:cat>
          <c:val>
            <c:numRef>
              <c:f>Sheet1!$C$2:$C$32</c:f>
              <c:numCache>
                <c:ptCount val="31"/>
                <c:pt idx="0">
                  <c:v>20</c:v>
                </c:pt>
                <c:pt idx="1">
                  <c:v>-22</c:v>
                </c:pt>
                <c:pt idx="2">
                  <c:v>-12</c:v>
                </c:pt>
                <c:pt idx="3">
                  <c:v>8</c:v>
                </c:pt>
                <c:pt idx="4">
                  <c:v>-10</c:v>
                </c:pt>
                <c:pt idx="5">
                  <c:v>-14</c:v>
                </c:pt>
                <c:pt idx="6">
                  <c:v>-10</c:v>
                </c:pt>
                <c:pt idx="7">
                  <c:v>-10</c:v>
                </c:pt>
                <c:pt idx="8">
                  <c:v>-8</c:v>
                </c:pt>
                <c:pt idx="9">
                  <c:v>-2</c:v>
                </c:pt>
                <c:pt idx="10">
                  <c:v>-8</c:v>
                </c:pt>
                <c:pt idx="11">
                  <c:v>-1</c:v>
                </c:pt>
                <c:pt idx="12">
                  <c:v>-9</c:v>
                </c:pt>
                <c:pt idx="13">
                  <c:v>-21</c:v>
                </c:pt>
                <c:pt idx="14">
                  <c:v>-9</c:v>
                </c:pt>
                <c:pt idx="15">
                  <c:v>-7</c:v>
                </c:pt>
                <c:pt idx="16">
                  <c:v>-21</c:v>
                </c:pt>
                <c:pt idx="17">
                  <c:v>-10</c:v>
                </c:pt>
                <c:pt idx="18">
                  <c:v>21</c:v>
                </c:pt>
                <c:pt idx="19">
                  <c:v>-29</c:v>
                </c:pt>
                <c:pt idx="20">
                  <c:v>-50</c:v>
                </c:pt>
                <c:pt idx="21">
                  <c:v>-21</c:v>
                </c:pt>
                <c:pt idx="22">
                  <c:v>-9</c:v>
                </c:pt>
                <c:pt idx="23">
                  <c:v>-7</c:v>
                </c:pt>
                <c:pt idx="24">
                  <c:v>-21</c:v>
                </c:pt>
                <c:pt idx="25">
                  <c:v>-10</c:v>
                </c:pt>
                <c:pt idx="26">
                  <c:v>21</c:v>
                </c:pt>
                <c:pt idx="27">
                  <c:v>-29</c:v>
                </c:pt>
                <c:pt idx="28">
                  <c:v>-21</c:v>
                </c:pt>
                <c:pt idx="29">
                  <c:v>-10</c:v>
                </c:pt>
                <c:pt idx="30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955427"/>
        <c:axId val="403394845"/>
      </c:barChart>
      <c:catAx>
        <c:axId val="5509554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394845"/>
        <c:crosses val="autoZero"/>
        <c:auto val="1"/>
        <c:lblAlgn val="ctr"/>
        <c:lblOffset val="100"/>
        <c:noMultiLvlLbl val="0"/>
      </c:catAx>
      <c:valAx>
        <c:axId val="4033948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09554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7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1-10月份全国新开工项目数量、投资额增速</a:t>
            </a:r>
            <a:endParaRPr sz="750" b="0"/>
          </a:p>
        </c:rich>
      </c:tx>
      <c:layout>
        <c:manualLayout>
          <c:xMode val="edge"/>
          <c:yMode val="edge"/>
          <c:x val="0.433"/>
          <c:y val="0.0348242811501597"/>
        </c:manualLayout>
      </c:layout>
      <c:overlay val="false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项目数量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Sheet1!$A$2:$A$11</c:f>
              <c:strCache>
                <c:ptCount val="10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-11.02</c:v>
                </c:pt>
                <c:pt idx="1">
                  <c:v>-19.42</c:v>
                </c:pt>
                <c:pt idx="2">
                  <c:v>-10.61</c:v>
                </c:pt>
                <c:pt idx="3">
                  <c:v>-11.41</c:v>
                </c:pt>
                <c:pt idx="4">
                  <c:v>-7.91</c:v>
                </c:pt>
                <c:pt idx="5">
                  <c:v>-5.44</c:v>
                </c:pt>
                <c:pt idx="6">
                  <c:v>-5.3</c:v>
                </c:pt>
                <c:pt idx="7">
                  <c:v>-2.75</c:v>
                </c:pt>
                <c:pt idx="8">
                  <c:v>-1.24</c:v>
                </c:pt>
                <c:pt idx="9">
                  <c:v>0.35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投资额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Sheet1!$A$2:$A$11</c:f>
              <c:strCache>
                <c:ptCount val="10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-12.66</c:v>
                </c:pt>
                <c:pt idx="1">
                  <c:v>-19.41</c:v>
                </c:pt>
                <c:pt idx="2">
                  <c:v>-15.16</c:v>
                </c:pt>
                <c:pt idx="3">
                  <c:v>-19.72</c:v>
                </c:pt>
                <c:pt idx="4">
                  <c:v>-17.05</c:v>
                </c:pt>
                <c:pt idx="5">
                  <c:v>-15.92</c:v>
                </c:pt>
                <c:pt idx="6">
                  <c:v>-15.1</c:v>
                </c:pt>
                <c:pt idx="7">
                  <c:v>-13.04</c:v>
                </c:pt>
                <c:pt idx="8">
                  <c:v>-10.65</c:v>
                </c:pt>
                <c:pt idx="9">
                  <c:v>-9.15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3207324"/>
        <c:axId val="737886306"/>
      </c:lineChart>
      <c:catAx>
        <c:axId val="532073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7886306"/>
        <c:crosses val="autoZero"/>
        <c:auto val="1"/>
        <c:lblAlgn val="ctr"/>
        <c:lblOffset val="100"/>
        <c:noMultiLvlLbl val="0"/>
      </c:catAx>
      <c:valAx>
        <c:axId val="7378863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207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各省（区、市）签约项目开工情况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未开工项目数（个）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Sheet1!$A$2:$A$32</c:f>
              <c:strCache>
                <c:ptCount val="31"/>
                <c:pt idx="0">
                  <c:v>北京</c:v>
                </c:pt>
                <c:pt idx="1">
                  <c:v>吉林</c:v>
                </c:pt>
                <c:pt idx="2">
                  <c:v>云南</c:v>
                </c:pt>
                <c:pt idx="3">
                  <c:v>上海</c:v>
                </c:pt>
                <c:pt idx="4">
                  <c:v>安徽</c:v>
                </c:pt>
                <c:pt idx="5">
                  <c:v>浙江</c:v>
                </c:pt>
                <c:pt idx="6">
                  <c:v>江西</c:v>
                </c:pt>
                <c:pt idx="7">
                  <c:v>四川</c:v>
                </c:pt>
                <c:pt idx="8">
                  <c:v>陕西</c:v>
                </c:pt>
                <c:pt idx="9">
                  <c:v>甘肃</c:v>
                </c:pt>
                <c:pt idx="10">
                  <c:v>江苏</c:v>
                </c:pt>
                <c:pt idx="11">
                  <c:v>广西</c:v>
                </c:pt>
                <c:pt idx="12">
                  <c:v>内蒙古</c:v>
                </c:pt>
                <c:pt idx="13">
                  <c:v>福建</c:v>
                </c:pt>
                <c:pt idx="14">
                  <c:v>天津</c:v>
                </c:pt>
                <c:pt idx="15">
                  <c:v>海南</c:v>
                </c:pt>
                <c:pt idx="16">
                  <c:v>黑龙江</c:v>
                </c:pt>
                <c:pt idx="17">
                  <c:v>贵州</c:v>
                </c:pt>
                <c:pt idx="18">
                  <c:v>山东</c:v>
                </c:pt>
                <c:pt idx="19">
                  <c:v>河北</c:v>
                </c:pt>
                <c:pt idx="20">
                  <c:v>辽宁</c:v>
                </c:pt>
                <c:pt idx="21">
                  <c:v>湖北</c:v>
                </c:pt>
                <c:pt idx="22">
                  <c:v>宁夏</c:v>
                </c:pt>
                <c:pt idx="23">
                  <c:v>广东</c:v>
                </c:pt>
                <c:pt idx="24">
                  <c:v>重庆</c:v>
                </c:pt>
                <c:pt idx="25">
                  <c:v>河南</c:v>
                </c:pt>
                <c:pt idx="26">
                  <c:v>新疆</c:v>
                </c:pt>
                <c:pt idx="27">
                  <c:v>山西</c:v>
                </c:pt>
                <c:pt idx="28">
                  <c:v>湖南</c:v>
                </c:pt>
                <c:pt idx="29">
                  <c:v>青海</c:v>
                </c:pt>
                <c:pt idx="30">
                  <c:v>兵团</c:v>
                </c:pt>
              </c:strCache>
            </c:strRef>
          </c:cat>
          <c:val>
            <c:numRef>
              <c:f>Sheet1!$B$2:$B$32</c:f>
              <c:numCache>
                <c:ptCount val="31"/>
                <c:pt idx="0">
                  <c:v>55</c:v>
                </c:pt>
                <c:pt idx="1">
                  <c:v>35</c:v>
                </c:pt>
                <c:pt idx="2">
                  <c:v>23</c:v>
                </c:pt>
                <c:pt idx="3">
                  <c:v>76</c:v>
                </c:pt>
                <c:pt idx="4">
                  <c:v>60</c:v>
                </c:pt>
                <c:pt idx="5">
                  <c:v>65.1</c:v>
                </c:pt>
                <c:pt idx="6">
                  <c:v>70.2</c:v>
                </c:pt>
                <c:pt idx="7">
                  <c:v>75.3</c:v>
                </c:pt>
                <c:pt idx="8">
                  <c:v>80.4</c:v>
                </c:pt>
                <c:pt idx="9">
                  <c:v>85.5</c:v>
                </c:pt>
                <c:pt idx="10">
                  <c:v>90.6</c:v>
                </c:pt>
                <c:pt idx="11">
                  <c:v>95.7</c:v>
                </c:pt>
                <c:pt idx="12">
                  <c:v>26</c:v>
                </c:pt>
                <c:pt idx="13">
                  <c:v>76</c:v>
                </c:pt>
                <c:pt idx="14">
                  <c:v>60</c:v>
                </c:pt>
                <c:pt idx="15">
                  <c:v>65.1</c:v>
                </c:pt>
                <c:pt idx="16">
                  <c:v>70.2</c:v>
                </c:pt>
                <c:pt idx="17">
                  <c:v>75.3</c:v>
                </c:pt>
                <c:pt idx="18">
                  <c:v>80.4</c:v>
                </c:pt>
                <c:pt idx="19">
                  <c:v>95.7</c:v>
                </c:pt>
                <c:pt idx="20">
                  <c:v>26</c:v>
                </c:pt>
                <c:pt idx="21">
                  <c:v>76</c:v>
                </c:pt>
                <c:pt idx="22">
                  <c:v>60</c:v>
                </c:pt>
                <c:pt idx="23">
                  <c:v>65.1</c:v>
                </c:pt>
                <c:pt idx="24">
                  <c:v>70.2</c:v>
                </c:pt>
                <c:pt idx="25">
                  <c:v>75.3</c:v>
                </c:pt>
                <c:pt idx="26">
                  <c:v>95.7</c:v>
                </c:pt>
                <c:pt idx="27">
                  <c:v>26</c:v>
                </c:pt>
                <c:pt idx="28">
                  <c:v>76</c:v>
                </c:pt>
                <c:pt idx="29">
                  <c:v>60</c:v>
                </c:pt>
                <c:pt idx="30">
                  <c:v>65.1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108747"/>
        <c:axId val="935731548"/>
      </c:barChart>
      <c:lineChart>
        <c:grouping val="standard"/>
        <c:varyColors val="0"/>
        <c:ser>
          <c:idx val="2"/>
          <c:order val="2"/>
          <c:tx>
            <c:strRef>
              <c:f>Sheet1!$C$1</c:f>
              <c:strCache>
                <c:ptCount val="1"/>
                <c:pt idx="0">
                  <c:v>开工率（%）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Sheet1!$A$2:$A$32</c:f>
              <c:strCache>
                <c:ptCount val="31"/>
                <c:pt idx="0">
                  <c:v>北京</c:v>
                </c:pt>
                <c:pt idx="1">
                  <c:v>吉林</c:v>
                </c:pt>
                <c:pt idx="2">
                  <c:v>云南</c:v>
                </c:pt>
                <c:pt idx="3">
                  <c:v>上海</c:v>
                </c:pt>
                <c:pt idx="4">
                  <c:v>安徽</c:v>
                </c:pt>
                <c:pt idx="5">
                  <c:v>浙江</c:v>
                </c:pt>
                <c:pt idx="6">
                  <c:v>江西</c:v>
                </c:pt>
                <c:pt idx="7">
                  <c:v>四川</c:v>
                </c:pt>
                <c:pt idx="8">
                  <c:v>陕西</c:v>
                </c:pt>
                <c:pt idx="9">
                  <c:v>甘肃</c:v>
                </c:pt>
                <c:pt idx="10">
                  <c:v>江苏</c:v>
                </c:pt>
                <c:pt idx="11">
                  <c:v>广西</c:v>
                </c:pt>
                <c:pt idx="12">
                  <c:v>内蒙古</c:v>
                </c:pt>
                <c:pt idx="13">
                  <c:v>福建</c:v>
                </c:pt>
                <c:pt idx="14">
                  <c:v>天津</c:v>
                </c:pt>
                <c:pt idx="15">
                  <c:v>海南</c:v>
                </c:pt>
                <c:pt idx="16">
                  <c:v>黑龙江</c:v>
                </c:pt>
                <c:pt idx="17">
                  <c:v>贵州</c:v>
                </c:pt>
                <c:pt idx="18">
                  <c:v>山东</c:v>
                </c:pt>
                <c:pt idx="19">
                  <c:v>河北</c:v>
                </c:pt>
                <c:pt idx="20">
                  <c:v>辽宁</c:v>
                </c:pt>
                <c:pt idx="21">
                  <c:v>湖北</c:v>
                </c:pt>
                <c:pt idx="22">
                  <c:v>宁夏</c:v>
                </c:pt>
                <c:pt idx="23">
                  <c:v>广东</c:v>
                </c:pt>
                <c:pt idx="24">
                  <c:v>重庆</c:v>
                </c:pt>
                <c:pt idx="25">
                  <c:v>河南</c:v>
                </c:pt>
                <c:pt idx="26">
                  <c:v>新疆</c:v>
                </c:pt>
                <c:pt idx="27">
                  <c:v>山西</c:v>
                </c:pt>
                <c:pt idx="28">
                  <c:v>湖南</c:v>
                </c:pt>
                <c:pt idx="29">
                  <c:v>青海</c:v>
                </c:pt>
                <c:pt idx="30">
                  <c:v>兵团</c:v>
                </c:pt>
              </c:strCache>
            </c:strRef>
          </c:cat>
          <c:val>
            <c:numRef>
              <c:f>Sheet1!$C$2:$C$32</c:f>
              <c:numCache>
                <c:ptCount val="31"/>
                <c:pt idx="0">
                  <c:v>34</c:v>
                </c:pt>
                <c:pt idx="1">
                  <c:v>45</c:v>
                </c:pt>
                <c:pt idx="2">
                  <c:v>23</c:v>
                </c:pt>
                <c:pt idx="3">
                  <c:v>67</c:v>
                </c:pt>
                <c:pt idx="4">
                  <c:v>34</c:v>
                </c:pt>
                <c:pt idx="5">
                  <c:v>45</c:v>
                </c:pt>
                <c:pt idx="6">
                  <c:v>23</c:v>
                </c:pt>
                <c:pt idx="7">
                  <c:v>67</c:v>
                </c:pt>
                <c:pt idx="8">
                  <c:v>34</c:v>
                </c:pt>
                <c:pt idx="9">
                  <c:v>45</c:v>
                </c:pt>
                <c:pt idx="10">
                  <c:v>23</c:v>
                </c:pt>
                <c:pt idx="11">
                  <c:v>67</c:v>
                </c:pt>
                <c:pt idx="12">
                  <c:v>23</c:v>
                </c:pt>
                <c:pt idx="13">
                  <c:v>67</c:v>
                </c:pt>
                <c:pt idx="14">
                  <c:v>34</c:v>
                </c:pt>
                <c:pt idx="15">
                  <c:v>45</c:v>
                </c:pt>
                <c:pt idx="16">
                  <c:v>23</c:v>
                </c:pt>
                <c:pt idx="17">
                  <c:v>45</c:v>
                </c:pt>
                <c:pt idx="18">
                  <c:v>23</c:v>
                </c:pt>
                <c:pt idx="19">
                  <c:v>67</c:v>
                </c:pt>
                <c:pt idx="20">
                  <c:v>23</c:v>
                </c:pt>
                <c:pt idx="21">
                  <c:v>67</c:v>
                </c:pt>
                <c:pt idx="22">
                  <c:v>34</c:v>
                </c:pt>
                <c:pt idx="23">
                  <c:v>45</c:v>
                </c:pt>
                <c:pt idx="24">
                  <c:v>23</c:v>
                </c:pt>
                <c:pt idx="25">
                  <c:v>45</c:v>
                </c:pt>
                <c:pt idx="26">
                  <c:v>67</c:v>
                </c:pt>
                <c:pt idx="27">
                  <c:v>23</c:v>
                </c:pt>
                <c:pt idx="28">
                  <c:v>67</c:v>
                </c:pt>
                <c:pt idx="29">
                  <c:v>34</c:v>
                </c:pt>
                <c:pt idx="30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98108747"/>
        <c:axId val="935731548"/>
      </c:lineChart>
      <c:catAx>
        <c:axId val="6981087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5731548"/>
        <c:crosses val="autoZero"/>
        <c:auto val="1"/>
        <c:lblAlgn val="ctr"/>
        <c:lblOffset val="100"/>
        <c:noMultiLvlLbl val="0"/>
      </c:catAx>
      <c:valAx>
        <c:axId val="9357315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1087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工程建设项目建设周期同比情况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2021年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从立项到开工的用时</c:v>
                </c:pt>
                <c:pt idx="1">
                  <c:v>从开工到验收的用时</c:v>
                </c:pt>
              </c:strCache>
            </c:strRef>
          </c:cat>
          <c:val>
            <c:numRef>
              <c:f>Sheet1!$B$2:$B$3</c:f>
              <c:numCache>
                <c:ptCount val="2"/>
                <c:pt idx="0">
                  <c:v>400</c:v>
                </c:pt>
                <c:pt idx="1">
                  <c:v>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2022年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从立项到开工的用时</c:v>
                </c:pt>
                <c:pt idx="1">
                  <c:v>从开工到验收的用时</c:v>
                </c:pt>
              </c:strCache>
            </c:strRef>
          </c:cat>
          <c:val>
            <c:numRef>
              <c:f>Sheet1!$C$2:$C$3</c:f>
              <c:numCache>
                <c:ptCount val="2"/>
                <c:pt idx="0">
                  <c:v>456</c:v>
                </c:pt>
                <c:pt idx="1">
                  <c:v>255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447746428"/>
        <c:axId val="882587115"/>
      </c:barChart>
      <c:catAx>
        <c:axId val="44774642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587115"/>
        <c:crosses val="autoZero"/>
        <c:auto val="1"/>
        <c:lblAlgn val="ctr"/>
        <c:lblOffset val="100"/>
        <c:noMultiLvlLbl val="0"/>
      </c:catAx>
      <c:valAx>
        <c:axId val="8825871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774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国家投资额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投资额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俄罗斯</c:v>
                </c:pt>
                <c:pt idx="1">
                  <c:v>加拿大</c:v>
                </c:pt>
                <c:pt idx="2">
                  <c:v>美国</c:v>
                </c:pt>
                <c:pt idx="3">
                  <c:v>中国</c:v>
                </c:pt>
              </c:strCache>
            </c:strRef>
          </c:cat>
          <c:val>
            <c:numRef>
              <c:f>Sheet1!$B$2:$B$5</c:f>
              <c:numCache>
                <c:ptCount val="4"/>
                <c:pt idx="0">
                  <c:v>17098242</c:v>
                </c:pt>
                <c:pt idx="1">
                  <c:v>9984670</c:v>
                </c:pt>
                <c:pt idx="2">
                  <c:v>9826675</c:v>
                </c:pt>
                <c:pt idx="3">
                  <c:v>9596961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62</Characters>
  <Lines>0</Lines>
  <Paragraphs>0</Paragraphs>
  <TotalTime>1</TotalTime>
  <ScaleCrop>false</ScaleCrop>
  <LinksUpToDate>false</LinksUpToDate>
  <CharactersWithSpaces>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2023-06-02T03:39:00Z</dcterms:created>
  <dc:creator>Administrator</dc:creator>
  <cp:lastModifiedBy>jiashn</cp:lastModifiedBy>
  <dcterms:modified xsi:type="dcterms:W3CDTF">2023-06-02T08:44:35Z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BA3DA9A0EFF846838E20B18A91416F05</vt:lpwstr>
  </property>
</Properties>
</file>