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2okbjbpmex7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 Set #3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us6otwtzjtu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Consider an alphabet with five letters, {a,b,c,d,e}, and suppose we know the frequencies fa​=0.32, fb​=0.25, fc​=0.2, fd​=0.18, and fe​=0.05. What is the expected number of bits used by Huffman's coding scheme to encode a 1000-letter document?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2230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2400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3000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3450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25vga9nuo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Question 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Under a Huffman encoding of nnn symbols, how long (in terms of number of bits) can a codeword possibly be?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ln⁡n\ln nlnn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n−1n-1n−1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2​n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yupci7sii8h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Question 3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statements holds for Huffman's coding scheme?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most frequent letter has frequency less than 0.33, then all letters will be coded with at least two bits.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letter with frequency at least 0.5 might get encoded with two or more bits.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letter's frequency is at least 0.4, then the letter will certainly be coded with only one bit.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most frequent letter has frequency less than 0.5, then all letters will be coded with more than one bit.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1azmtu2p185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Question 4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is true for our dynamic programming algorithm for computing a maximum-weight independent set of a path graph? (Assume there are no ties.)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algorithm always selects the maximum-weight vertex.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long as the input graph has at least two vertices, the algorithm never selects the minimum-weight vertex.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vertex is excluded from the optimal solution of a subproblem, then it is excluded from the optimal solutions of all bigger subproblems.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vertex is excluded from the optimal solution of two consecutive subproblems, then it is excluded from the optimal solutions of all bigger subproblems.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iv5npz2jnn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Question 5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Recall our dynamic programming algorithm for computing the maximum-weight independent set of a path graph. Consider the following proposed extension to more general graphs. Consider an undirected graph with positive vertex weights. For a vertex v, obtain the graph G′(v) by deleting v and its incident edges from G, and obtain the graph G′′(v) from G by deleting v, its neighbors, and all of the corresponding incident edges from G. Let OOPT(H) denote the value of a maximum-weight independent set of a graph H. Consider the formula OPT(G)=max⁡{OPT(G′(v)),wv+OPT(G′′(v))}, where v is an arbitrary vertex of G of weight wv​. Which of the following statements is true?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formula is correct in path graphs but is not always correct in trees.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formula is always correct in trees, and it leads to an efficient dynamic programming algorithm.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formula is always correct in trees, but does not lead to an efficient dynamic programming algorithm.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formula is always correct in general graphs, and it leads to an efficient dynamic programming algorithm.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