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4" w:lineRule="auto"/>
        <w:jc w:val="center"/>
      </w:pPr>
      <w:r>
        <w:rPr>
          <w:rFonts w:ascii="黑体" w:hAnsi="黑体" w:eastAsia="黑体"/>
          <w:b/>
          <w:color w:val="1F3B5C"/>
          <w:sz w:val="36"/>
        </w:rPr>
        <w:t>《项目说明书》配图与附表（初版）</w:t>
      </w:r>
    </w:p>
    <w:p>
      <w:pPr>
        <w:spacing w:before="0" w:after="360" w:line="324" w:lineRule="auto"/>
        <w:jc w:val="center"/>
      </w:pPr>
      <w:r>
        <w:rPr>
          <w:rFonts w:ascii="宋体" w:hAnsi="宋体" w:eastAsia="宋体"/>
          <w:b w:val="0"/>
          <w:color w:val="555F6B"/>
          <w:sz w:val="21"/>
        </w:rPr>
        <w:t>第十二届中国研究生智慧城市技术与创意设计大赛 · 创意设计赛</w:t>
      </w:r>
    </w:p>
    <w:p>
      <w:pPr>
        <w:spacing w:before="0" w:after="280" w:line="324" w:lineRule="auto"/>
        <w:jc w:val="both"/>
      </w:pPr>
      <w:r>
        <w:rPr>
          <w:rFonts w:ascii="宋体" w:hAnsi="宋体" w:eastAsia="宋体"/>
          <w:b w:val="0"/>
          <w:sz w:val="19"/>
        </w:rPr>
        <w:t>说明：图 1—图 8 可直接插入说明书对应章节，图为 300 dpi 位图（同目录另附 SVG 矢量源文件可无损缩放）；表 1—表 3 为三线表，可直接复制。所有图均为自绘，数据来自说明书正文所引公开资料，未使用任何推测性数值。</w:t>
      </w:r>
    </w:p>
    <w:p>
      <w:pPr>
        <w:spacing w:before="320" w:after="160" w:line="324" w:lineRule="auto"/>
        <w:jc w:val="left"/>
      </w:pPr>
      <w:r>
        <w:rPr>
          <w:rFonts w:ascii="黑体" w:hAnsi="黑体" w:eastAsia="黑体"/>
          <w:b/>
          <w:color w:val="1F3B5C"/>
          <w:sz w:val="25"/>
        </w:rPr>
        <w:t>一、配图（按正文出现顺序）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35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最后一公里断点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5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 w:line="288" w:lineRule="auto"/>
        <w:jc w:val="center"/>
      </w:pPr>
      <w:r>
        <w:rPr>
          <w:rFonts w:ascii="宋体" w:hAnsi="宋体" w:eastAsia="宋体"/>
          <w:b w:val="0"/>
          <w:color w:val="555F6B"/>
          <w:sz w:val="20"/>
        </w:rPr>
        <w:t>图 1  从卫星影像到应急决策的“最后一公里”断点对比（自绘）</w:t>
      </w:r>
    </w:p>
    <w:p>
      <w:pPr>
        <w:spacing w:before="0" w:after="240" w:line="324" w:lineRule="auto"/>
        <w:jc w:val="center"/>
      </w:pPr>
      <w:r>
        <w:rPr>
          <w:rFonts w:ascii="宋体" w:hAnsi="宋体" w:eastAsia="宋体"/>
          <w:b w:val="0"/>
          <w:color w:val="555F6B"/>
          <w:sz w:val="17"/>
        </w:rPr>
        <w:t>对应位置：一、1 项目意义。左为本项目改造前的六环节串行流程及其断点，右为智能体化的五步闭环。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59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政策产业市场驱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9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 w:line="288" w:lineRule="auto"/>
        <w:jc w:val="center"/>
      </w:pPr>
      <w:r>
        <w:rPr>
          <w:rFonts w:ascii="宋体" w:hAnsi="宋体" w:eastAsia="宋体"/>
          <w:b w:val="0"/>
          <w:color w:val="555F6B"/>
          <w:sz w:val="20"/>
        </w:rPr>
        <w:t>图 2  政策、产业与数据要素的三重驱动（自绘）</w:t>
      </w:r>
    </w:p>
    <w:p>
      <w:pPr>
        <w:spacing w:before="0" w:after="240" w:line="324" w:lineRule="auto"/>
        <w:jc w:val="center"/>
      </w:pPr>
      <w:r>
        <w:rPr>
          <w:rFonts w:ascii="宋体" w:hAnsi="宋体" w:eastAsia="宋体"/>
          <w:b w:val="0"/>
          <w:color w:val="555F6B"/>
          <w:sz w:val="17"/>
        </w:rPr>
        <w:t>对应位置：一、3 市场现状与发展动态。数据来源：自然资源部宣传教育中心[17]、中国政府网[18]—[21]。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559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系统总体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55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 w:line="288" w:lineRule="auto"/>
        <w:jc w:val="center"/>
      </w:pPr>
      <w:r>
        <w:rPr>
          <w:rFonts w:ascii="宋体" w:hAnsi="宋体" w:eastAsia="宋体"/>
          <w:b w:val="0"/>
          <w:color w:val="555F6B"/>
          <w:sz w:val="20"/>
        </w:rPr>
        <w:t>图 3  城市灾害与韧性评估智能体总体架构（自绘）</w:t>
      </w:r>
    </w:p>
    <w:p>
      <w:pPr>
        <w:spacing w:before="0" w:after="240" w:line="324" w:lineRule="auto"/>
        <w:jc w:val="center"/>
      </w:pPr>
      <w:r>
        <w:rPr>
          <w:rFonts w:ascii="宋体" w:hAnsi="宋体" w:eastAsia="宋体"/>
          <w:b w:val="0"/>
          <w:color w:val="555F6B"/>
          <w:sz w:val="17"/>
        </w:rPr>
        <w:t>对应位置：二、1 项目总体思路。四层架构与层间协议：HTTP/SSE、MCP、SQL。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24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五步业务闭环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 w:line="288" w:lineRule="auto"/>
        <w:jc w:val="center"/>
      </w:pPr>
      <w:r>
        <w:rPr>
          <w:rFonts w:ascii="宋体" w:hAnsi="宋体" w:eastAsia="宋体"/>
          <w:b w:val="0"/>
          <w:color w:val="555F6B"/>
          <w:sz w:val="20"/>
        </w:rPr>
        <w:t>图 4  “理解—规划—推理—研判—交付”五步业务闭环（自绘）</w:t>
      </w:r>
    </w:p>
    <w:p>
      <w:pPr>
        <w:spacing w:before="0" w:after="240" w:line="324" w:lineRule="auto"/>
        <w:jc w:val="center"/>
      </w:pPr>
      <w:r>
        <w:rPr>
          <w:rFonts w:ascii="宋体" w:hAnsi="宋体" w:eastAsia="宋体"/>
          <w:b w:val="0"/>
          <w:color w:val="555F6B"/>
          <w:sz w:val="17"/>
        </w:rPr>
        <w:t>对应位置：二、1 项目总体思路。含四项设计原则与人工确认节点。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638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MCP解耦与错误记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3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 w:line="288" w:lineRule="auto"/>
        <w:jc w:val="center"/>
      </w:pPr>
      <w:r>
        <w:rPr>
          <w:rFonts w:ascii="宋体" w:hAnsi="宋体" w:eastAsia="宋体"/>
          <w:b w:val="0"/>
          <w:color w:val="555F6B"/>
          <w:sz w:val="20"/>
        </w:rPr>
        <w:t>图 5  MCP 工具解耦与跨任务错误记忆自恢复（自绘）</w:t>
      </w:r>
    </w:p>
    <w:p>
      <w:pPr>
        <w:spacing w:before="0" w:after="240" w:line="324" w:lineRule="auto"/>
        <w:jc w:val="center"/>
      </w:pPr>
      <w:r>
        <w:rPr>
          <w:rFonts w:ascii="宋体" w:hAnsi="宋体" w:eastAsia="宋体"/>
          <w:b w:val="0"/>
          <w:color w:val="555F6B"/>
          <w:sz w:val="17"/>
        </w:rPr>
        <w:t>对应位置：二、3 特色与创新之处，创新点（2）（3）。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638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技术路线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3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 w:line="288" w:lineRule="auto"/>
        <w:jc w:val="center"/>
      </w:pPr>
      <w:r>
        <w:rPr>
          <w:rFonts w:ascii="宋体" w:hAnsi="宋体" w:eastAsia="宋体"/>
          <w:b w:val="0"/>
          <w:color w:val="555F6B"/>
          <w:sz w:val="20"/>
        </w:rPr>
        <w:t>图 6  端到端技术路线与标准产物（自绘）</w:t>
      </w:r>
    </w:p>
    <w:p>
      <w:pPr>
        <w:spacing w:before="0" w:after="240" w:line="324" w:lineRule="auto"/>
        <w:jc w:val="center"/>
      </w:pPr>
      <w:r>
        <w:rPr>
          <w:rFonts w:ascii="宋体" w:hAnsi="宋体" w:eastAsia="宋体"/>
          <w:b w:val="0"/>
          <w:color w:val="555F6B"/>
          <w:sz w:val="17"/>
        </w:rPr>
        <w:t>对应位置：三、2 技术路线。与图 4 的分工：图 4 讲业务流程与原则，图 6 讲数据流、关键技术与产物。</w:t>
      </w:r>
    </w:p>
    <w:p>
      <w:pPr>
        <w:spacing w:before="0" w:after="200" w:line="324" w:lineRule="auto"/>
        <w:jc w:val="both"/>
      </w:pPr>
      <w:r>
        <w:rPr>
          <w:rFonts w:ascii="宋体" w:hAnsi="宋体" w:eastAsia="宋体"/>
          <w:b w:val="0"/>
          <w:color w:val="555F6B"/>
          <w:sz w:val="18"/>
        </w:rPr>
        <w:t>图 7（待补）：Web 工作台运行截图。建议在系统实际运行时截取“对话结果—地图图层叠加—PDF 报告页”三联图，并标注 ①②③，用于三、5 方案实现形态或应用前景分析，属最有力的完成度证据。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24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应用场景与落地路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 w:line="288" w:lineRule="auto"/>
        <w:jc w:val="center"/>
      </w:pPr>
      <w:r>
        <w:rPr>
          <w:rFonts w:ascii="宋体" w:hAnsi="宋体" w:eastAsia="宋体"/>
          <w:b w:val="0"/>
          <w:color w:val="555F6B"/>
          <w:sz w:val="20"/>
        </w:rPr>
        <w:t>图 8  典型应用场景、落地路径与交付形态（自绘）</w:t>
      </w:r>
    </w:p>
    <w:p>
      <w:pPr>
        <w:spacing w:before="0" w:after="80" w:line="324" w:lineRule="auto"/>
        <w:jc w:val="center"/>
      </w:pPr>
      <w:r>
        <w:rPr>
          <w:rFonts w:ascii="宋体" w:hAnsi="宋体" w:eastAsia="宋体"/>
          <w:b w:val="0"/>
          <w:color w:val="555F6B"/>
          <w:sz w:val="17"/>
        </w:rPr>
        <w:t>对应位置：应用前景分析（该节现为空白，建议以本图配合 300 字左右的文字说明）。</w:t>
      </w:r>
    </w:p>
    <w:p>
      <w:r>
        <w:br w:type="page"/>
      </w:r>
    </w:p>
    <w:p>
      <w:pPr>
        <w:spacing w:before="320" w:after="160" w:line="324" w:lineRule="auto"/>
        <w:jc w:val="left"/>
      </w:pPr>
      <w:r>
        <w:rPr>
          <w:rFonts w:ascii="黑体" w:hAnsi="黑体" w:eastAsia="黑体"/>
          <w:b/>
          <w:color w:val="1F3B5C"/>
          <w:sz w:val="25"/>
        </w:rPr>
        <w:t>二、附表</w:t>
      </w:r>
    </w:p>
    <w:p>
      <w:pPr>
        <w:spacing w:before="0" w:after="80" w:line="324" w:lineRule="auto"/>
        <w:jc w:val="center"/>
      </w:pPr>
      <w:r>
        <w:rPr>
          <w:rFonts w:ascii="黑体" w:hAnsi="黑体" w:eastAsia="黑体"/>
          <w:b/>
          <w:color w:val="1F3B5C"/>
          <w:sz w:val="20"/>
        </w:rPr>
        <w:t>表 1  国内外代表性灾害智能体与基准对比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space="0" w:color="000000"/>
          <w:bottom w:val="single" w:sz="14" w:space="0" w:color="000000"/>
          <w:left w:val="none" w:sz="0" w:space="0" w:color="auto"/>
          <w:right w:val="none" w:sz="0" w:space="0" w:color="auto"/>
          <w:insideH w:val="single" w:sz="4" w:space="0" w:color="000000"/>
          <w:insideV w:val="none" w:sz="0" w:space="0" w:color="auto"/>
        </w:tblBorders>
        <w:tblLayout w:type="fixed"/>
        <w:tblW w:type="dxa" w:w="9070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c>
          <w:tcPr>
            <w:tcW w:type="dxa" w:w="1644"/>
            <w:tcBorders>
              <w:bottom w:val="single" w:sz="8" w:color="000000"/>
            </w:tcBorders>
            <w:shd w:val="clear" w:fill="F2F5F9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代表性工作</w:t>
            </w:r>
          </w:p>
        </w:tc>
        <w:tc>
          <w:tcPr>
            <w:tcW w:type="dxa" w:w="680"/>
            <w:tcBorders>
              <w:bottom w:val="single" w:sz="8" w:color="000000"/>
            </w:tcBorders>
            <w:shd w:val="clear" w:fill="F2F5F9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年份</w:t>
            </w:r>
          </w:p>
        </w:tc>
        <w:tc>
          <w:tcPr>
            <w:tcW w:type="dxa" w:w="3005"/>
            <w:tcBorders>
              <w:bottom w:val="single" w:sz="8" w:color="000000"/>
            </w:tcBorders>
            <w:shd w:val="clear" w:fill="F2F5F9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灾种 / 任务覆盖</w:t>
            </w:r>
          </w:p>
        </w:tc>
        <w:tc>
          <w:tcPr>
            <w:tcW w:type="dxa" w:w="907"/>
            <w:tcBorders>
              <w:bottom w:val="single" w:sz="8" w:color="000000"/>
            </w:tcBorders>
            <w:shd w:val="clear" w:fill="F2F5F9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多工具编排</w:t>
            </w:r>
          </w:p>
        </w:tc>
        <w:tc>
          <w:tcPr>
            <w:tcW w:type="dxa" w:w="850"/>
            <w:tcBorders>
              <w:bottom w:val="single" w:sz="8" w:color="000000"/>
            </w:tcBorders>
            <w:shd w:val="clear" w:fill="F2F5F9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标准协议</w:t>
            </w:r>
          </w:p>
        </w:tc>
        <w:tc>
          <w:tcPr>
            <w:tcW w:type="dxa" w:w="907"/>
            <w:tcBorders>
              <w:bottom w:val="single" w:sz="8" w:color="000000"/>
            </w:tcBorders>
            <w:shd w:val="clear" w:fill="F2F5F9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可信核验</w:t>
            </w:r>
          </w:p>
        </w:tc>
        <w:tc>
          <w:tcPr>
            <w:tcW w:type="dxa" w:w="1077"/>
            <w:tcBorders>
              <w:bottom w:val="single" w:sz="8" w:color="000000"/>
            </w:tcBorders>
            <w:shd w:val="clear" w:fill="F2F5F9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工程化闭环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GeoChat</w:t>
            </w:r>
          </w:p>
        </w:tc>
        <w:tc>
          <w:tcPr>
            <w:tcW w:type="dxa" w:w="680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2024</w:t>
            </w:r>
          </w:p>
        </w:tc>
        <w:tc>
          <w:tcPr>
            <w:tcW w:type="dxa" w:w="300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单任务视觉问答与区域级定位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RS-Agent</w:t>
            </w:r>
          </w:p>
        </w:tc>
        <w:tc>
          <w:tcPr>
            <w:tcW w:type="dxa" w:w="680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2024</w:t>
            </w:r>
          </w:p>
        </w:tc>
        <w:tc>
          <w:tcPr>
            <w:tcW w:type="dxa" w:w="300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遥感多任务，动态工具库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◐</w:t>
            </w:r>
          </w:p>
        </w:tc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RescueADI</w:t>
            </w:r>
          </w:p>
        </w:tc>
        <w:tc>
          <w:tcPr>
            <w:tcW w:type="dxa" w:w="680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2024</w:t>
            </w:r>
          </w:p>
        </w:tc>
        <w:tc>
          <w:tcPr>
            <w:tcW w:type="dxa" w:w="300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灾后计数、面积计算与路径规划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◐</w:t>
            </w:r>
          </w:p>
        </w:tc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DisasterM3</w:t>
            </w:r>
          </w:p>
        </w:tc>
        <w:tc>
          <w:tcPr>
            <w:tcW w:type="dxa" w:w="680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2025</w:t>
            </w:r>
          </w:p>
        </w:tc>
        <w:tc>
          <w:tcPr>
            <w:tcW w:type="dxa" w:w="300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 起灾害、2.7 万组双时相影像（数据集）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ThinkGeo</w:t>
            </w:r>
          </w:p>
        </w:tc>
        <w:tc>
          <w:tcPr>
            <w:tcW w:type="dxa" w:w="680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2025</w:t>
            </w:r>
          </w:p>
        </w:tc>
        <w:tc>
          <w:tcPr>
            <w:tcW w:type="dxa" w:w="300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400 余项多步工具调用评测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◐</w:t>
            </w:r>
          </w:p>
        </w:tc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DORA</w:t>
            </w:r>
          </w:p>
        </w:tc>
        <w:tc>
          <w:tcPr>
            <w:tcW w:type="dxa" w:w="680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2026</w:t>
            </w:r>
          </w:p>
        </w:tc>
        <w:tc>
          <w:tcPr>
            <w:tcW w:type="dxa" w:w="300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515 项任务、45 起真实灾害评测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◐</w:t>
            </w:r>
          </w:p>
        </w:tc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GeoDisaster</w:t>
            </w:r>
          </w:p>
        </w:tc>
        <w:tc>
          <w:tcPr>
            <w:tcW w:type="dxa" w:w="680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2026</w:t>
            </w:r>
          </w:p>
        </w:tc>
        <w:tc>
          <w:tcPr>
            <w:tcW w:type="dxa" w:w="300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 类工具组织的多智能体协同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●</w:t>
            </w:r>
          </w:p>
        </w:tc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Copernicus EMS</w:t>
            </w:r>
          </w:p>
        </w:tc>
        <w:tc>
          <w:tcPr>
            <w:tcW w:type="dxa" w:w="680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2025</w:t>
            </w:r>
          </w:p>
        </w:tc>
        <w:tc>
          <w:tcPr>
            <w:tcW w:type="dxa" w:w="300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业务化快反制图，仍以人工解译为主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◐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●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“久安”大模型</w:t>
            </w:r>
          </w:p>
        </w:tc>
        <w:tc>
          <w:tcPr>
            <w:tcW w:type="dxa" w:w="680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2025</w:t>
            </w:r>
          </w:p>
        </w:tc>
        <w:tc>
          <w:tcPr>
            <w:tcW w:type="dxa" w:w="300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应急管理业务大模型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○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●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本项目</w:t>
            </w:r>
          </w:p>
        </w:tc>
        <w:tc>
          <w:tcPr>
            <w:tcW w:type="dxa" w:w="680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—</w:t>
            </w:r>
          </w:p>
        </w:tc>
        <w:tc>
          <w:tcPr>
            <w:tcW w:type="dxa" w:w="300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 类灾种 + 地理、气象、路网与知识库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●</w:t>
            </w:r>
          </w:p>
        </w:tc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● MCP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● 三重核验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● 三镜像部署</w:t>
            </w:r>
          </w:p>
        </w:tc>
      </w:tr>
    </w:tbl>
    <w:p>
      <w:pPr>
        <w:spacing w:before="80" w:after="240" w:line="324" w:lineRule="auto"/>
        <w:jc w:val="left"/>
      </w:pPr>
      <w:r>
        <w:rPr>
          <w:rFonts w:ascii="宋体" w:hAnsi="宋体" w:eastAsia="宋体"/>
          <w:b w:val="0"/>
          <w:color w:val="555F6B"/>
          <w:sz w:val="16"/>
        </w:rPr>
        <w:t>注：● 具备　◐ 部分具备　○ 未提供　— 不适用；依据各工作公开论文与产品文档整理。</w:t>
      </w:r>
    </w:p>
    <w:p>
      <w:pPr>
        <w:spacing w:before="240" w:after="80" w:line="324" w:lineRule="auto"/>
        <w:jc w:val="center"/>
      </w:pPr>
      <w:r>
        <w:rPr>
          <w:rFonts w:ascii="黑体" w:hAnsi="黑体" w:eastAsia="黑体"/>
          <w:b/>
          <w:color w:val="1F3B5C"/>
          <w:sz w:val="20"/>
        </w:rPr>
        <w:t>表 2  灾种—专业模型—数据—输出对照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space="0" w:color="000000"/>
          <w:bottom w:val="single" w:sz="14" w:space="0" w:color="000000"/>
          <w:left w:val="none" w:sz="0" w:space="0" w:color="auto"/>
          <w:right w:val="none" w:sz="0" w:space="0" w:color="auto"/>
          <w:insideH w:val="single" w:sz="4" w:space="0" w:color="000000"/>
          <w:insideV w:val="none" w:sz="0" w:space="0" w:color="auto"/>
        </w:tblBorders>
        <w:tblLayout w:type="fixed"/>
        <w:tblW w:type="dxa" w:w="9070"/>
      </w:tblPr>
      <w:tblGrid>
        <w:gridCol w:w="2296"/>
        <w:gridCol w:w="2296"/>
        <w:gridCol w:w="2296"/>
        <w:gridCol w:w="2296"/>
      </w:tblGrid>
      <w:tr>
        <w:tc>
          <w:tcPr>
            <w:tcW w:type="dxa" w:w="1474"/>
            <w:tcBorders>
              <w:bottom w:val="single" w:sz="8" w:color="000000"/>
            </w:tcBorders>
            <w:shd w:val="clear" w:fill="F2F5F9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灾种 / 任务</w:t>
            </w:r>
          </w:p>
        </w:tc>
        <w:tc>
          <w:tcPr>
            <w:tcW w:type="dxa" w:w="2381"/>
            <w:tcBorders>
              <w:bottom w:val="single" w:sz="8" w:color="000000"/>
            </w:tcBorders>
            <w:shd w:val="clear" w:fill="F2F5F9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专业模型（权重来源）</w:t>
            </w:r>
          </w:p>
        </w:tc>
        <w:tc>
          <w:tcPr>
            <w:tcW w:type="dxa" w:w="2381"/>
            <w:tcBorders>
              <w:bottom w:val="single" w:sz="8" w:color="000000"/>
            </w:tcBorders>
            <w:shd w:val="clear" w:fill="F2F5F9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训练或评测数据</w:t>
            </w:r>
          </w:p>
        </w:tc>
        <w:tc>
          <w:tcPr>
            <w:tcW w:type="dxa" w:w="2835"/>
            <w:tcBorders>
              <w:bottom w:val="single" w:sz="8" w:color="000000"/>
            </w:tcBorders>
            <w:shd w:val="clear" w:fill="F2F5F9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主要输出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洪涝淹没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Sen1Floods11 分割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Sentinel-1/2 洪涝样本</w:t>
            </w:r>
          </w:p>
        </w:tc>
        <w:tc>
          <w:tcPr>
            <w:tcW w:type="dxa" w:w="283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淹没掩膜、面积、叠加图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建筑震害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xView2 四类损毁分级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xView2 灾前/灾后影像</w:t>
            </w:r>
          </w:p>
        </w:tc>
        <w:tc>
          <w:tcPr>
            <w:tcW w:type="dxa" w:w="283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损毁等级、建筑栋数、GeoJSON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滑坡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Landsat-L4S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Landslide4Sense</w:t>
            </w:r>
          </w:p>
        </w:tc>
        <w:tc>
          <w:tcPr>
            <w:tcW w:type="dxa" w:w="283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滑坡范围掩膜、面积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过火区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FLOGA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FLOGA 火场时序影像</w:t>
            </w:r>
          </w:p>
        </w:tc>
        <w:tc>
          <w:tcPr>
            <w:tcW w:type="dxa" w:w="283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过火范围变化、面积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溢油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CBDNet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溢油遥感影像</w:t>
            </w:r>
          </w:p>
        </w:tc>
        <w:tc>
          <w:tcPr>
            <w:tcW w:type="dxa" w:w="283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油膜范围、置信度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藻华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NDCI 指数模型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多光谱水色影像</w:t>
            </w:r>
          </w:p>
        </w:tc>
        <w:tc>
          <w:tcPr>
            <w:tcW w:type="dxa" w:w="283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藻华分布、指数分级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农业虫害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YOLO 检测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虫害标注影像</w:t>
            </w:r>
          </w:p>
        </w:tc>
        <w:tc>
          <w:tcPr>
            <w:tcW w:type="dxa" w:w="283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虫害目标框、计数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城市火烟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YOLOv5l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城市火烟影像</w:t>
            </w:r>
          </w:p>
        </w:tc>
        <w:tc>
          <w:tcPr>
            <w:tcW w:type="dxa" w:w="283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烟雾/火点框、置信度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交通事故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UString 预测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路网与事件数据</w:t>
            </w:r>
          </w:p>
        </w:tc>
        <w:tc>
          <w:tcPr>
            <w:tcW w:type="dxa" w:w="283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风险路段、预测结果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地理上下文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PostGIS + OSM/POI 查询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OSM、行政区、POI</w:t>
            </w:r>
          </w:p>
        </w:tc>
        <w:tc>
          <w:tcPr>
            <w:tcW w:type="dxa" w:w="283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暴露对象统计与空间关系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气象条件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Open-Meteo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实时与预报气象</w:t>
            </w:r>
          </w:p>
        </w:tc>
        <w:tc>
          <w:tcPr>
            <w:tcW w:type="dxa" w:w="283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风速、降水等研判依据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救援路线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高德路径规划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实时路网</w:t>
            </w:r>
          </w:p>
        </w:tc>
        <w:tc>
          <w:tcPr>
            <w:tcW w:type="dxa" w:w="283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路线、通行时间与条件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灾情与知识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网页检索 + 知识库 RAG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新闻、预案、历史报告</w:t>
            </w:r>
          </w:p>
        </w:tc>
        <w:tc>
          <w:tcPr>
            <w:tcW w:type="dxa" w:w="2835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带引文的证据片段</w:t>
            </w:r>
          </w:p>
        </w:tc>
      </w:tr>
    </w:tbl>
    <w:p>
      <w:pPr>
        <w:spacing w:before="80" w:after="240" w:line="324" w:lineRule="auto"/>
        <w:jc w:val="left"/>
      </w:pPr>
      <w:r>
        <w:rPr>
          <w:rFonts w:ascii="宋体" w:hAnsi="宋体" w:eastAsia="宋体"/>
          <w:b w:val="0"/>
          <w:color w:val="555F6B"/>
          <w:sz w:val="16"/>
        </w:rPr>
        <w:t>注：模型权重与推理代码复用公开基线，统一输出掩膜、置信度、面积统计、叠加图与 GeoJSON；参数与返回以系统实际结果为准。</w:t>
      </w:r>
    </w:p>
    <w:p>
      <w:pPr>
        <w:spacing w:before="240" w:after="80" w:line="324" w:lineRule="auto"/>
        <w:jc w:val="center"/>
      </w:pPr>
      <w:r>
        <w:rPr>
          <w:rFonts w:ascii="黑体" w:hAnsi="黑体" w:eastAsia="黑体"/>
          <w:b/>
          <w:color w:val="1F3B5C"/>
          <w:sz w:val="20"/>
        </w:rPr>
        <w:t>表 3  四层验证与评价指标矩阵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space="0" w:color="000000"/>
          <w:bottom w:val="single" w:sz="14" w:space="0" w:color="000000"/>
          <w:left w:val="none" w:sz="0" w:space="0" w:color="auto"/>
          <w:right w:val="none" w:sz="0" w:space="0" w:color="auto"/>
          <w:insideH w:val="single" w:sz="4" w:space="0" w:color="000000"/>
          <w:insideV w:val="none" w:sz="0" w:space="0" w:color="auto"/>
        </w:tblBorders>
        <w:tblLayout w:type="fixed"/>
        <w:tblW w:type="dxa" w:w="9070"/>
      </w:tblPr>
      <w:tblGrid>
        <w:gridCol w:w="2296"/>
        <w:gridCol w:w="2296"/>
        <w:gridCol w:w="2296"/>
        <w:gridCol w:w="2296"/>
      </w:tblGrid>
      <w:tr>
        <w:tc>
          <w:tcPr>
            <w:tcW w:type="dxa" w:w="1474"/>
            <w:tcBorders>
              <w:bottom w:val="single" w:sz="8" w:color="000000"/>
            </w:tcBorders>
            <w:shd w:val="clear" w:fill="F2F5F9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验证层次</w:t>
            </w:r>
          </w:p>
        </w:tc>
        <w:tc>
          <w:tcPr>
            <w:tcW w:type="dxa" w:w="3742"/>
            <w:tcBorders>
              <w:bottom w:val="single" w:sz="8" w:color="000000"/>
            </w:tcBorders>
            <w:shd w:val="clear" w:fill="F2F5F9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对象与方法</w:t>
            </w:r>
          </w:p>
        </w:tc>
        <w:tc>
          <w:tcPr>
            <w:tcW w:type="dxa" w:w="2211"/>
            <w:tcBorders>
              <w:bottom w:val="single" w:sz="8" w:color="000000"/>
            </w:tcBorders>
            <w:shd w:val="clear" w:fill="F2F5F9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主要指标</w:t>
            </w:r>
          </w:p>
        </w:tc>
        <w:tc>
          <w:tcPr>
            <w:tcW w:type="dxa" w:w="1644"/>
            <w:tcBorders>
              <w:bottom w:val="single" w:sz="8" w:color="000000"/>
            </w:tcBorders>
            <w:shd w:val="clear" w:fill="F2F5F9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对照基线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单元测试</w:t>
            </w:r>
          </w:p>
        </w:tc>
        <w:tc>
          <w:tcPr>
            <w:tcW w:type="dxa" w:w="3742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工具输入校验、错误恢复、知识检索、路线规划、天气查询、前端地图几何</w:t>
            </w:r>
          </w:p>
        </w:tc>
        <w:tc>
          <w:tcPr>
            <w:tcW w:type="dxa" w:w="221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用例通过率、异常覆盖率</w:t>
            </w:r>
          </w:p>
        </w:tc>
        <w:tc>
          <w:tcPr>
            <w:tcW w:type="dxa" w:w="164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集成测试</w:t>
            </w:r>
          </w:p>
        </w:tc>
        <w:tc>
          <w:tcPr>
            <w:tcW w:type="dxa" w:w="3742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上传 → 调用 → 输出 → 报告全链路</w:t>
            </w:r>
          </w:p>
        </w:tc>
        <w:tc>
          <w:tcPr>
            <w:tcW w:type="dxa" w:w="221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工具调用成功率、任务完成率、端到端时延</w:t>
            </w:r>
          </w:p>
        </w:tc>
        <w:tc>
          <w:tcPr>
            <w:tcW w:type="dxa" w:w="164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单工具脚本流程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场景测试</w:t>
            </w:r>
          </w:p>
        </w:tc>
        <w:tc>
          <w:tcPr>
            <w:tcW w:type="dxa" w:w="3742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洪涝、震害、滑坡、过火典型影像，与人工解译或公开标注比对</w:t>
            </w:r>
          </w:p>
        </w:tc>
        <w:tc>
          <w:tcPr>
            <w:tcW w:type="dxa" w:w="221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IoU、F1、面积误差</w:t>
            </w:r>
          </w:p>
        </w:tc>
        <w:tc>
          <w:tcPr>
            <w:tcW w:type="dxa" w:w="164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人工解译；通用大模型直接回答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用户试用</w:t>
            </w:r>
          </w:p>
        </w:tc>
        <w:tc>
          <w:tcPr>
            <w:tcW w:type="dxa" w:w="3742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应急、自然资源业务人员按真实任务流程操作</w:t>
            </w:r>
          </w:p>
        </w:tc>
        <w:tc>
          <w:tcPr>
            <w:tcW w:type="dxa" w:w="221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完成率、耗时、主观可用性</w:t>
            </w:r>
          </w:p>
        </w:tc>
        <w:tc>
          <w:tcPr>
            <w:tcW w:type="dxa" w:w="164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传统多软件流程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消融实验</w:t>
            </w:r>
          </w:p>
        </w:tc>
        <w:tc>
          <w:tcPr>
            <w:tcW w:type="dxa" w:w="3742"/>
          </w:tcPr>
          <w:p>
            <w:pPr>
              <w:spacing w:before="30" w:after="30" w:line="264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分别去除错误记忆、结果复核、RAG 核验</w:t>
            </w:r>
          </w:p>
        </w:tc>
        <w:tc>
          <w:tcPr>
            <w:tcW w:type="dxa" w:w="2211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成功率、幻觉率、引用可验证率</w:t>
            </w:r>
          </w:p>
        </w:tc>
        <w:tc>
          <w:tcPr>
            <w:tcW w:type="dxa" w:w="1644"/>
          </w:tcPr>
          <w:p>
            <w:pPr>
              <w:spacing w:before="30" w:after="30" w:line="264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完整系统</w:t>
            </w:r>
          </w:p>
        </w:tc>
      </w:tr>
    </w:tbl>
    <w:p>
      <w:pPr>
        <w:spacing w:before="80" w:after="120" w:line="324" w:lineRule="auto"/>
        <w:jc w:val="left"/>
      </w:pPr>
      <w:r>
        <w:rPr>
          <w:rFonts w:ascii="宋体" w:hAnsi="宋体" w:eastAsia="宋体"/>
          <w:b w:val="0"/>
          <w:color w:val="555F6B"/>
          <w:sz w:val="16"/>
        </w:rPr>
        <w:t>注：对比基线与消融设置可直接写入三、4 实验手段与验证方法；尚无实测数据时只保留指标定义，不填具体数值。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