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jc w:val="center"/>
        <w:rPr>
          <w:rFonts w:ascii="Oswald SemiBold" w:cs="Oswald SemiBold" w:eastAsia="Oswald SemiBold" w:hAnsi="Oswald SemiBold"/>
          <w:sz w:val="64"/>
          <w:szCs w:val="64"/>
        </w:rPr>
      </w:pPr>
      <w:r w:rsidDel="00000000" w:rsidR="00000000" w:rsidRPr="00000000">
        <w:rPr>
          <w:rFonts w:ascii="Oswald SemiBold" w:cs="Oswald SemiBold" w:eastAsia="Oswald SemiBold" w:hAnsi="Oswald SemiBold"/>
          <w:sz w:val="64"/>
          <w:szCs w:val="64"/>
          <w:rtl w:val="0"/>
        </w:rPr>
        <w:t xml:space="preserve">University of Engineering and Technology Peshawar</w:t>
      </w:r>
    </w:p>
    <w:p w:rsidR="00000000" w:rsidDel="00000000" w:rsidP="00000000" w:rsidRDefault="00000000" w:rsidRPr="00000000" w14:paraId="00000002">
      <w:pPr>
        <w:spacing w:after="120" w:line="264" w:lineRule="auto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1957388</wp:posOffset>
            </wp:positionH>
            <wp:positionV relativeFrom="paragraph">
              <wp:posOffset>294414</wp:posOffset>
            </wp:positionV>
            <wp:extent cx="2028825" cy="1971675"/>
            <wp:effectExtent b="0" l="0" r="0" t="0"/>
            <wp:wrapTopAndBottom distB="0" dist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971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120" w:line="264" w:lineRule="auto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64" w:lineRule="auto"/>
        <w:jc w:val="center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64" w:lineRule="auto"/>
        <w:jc w:val="center"/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64" w:lineRule="auto"/>
        <w:jc w:val="center"/>
        <w:rPr>
          <w:rFonts w:ascii="Playfair Display" w:cs="Playfair Display" w:eastAsia="Playfair Display" w:hAnsi="Playfair Display"/>
          <w:b w:val="1"/>
          <w:sz w:val="30"/>
          <w:szCs w:val="30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30"/>
          <w:szCs w:val="30"/>
          <w:rtl w:val="0"/>
        </w:rPr>
        <w:t xml:space="preserve">Assignment No 1</w:t>
      </w:r>
    </w:p>
    <w:p w:rsidR="00000000" w:rsidDel="00000000" w:rsidP="00000000" w:rsidRDefault="00000000" w:rsidRPr="00000000" w14:paraId="00000007">
      <w:pPr>
        <w:spacing w:after="120" w:line="264" w:lineRule="auto"/>
        <w:jc w:val="center"/>
        <w:rPr>
          <w:rFonts w:ascii="Playfair Display" w:cs="Playfair Display" w:eastAsia="Playfair Display" w:hAnsi="Playfair Display"/>
          <w:sz w:val="30"/>
          <w:szCs w:val="30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30"/>
          <w:szCs w:val="30"/>
          <w:rtl w:val="0"/>
        </w:rPr>
        <w:t xml:space="preserve">Name: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64" w:lineRule="auto"/>
        <w:jc w:val="center"/>
        <w:rPr>
          <w:rFonts w:ascii="Playfair Display" w:cs="Playfair Display" w:eastAsia="Playfair Display" w:hAnsi="Playfair Display"/>
          <w:sz w:val="30"/>
          <w:szCs w:val="30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30"/>
          <w:szCs w:val="30"/>
          <w:rtl w:val="0"/>
        </w:rPr>
        <w:t xml:space="preserve">Registration No: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64" w:lineRule="auto"/>
        <w:jc w:val="center"/>
        <w:rPr>
          <w:rFonts w:ascii="Playfair Display" w:cs="Playfair Display" w:eastAsia="Playfair Display" w:hAnsi="Playfair Display"/>
          <w:sz w:val="30"/>
          <w:szCs w:val="30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30"/>
          <w:szCs w:val="30"/>
          <w:rtl w:val="0"/>
        </w:rPr>
        <w:t xml:space="preserve">Subject:</w:t>
      </w:r>
      <w:r w:rsidDel="00000000" w:rsidR="00000000" w:rsidRPr="00000000">
        <w:rPr>
          <w:rFonts w:ascii="Playfair Display" w:cs="Playfair Display" w:eastAsia="Playfair Display" w:hAnsi="Playfair Display"/>
          <w:sz w:val="30"/>
          <w:szCs w:val="30"/>
          <w:rtl w:val="0"/>
        </w:rPr>
        <w:t xml:space="preserve"> Theory of Automata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64" w:lineRule="auto"/>
        <w:jc w:val="center"/>
        <w:rPr>
          <w:rFonts w:ascii="Playfair Display" w:cs="Playfair Display" w:eastAsia="Playfair Display" w:hAnsi="Playfair Display"/>
          <w:sz w:val="30"/>
          <w:szCs w:val="30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30"/>
          <w:szCs w:val="30"/>
          <w:rtl w:val="0"/>
        </w:rPr>
        <w:t xml:space="preserve">Submitted to :</w:t>
      </w:r>
      <w:r w:rsidDel="00000000" w:rsidR="00000000" w:rsidRPr="00000000">
        <w:rPr>
          <w:rFonts w:ascii="Playfair Display" w:cs="Playfair Display" w:eastAsia="Playfair Display" w:hAnsi="Playfair Display"/>
          <w:sz w:val="30"/>
          <w:szCs w:val="30"/>
          <w:rtl w:val="0"/>
        </w:rPr>
        <w:t xml:space="preserve"> Sir Ehsan Khalil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="264" w:lineRule="auto"/>
        <w:jc w:val="center"/>
        <w:rPr>
          <w:rFonts w:ascii="Playfair Display" w:cs="Playfair Display" w:eastAsia="Playfair Display" w:hAnsi="Playfair Display"/>
          <w:sz w:val="30"/>
          <w:szCs w:val="30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30"/>
          <w:szCs w:val="30"/>
          <w:rtl w:val="0"/>
        </w:rPr>
        <w:t xml:space="preserve">Date: </w:t>
      </w:r>
      <w:r w:rsidDel="00000000" w:rsidR="00000000" w:rsidRPr="00000000">
        <w:rPr>
          <w:rFonts w:ascii="Playfair Display" w:cs="Playfair Display" w:eastAsia="Playfair Display" w:hAnsi="Playfair Display"/>
          <w:sz w:val="30"/>
          <w:szCs w:val="30"/>
          <w:rtl w:val="0"/>
        </w:rPr>
        <w:t xml:space="preserve">19</w:t>
      </w:r>
      <w:r w:rsidDel="00000000" w:rsidR="00000000" w:rsidRPr="00000000">
        <w:rPr>
          <w:rFonts w:ascii="Playfair Display" w:cs="Playfair Display" w:eastAsia="Playfair Display" w:hAnsi="Playfair Display"/>
          <w:sz w:val="30"/>
          <w:szCs w:val="30"/>
          <w:vertAlign w:val="superscript"/>
          <w:rtl w:val="0"/>
        </w:rPr>
        <w:t xml:space="preserve">th</w:t>
      </w:r>
      <w:r w:rsidDel="00000000" w:rsidR="00000000" w:rsidRPr="00000000">
        <w:rPr>
          <w:rFonts w:ascii="Playfair Display" w:cs="Playfair Display" w:eastAsia="Playfair Display" w:hAnsi="Playfair Display"/>
          <w:sz w:val="30"/>
          <w:szCs w:val="30"/>
          <w:rtl w:val="0"/>
        </w:rPr>
        <w:t xml:space="preserve"> OCT 2023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rFonts w:ascii="Playfair Display Medium" w:cs="Playfair Display Medium" w:eastAsia="Playfair Display Medium" w:hAnsi="Playfair Display Medium"/>
        </w:rPr>
      </w:pPr>
      <w:bookmarkStart w:colFirst="0" w:colLast="0" w:name="_46krd7hqe7c1" w:id="0"/>
      <w:bookmarkEnd w:id="0"/>
      <w:r w:rsidDel="00000000" w:rsidR="00000000" w:rsidRPr="00000000">
        <w:rPr>
          <w:rFonts w:ascii="Playfair Display Medium" w:cs="Playfair Display Medium" w:eastAsia="Playfair Display Medium" w:hAnsi="Playfair Display Medium"/>
          <w:rtl w:val="0"/>
        </w:rPr>
        <w:t xml:space="preserve">Task 01: </w:t>
      </w:r>
    </w:p>
    <w:p w:rsidR="00000000" w:rsidDel="00000000" w:rsidP="00000000" w:rsidRDefault="00000000" w:rsidRPr="00000000" w14:paraId="0000000E">
      <w:pPr>
        <w:rPr>
          <w:rFonts w:ascii="Playfair Display Medium" w:cs="Playfair Display Medium" w:eastAsia="Playfair Display Medium" w:hAnsi="Playfair Display Medium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rtl w:val="0"/>
        </w:rPr>
        <w:t xml:space="preserve">Build an FA accepting the Language L of Strings, defined over Σ = {a, b},</w:t>
      </w:r>
    </w:p>
    <w:p w:rsidR="00000000" w:rsidDel="00000000" w:rsidP="00000000" w:rsidRDefault="00000000" w:rsidRPr="00000000" w14:paraId="0000000F">
      <w:pPr>
        <w:rPr>
          <w:rFonts w:ascii="Playfair Display Medium" w:cs="Playfair Display Medium" w:eastAsia="Playfair Display Medium" w:hAnsi="Playfair Display Medium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rtl w:val="0"/>
        </w:rPr>
        <w:t xml:space="preserve">beginning with and ending in the same letters.</w:t>
      </w:r>
    </w:p>
    <w:p w:rsidR="00000000" w:rsidDel="00000000" w:rsidP="00000000" w:rsidRDefault="00000000" w:rsidRPr="00000000" w14:paraId="00000010">
      <w:pPr>
        <w:pStyle w:val="Heading2"/>
        <w:rPr>
          <w:rFonts w:ascii="Playfair Display Medium" w:cs="Playfair Display Medium" w:eastAsia="Playfair Display Medium" w:hAnsi="Playfair Display Medium"/>
        </w:rPr>
      </w:pPr>
      <w:bookmarkStart w:colFirst="0" w:colLast="0" w:name="_lo7srplmjhl5" w:id="1"/>
      <w:bookmarkEnd w:id="1"/>
      <w:r w:rsidDel="00000000" w:rsidR="00000000" w:rsidRPr="00000000">
        <w:rPr>
          <w:rFonts w:ascii="Playfair Display Medium" w:cs="Playfair Display Medium" w:eastAsia="Playfair Display Medium" w:hAnsi="Playfair Display Medium"/>
          <w:rtl w:val="0"/>
        </w:rPr>
        <w:t xml:space="preserve">Solution</w:t>
      </w:r>
    </w:p>
    <w:p w:rsidR="00000000" w:rsidDel="00000000" w:rsidP="00000000" w:rsidRDefault="00000000" w:rsidRPr="00000000" w14:paraId="00000011">
      <w:pPr>
        <w:rPr>
          <w:rFonts w:ascii="Playfair Display Medium" w:cs="Playfair Display Medium" w:eastAsia="Playfair Display Medium" w:hAnsi="Playfair Display Medium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rtl w:val="0"/>
        </w:rPr>
        <w:t xml:space="preserve">Here is the shortest form;</w:t>
      </w:r>
    </w:p>
    <w:p w:rsidR="00000000" w:rsidDel="00000000" w:rsidP="00000000" w:rsidRDefault="00000000" w:rsidRPr="00000000" w14:paraId="00000012">
      <w:pPr>
        <w:rPr>
          <w:rFonts w:ascii="Playfair Display Medium" w:cs="Playfair Display Medium" w:eastAsia="Playfair Display Medium" w:hAnsi="Playfair Displ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layfair Display Medium" w:cs="Playfair Display Medium" w:eastAsia="Playfair Display Medium" w:hAnsi="Playfair Display Medium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rtl w:val="0"/>
        </w:rPr>
        <w:t xml:space="preserve">To accept the Language L of strings starting and ending with the same letter over Σ = {a, b}, you can use the regular expression (a+b)+ a(a + b)* a + b(a + b)* b as it defines valid patterns for this language.</w:t>
      </w:r>
    </w:p>
    <w:p w:rsidR="00000000" w:rsidDel="00000000" w:rsidP="00000000" w:rsidRDefault="00000000" w:rsidRPr="00000000" w14:paraId="00000014">
      <w:pPr>
        <w:rPr>
          <w:rFonts w:ascii="Playfair Display Medium" w:cs="Playfair Display Medium" w:eastAsia="Playfair Display Medium" w:hAnsi="Playfair Displ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Playfair Display Medium" w:cs="Playfair Display Medium" w:eastAsia="Playfair Display Medium" w:hAnsi="Playfair Display Medium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</w:rPr>
        <w:drawing>
          <wp:inline distB="114300" distT="114300" distL="114300" distR="114300">
            <wp:extent cx="5943600" cy="209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Playfair Display Medium" w:cs="Playfair Display Medium" w:eastAsia="Playfair Display Medium" w:hAnsi="Playfair Display Medium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layfair Displ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 SemiBold">
    <w:embedRegular w:fontKey="{00000000-0000-0000-0000-000000000000}" r:id="rId9" w:subsetted="0"/>
    <w:embedBold w:fontKey="{00000000-0000-0000-0000-000000000000}" r:id="rId10" w:subsetted="0"/>
  </w:font>
  <w:font w:name="Oswald">
    <w:embedRegular w:fontKey="{00000000-0000-0000-0000-000000000000}" r:id="rId11" w:subsetted="0"/>
    <w:embedBold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Medium-regular.ttf"/><Relationship Id="rId2" Type="http://schemas.openxmlformats.org/officeDocument/2006/relationships/font" Target="fonts/PlayfairDisplayMedium-bold.ttf"/><Relationship Id="rId3" Type="http://schemas.openxmlformats.org/officeDocument/2006/relationships/font" Target="fonts/PlayfairDisplayMedium-italic.ttf"/><Relationship Id="rId4" Type="http://schemas.openxmlformats.org/officeDocument/2006/relationships/font" Target="fonts/PlayfairDisplayMedium-boldItalic.ttf"/><Relationship Id="rId11" Type="http://schemas.openxmlformats.org/officeDocument/2006/relationships/font" Target="fonts/Oswald-regular.ttf"/><Relationship Id="rId10" Type="http://schemas.openxmlformats.org/officeDocument/2006/relationships/font" Target="fonts/OswaldSemiBold-bold.ttf"/><Relationship Id="rId12" Type="http://schemas.openxmlformats.org/officeDocument/2006/relationships/font" Target="fonts/Oswald-bold.ttf"/><Relationship Id="rId9" Type="http://schemas.openxmlformats.org/officeDocument/2006/relationships/font" Target="fonts/OswaldSemiBold-regular.ttf"/><Relationship Id="rId5" Type="http://schemas.openxmlformats.org/officeDocument/2006/relationships/font" Target="fonts/PlayfairDisplay-regular.ttf"/><Relationship Id="rId6" Type="http://schemas.openxmlformats.org/officeDocument/2006/relationships/font" Target="fonts/PlayfairDisplay-bold.ttf"/><Relationship Id="rId7" Type="http://schemas.openxmlformats.org/officeDocument/2006/relationships/font" Target="fonts/PlayfairDisplay-italic.ttf"/><Relationship Id="rId8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