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Terry</w:t>
      </w:r>
    </w:p>
    <w:p w:rsidR="00000000" w:rsidDel="00000000" w:rsidP="00000000" w:rsidRDefault="00000000" w:rsidRPr="00000000" w14:paraId="00000002">
      <w:pPr>
        <w:rPr/>
      </w:pPr>
      <w:r w:rsidDel="00000000" w:rsidR="00000000" w:rsidRPr="00000000">
        <w:rPr>
          <w:rtl w:val="0"/>
        </w:rPr>
        <w:t xml:space="preserve">Creative Coding</w:t>
      </w:r>
    </w:p>
    <w:p w:rsidR="00000000" w:rsidDel="00000000" w:rsidP="00000000" w:rsidRDefault="00000000" w:rsidRPr="00000000" w14:paraId="00000003">
      <w:pPr>
        <w:rPr/>
      </w:pPr>
      <w:r w:rsidDel="00000000" w:rsidR="00000000" w:rsidRPr="00000000">
        <w:rPr>
          <w:rtl w:val="0"/>
        </w:rPr>
        <w:t xml:space="preserve">Mart 120</w:t>
      </w:r>
    </w:p>
    <w:p w:rsidR="00000000" w:rsidDel="00000000" w:rsidP="00000000" w:rsidRDefault="00000000" w:rsidRPr="00000000" w14:paraId="00000004">
      <w:pPr>
        <w:rPr/>
      </w:pPr>
      <w:r w:rsidDel="00000000" w:rsidR="00000000" w:rsidRPr="00000000">
        <w:rPr>
          <w:rtl w:val="0"/>
        </w:rPr>
        <w:t xml:space="preserve">Thoughts on learning styles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 believe that there are definitely different styles in learning. However, I am not so much convinced that individuals have a specific style that best helps them learn. I believe that the manner in which things are learned should not be dependent apon the student or person, but should instead be varied based on the subject at hand. </w:t>
      </w:r>
    </w:p>
    <w:p w:rsidR="00000000" w:rsidDel="00000000" w:rsidP="00000000" w:rsidRDefault="00000000" w:rsidRPr="00000000" w14:paraId="00000007">
      <w:pPr>
        <w:spacing w:line="480" w:lineRule="auto"/>
        <w:ind w:left="0" w:firstLine="720"/>
        <w:rPr>
          <w:sz w:val="24"/>
          <w:szCs w:val="24"/>
        </w:rPr>
      </w:pPr>
      <w:r w:rsidDel="00000000" w:rsidR="00000000" w:rsidRPr="00000000">
        <w:rPr>
          <w:sz w:val="24"/>
          <w:szCs w:val="24"/>
          <w:rtl w:val="0"/>
        </w:rPr>
        <w:t xml:space="preserve">Having multiple sources for learning and learning in multiple styles may be the best course of action. You can even combine the different styles to maximize retention. Different subjects require different skills and knowledge. The manner in which you learn things will depend on the subject. For example; if you are taking a woodworking class it is going to be much better to be ‘hands on’ rather than an audio listener. Said another way, “</w:t>
      </w:r>
      <w:r w:rsidDel="00000000" w:rsidR="00000000" w:rsidRPr="00000000">
        <w:rPr>
          <w:sz w:val="24"/>
          <w:szCs w:val="24"/>
          <w:rtl w:val="0"/>
        </w:rPr>
        <w:t xml:space="preserve">...People have different </w:t>
      </w:r>
      <w:r w:rsidDel="00000000" w:rsidR="00000000" w:rsidRPr="00000000">
        <w:rPr>
          <w:i w:val="1"/>
          <w:sz w:val="24"/>
          <w:szCs w:val="24"/>
          <w:rtl w:val="0"/>
        </w:rPr>
        <w:t xml:space="preserve">abilities</w:t>
      </w:r>
      <w:r w:rsidDel="00000000" w:rsidR="00000000" w:rsidRPr="00000000">
        <w:rPr>
          <w:sz w:val="24"/>
          <w:szCs w:val="24"/>
          <w:rtl w:val="0"/>
        </w:rPr>
        <w:t xml:space="preserve">, not styles. Some people read better than others; some people hear worse than others. But most of the tasks that we encounter are really suited to only one type of learning. You can’t visualize a perfect French accent, for example” (Khazan, 2021).</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In conclusion, although it can be helpful to understand the basic concepts surrounding learning styles, there is not ecompelling evidence to convince that individuals only gravitate toward one particular set. Doing so will only put boundaries on how someone will attempt to learn. It's never a good idea to put yourself in a box. </w:t>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center"/>
        <w:rPr>
          <w:b w:val="1"/>
          <w:sz w:val="24"/>
          <w:szCs w:val="24"/>
        </w:rPr>
      </w:pPr>
      <w:r w:rsidDel="00000000" w:rsidR="00000000" w:rsidRPr="00000000">
        <w:rPr>
          <w:b w:val="1"/>
          <w:sz w:val="24"/>
          <w:szCs w:val="24"/>
          <w:rtl w:val="0"/>
        </w:rPr>
        <w:t xml:space="preserve">Works Cited</w:t>
      </w:r>
      <w:r w:rsidDel="00000000" w:rsidR="00000000" w:rsidRPr="00000000">
        <w:rPr>
          <w:rtl w:val="0"/>
        </w:rPr>
      </w:r>
    </w:p>
    <w:p w:rsidR="00000000" w:rsidDel="00000000" w:rsidP="00000000" w:rsidRDefault="00000000" w:rsidRPr="00000000" w14:paraId="0000000E">
      <w:pPr>
        <w:spacing w:after="280" w:before="280" w:line="480" w:lineRule="auto"/>
        <w:ind w:left="560" w:firstLine="0"/>
        <w:rPr>
          <w:sz w:val="24"/>
          <w:szCs w:val="24"/>
        </w:rPr>
      </w:pPr>
      <w:r w:rsidDel="00000000" w:rsidR="00000000" w:rsidRPr="00000000">
        <w:rPr>
          <w:sz w:val="24"/>
          <w:szCs w:val="24"/>
          <w:rtl w:val="0"/>
        </w:rPr>
        <w:t xml:space="preserve">Khazan, O. (2021, June 21). </w:t>
      </w:r>
      <w:r w:rsidDel="00000000" w:rsidR="00000000" w:rsidRPr="00000000">
        <w:rPr>
          <w:i w:val="1"/>
          <w:sz w:val="24"/>
          <w:szCs w:val="24"/>
          <w:rtl w:val="0"/>
        </w:rPr>
        <w:t xml:space="preserve">The myth of 'learning styles'</w:t>
      </w:r>
      <w:r w:rsidDel="00000000" w:rsidR="00000000" w:rsidRPr="00000000">
        <w:rPr>
          <w:sz w:val="24"/>
          <w:szCs w:val="24"/>
          <w:rtl w:val="0"/>
        </w:rPr>
        <w:t xml:space="preserve">. The Atlantic. Retrieved September 12, 2022, from https://www.theatlantic.com/science/archive/2018/04/the-myth-of-learning-styles/557687/ </w:t>
      </w:r>
    </w:p>
    <w:p w:rsidR="00000000" w:rsidDel="00000000" w:rsidP="00000000" w:rsidRDefault="00000000" w:rsidRPr="00000000" w14:paraId="0000000F">
      <w:pPr>
        <w:spacing w:line="48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