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393B" w14:textId="77C11A6C" w:rsidR="00E661A7" w:rsidRPr="00B4171E" w:rsidRDefault="005F4670" w:rsidP="005F4670">
      <w:pPr>
        <w:pStyle w:val="Heading1"/>
        <w:rPr>
          <w:rFonts w:ascii="Arial" w:hAnsi="Arial" w:cs="Arial"/>
        </w:rPr>
      </w:pPr>
      <w:r w:rsidRPr="00B4171E">
        <w:rPr>
          <w:rFonts w:ascii="Arial" w:hAnsi="Arial" w:cs="Arial"/>
        </w:rPr>
        <w:t>Methods</w:t>
      </w:r>
    </w:p>
    <w:p w14:paraId="5E00F017" w14:textId="4002AD5C" w:rsidR="00C52C85" w:rsidRPr="00B4171E" w:rsidRDefault="00C52C85" w:rsidP="006A4032">
      <w:pPr>
        <w:rPr>
          <w:rFonts w:ascii="Arial" w:hAnsi="Arial" w:cs="Arial"/>
        </w:rPr>
      </w:pPr>
      <w:r w:rsidRPr="00B4171E">
        <w:rPr>
          <w:rFonts w:ascii="Arial" w:hAnsi="Arial" w:cs="Arial"/>
        </w:rPr>
        <w:t xml:space="preserve">Data on 243 people is provided. </w:t>
      </w:r>
      <w:r w:rsidR="007956CC" w:rsidRPr="00B4171E">
        <w:rPr>
          <w:rFonts w:ascii="Arial" w:hAnsi="Arial" w:cs="Arial"/>
        </w:rPr>
        <w:t>The data contains information on age, Symbol Digit Modalities Test (SDMT) score, and CAG repeat length for healthy controls and people with pre-manifest Huntington’s Disease.</w:t>
      </w:r>
    </w:p>
    <w:p w14:paraId="71AFD505" w14:textId="6672CFEE" w:rsidR="00404052" w:rsidRPr="00B4171E" w:rsidRDefault="007956CC" w:rsidP="006A4032">
      <w:pPr>
        <w:rPr>
          <w:rFonts w:ascii="Arial" w:hAnsi="Arial" w:cs="Arial"/>
        </w:rPr>
      </w:pPr>
      <w:r w:rsidRPr="00B4171E">
        <w:rPr>
          <w:rFonts w:ascii="Arial" w:hAnsi="Arial" w:cs="Arial"/>
        </w:rPr>
        <w:t xml:space="preserve">Differences between the variance in SDMT across the two groups </w:t>
      </w:r>
      <w:r w:rsidR="00C52C85" w:rsidRPr="00B4171E">
        <w:rPr>
          <w:rFonts w:ascii="Arial" w:hAnsi="Arial" w:cs="Arial"/>
        </w:rPr>
        <w:t>are</w:t>
      </w:r>
      <w:r w:rsidRPr="00B4171E">
        <w:rPr>
          <w:rFonts w:ascii="Arial" w:hAnsi="Arial" w:cs="Arial"/>
        </w:rPr>
        <w:t xml:space="preserve"> tested using an F test. Differences in mean SDMT score across the two groups </w:t>
      </w:r>
      <w:r w:rsidR="00C52C85" w:rsidRPr="00B4171E">
        <w:rPr>
          <w:rFonts w:ascii="Arial" w:hAnsi="Arial" w:cs="Arial"/>
        </w:rPr>
        <w:t>are</w:t>
      </w:r>
      <w:r w:rsidRPr="00B4171E">
        <w:rPr>
          <w:rFonts w:ascii="Arial" w:hAnsi="Arial" w:cs="Arial"/>
        </w:rPr>
        <w:t xml:space="preserve"> tested using an independent </w:t>
      </w:r>
      <w:r w:rsidRPr="00B4171E">
        <w:rPr>
          <w:rFonts w:ascii="Arial" w:hAnsi="Arial" w:cs="Arial"/>
        </w:rPr>
        <w:br/>
        <w:t>two-sample t-test with equal variances</w:t>
      </w:r>
      <w:r w:rsidR="00A3366F" w:rsidRPr="00B4171E">
        <w:rPr>
          <w:rFonts w:ascii="Arial" w:hAnsi="Arial" w:cs="Arial"/>
        </w:rPr>
        <w:t xml:space="preserve">. The </w:t>
      </w:r>
      <w:r w:rsidRPr="00B4171E">
        <w:rPr>
          <w:rFonts w:ascii="Arial" w:hAnsi="Arial" w:cs="Arial"/>
        </w:rPr>
        <w:t>equal variance assumption</w:t>
      </w:r>
      <w:r w:rsidR="009834DF">
        <w:rPr>
          <w:rFonts w:ascii="Arial" w:hAnsi="Arial" w:cs="Arial"/>
        </w:rPr>
        <w:t xml:space="preserve"> is</w:t>
      </w:r>
      <w:r w:rsidRPr="00B4171E">
        <w:rPr>
          <w:rFonts w:ascii="Arial" w:hAnsi="Arial" w:cs="Arial"/>
        </w:rPr>
        <w:t xml:space="preserve"> justified from the results of the F test, see results section. </w:t>
      </w:r>
    </w:p>
    <w:p w14:paraId="36BB4193" w14:textId="53D3F607" w:rsidR="00404052" w:rsidRPr="00B4171E" w:rsidRDefault="002C6C3A" w:rsidP="006A4032">
      <w:pPr>
        <w:rPr>
          <w:rFonts w:ascii="Arial" w:hAnsi="Arial" w:cs="Arial"/>
        </w:rPr>
      </w:pPr>
      <w:r w:rsidRPr="00B4171E">
        <w:rPr>
          <w:rFonts w:ascii="Arial" w:hAnsi="Arial" w:cs="Arial"/>
        </w:rPr>
        <w:t>Pearson c</w:t>
      </w:r>
      <w:r w:rsidR="007956CC" w:rsidRPr="00B4171E">
        <w:rPr>
          <w:rFonts w:ascii="Arial" w:hAnsi="Arial" w:cs="Arial"/>
        </w:rPr>
        <w:t xml:space="preserve">orrelations between SDMT and age are </w:t>
      </w:r>
      <w:r w:rsidR="00C52C85" w:rsidRPr="00B4171E">
        <w:rPr>
          <w:rFonts w:ascii="Arial" w:hAnsi="Arial" w:cs="Arial"/>
        </w:rPr>
        <w:t xml:space="preserve">calculated </w:t>
      </w:r>
      <w:r w:rsidR="00A3366F" w:rsidRPr="00B4171E">
        <w:rPr>
          <w:rFonts w:ascii="Arial" w:hAnsi="Arial" w:cs="Arial"/>
        </w:rPr>
        <w:t xml:space="preserve">in each group. </w:t>
      </w:r>
      <w:r w:rsidRPr="00B4171E">
        <w:rPr>
          <w:rFonts w:ascii="Arial" w:hAnsi="Arial" w:cs="Arial"/>
        </w:rPr>
        <w:t>Age adjusted comparisons between the groups are made using ANCOVA.</w:t>
      </w:r>
      <w:r w:rsidR="008617FF" w:rsidRPr="00B4171E">
        <w:rPr>
          <w:rFonts w:ascii="Arial" w:hAnsi="Arial" w:cs="Arial"/>
        </w:rPr>
        <w:t xml:space="preserve"> All continuous variables are </w:t>
      </w:r>
      <w:proofErr w:type="spellStart"/>
      <w:r w:rsidR="008617FF" w:rsidRPr="00B4171E">
        <w:rPr>
          <w:rFonts w:ascii="Arial" w:hAnsi="Arial" w:cs="Arial"/>
        </w:rPr>
        <w:t>centered</w:t>
      </w:r>
      <w:proofErr w:type="spellEnd"/>
      <w:r w:rsidR="008617FF" w:rsidRPr="00B4171E">
        <w:rPr>
          <w:rFonts w:ascii="Arial" w:hAnsi="Arial" w:cs="Arial"/>
        </w:rPr>
        <w:t xml:space="preserve"> before being used in ANCOVA models to aid interpretability. </w:t>
      </w:r>
    </w:p>
    <w:p w14:paraId="36051E19" w14:textId="4F6A2932" w:rsidR="00656E97" w:rsidRPr="00B4171E" w:rsidRDefault="00656E97" w:rsidP="006A4032">
      <w:pPr>
        <w:rPr>
          <w:rFonts w:ascii="Arial" w:hAnsi="Arial" w:cs="Arial"/>
        </w:rPr>
      </w:pPr>
      <w:r w:rsidRPr="00B4171E">
        <w:rPr>
          <w:rFonts w:ascii="Arial" w:hAnsi="Arial" w:cs="Arial"/>
        </w:rPr>
        <w:t xml:space="preserve">Several linear models are fit on the pre-manifest HD group. Associations between age, CAG repeat length, and SDMT score are calculated and used to explain differences in the coefficient estimates </w:t>
      </w:r>
      <w:r w:rsidR="00404052" w:rsidRPr="00B4171E">
        <w:rPr>
          <w:rFonts w:ascii="Arial" w:hAnsi="Arial" w:cs="Arial"/>
        </w:rPr>
        <w:t>from the models.</w:t>
      </w:r>
    </w:p>
    <w:p w14:paraId="5BCBD904" w14:textId="2E5F499E" w:rsidR="003B14AA" w:rsidRPr="00B4171E" w:rsidRDefault="00FE13ED" w:rsidP="003B14AA">
      <w:pPr>
        <w:rPr>
          <w:rFonts w:ascii="Arial" w:hAnsi="Arial" w:cs="Arial"/>
        </w:rPr>
      </w:pPr>
      <w:r w:rsidRPr="00B4171E">
        <w:rPr>
          <w:rFonts w:ascii="Arial" w:hAnsi="Arial" w:cs="Arial"/>
        </w:rPr>
        <w:t xml:space="preserve">Finally, </w:t>
      </w:r>
      <w:r w:rsidR="00C37997" w:rsidRPr="00B4171E">
        <w:rPr>
          <w:rFonts w:ascii="Arial" w:hAnsi="Arial" w:cs="Arial"/>
        </w:rPr>
        <w:t>SDMT scores are compared across three groups</w:t>
      </w:r>
      <w:r w:rsidRPr="00B4171E">
        <w:rPr>
          <w:rFonts w:ascii="Arial" w:hAnsi="Arial" w:cs="Arial"/>
        </w:rPr>
        <w:t xml:space="preserve">. The groups are – healthy controls (group 1), people with CAG repeat length </w:t>
      </w:r>
      <w:r w:rsidR="00A3366F" w:rsidRPr="00B4171E">
        <w:rPr>
          <w:rFonts w:ascii="Arial" w:hAnsi="Arial" w:cs="Arial"/>
        </w:rPr>
        <w:t>up to</w:t>
      </w:r>
      <w:r w:rsidR="00F85F29" w:rsidRPr="00B4171E">
        <w:rPr>
          <w:rFonts w:ascii="Arial" w:hAnsi="Arial" w:cs="Arial"/>
        </w:rPr>
        <w:t xml:space="preserve"> and including</w:t>
      </w:r>
      <w:r w:rsidRPr="00B4171E">
        <w:rPr>
          <w:rFonts w:ascii="Arial" w:hAnsi="Arial" w:cs="Arial"/>
        </w:rPr>
        <w:t xml:space="preserve"> 4</w:t>
      </w:r>
      <w:r w:rsidR="00A3366F" w:rsidRPr="00B4171E">
        <w:rPr>
          <w:rFonts w:ascii="Arial" w:hAnsi="Arial" w:cs="Arial"/>
        </w:rPr>
        <w:t>2</w:t>
      </w:r>
      <w:r w:rsidRPr="00B4171E">
        <w:rPr>
          <w:rFonts w:ascii="Arial" w:hAnsi="Arial" w:cs="Arial"/>
        </w:rPr>
        <w:t xml:space="preserve"> (group 2), and people with CAG repeat length greater than 4</w:t>
      </w:r>
      <w:r w:rsidR="00A3366F" w:rsidRPr="00B4171E">
        <w:rPr>
          <w:rFonts w:ascii="Arial" w:hAnsi="Arial" w:cs="Arial"/>
        </w:rPr>
        <w:t>2</w:t>
      </w:r>
      <w:r w:rsidRPr="00B4171E">
        <w:rPr>
          <w:rFonts w:ascii="Arial" w:hAnsi="Arial" w:cs="Arial"/>
        </w:rPr>
        <w:t xml:space="preserve"> (group 3).</w:t>
      </w:r>
      <w:r w:rsidR="00C37997" w:rsidRPr="00B4171E">
        <w:rPr>
          <w:rFonts w:ascii="Arial" w:hAnsi="Arial" w:cs="Arial"/>
        </w:rPr>
        <w:t xml:space="preserve"> </w:t>
      </w:r>
      <w:r w:rsidR="002C6C3A" w:rsidRPr="00B4171E">
        <w:rPr>
          <w:rFonts w:ascii="Arial" w:hAnsi="Arial" w:cs="Arial"/>
        </w:rPr>
        <w:t>ANOVA is used to compare mean SDMT score across the three groups, and ANCOVA is used to adjust for the effect of age in these comparisons.</w:t>
      </w:r>
    </w:p>
    <w:p w14:paraId="11858D10" w14:textId="5DA1ED9D" w:rsidR="00FE13ED" w:rsidRPr="00B4171E" w:rsidRDefault="00FE13ED" w:rsidP="003B14AA">
      <w:pPr>
        <w:rPr>
          <w:rFonts w:ascii="Arial" w:hAnsi="Arial" w:cs="Arial"/>
        </w:rPr>
      </w:pPr>
      <w:r w:rsidRPr="00B4171E">
        <w:rPr>
          <w:rFonts w:ascii="Arial" w:hAnsi="Arial" w:cs="Arial"/>
        </w:rPr>
        <w:t xml:space="preserve">Assumptions for all models were </w:t>
      </w:r>
      <w:r w:rsidR="00C37997" w:rsidRPr="00B4171E">
        <w:rPr>
          <w:rFonts w:ascii="Arial" w:hAnsi="Arial" w:cs="Arial"/>
        </w:rPr>
        <w:t>checked</w:t>
      </w:r>
      <w:r w:rsidRPr="00B4171E">
        <w:rPr>
          <w:rFonts w:ascii="Arial" w:hAnsi="Arial" w:cs="Arial"/>
        </w:rPr>
        <w:t xml:space="preserve"> by</w:t>
      </w:r>
      <w:r w:rsidR="00404052" w:rsidRPr="00B4171E">
        <w:rPr>
          <w:rFonts w:ascii="Arial" w:hAnsi="Arial" w:cs="Arial"/>
        </w:rPr>
        <w:t xml:space="preserve"> examining the distribution of residuals</w:t>
      </w:r>
      <w:r w:rsidRPr="00B4171E">
        <w:rPr>
          <w:rFonts w:ascii="Arial" w:hAnsi="Arial" w:cs="Arial"/>
        </w:rPr>
        <w:t>.</w:t>
      </w:r>
      <w:r w:rsidR="00404052" w:rsidRPr="00B4171E">
        <w:rPr>
          <w:rFonts w:ascii="Arial" w:hAnsi="Arial" w:cs="Arial"/>
        </w:rPr>
        <w:t xml:space="preserve"> This was done graphically by plotting residuals against each variable in the model, and by looking at QQ-plots.</w:t>
      </w:r>
    </w:p>
    <w:p w14:paraId="40D4F4F5" w14:textId="0E95659A" w:rsidR="005F4670" w:rsidRPr="00B4171E" w:rsidRDefault="005F4670" w:rsidP="005F4670">
      <w:pPr>
        <w:pStyle w:val="Heading1"/>
        <w:rPr>
          <w:rFonts w:ascii="Arial" w:hAnsi="Arial" w:cs="Arial"/>
        </w:rPr>
      </w:pPr>
      <w:r w:rsidRPr="00B4171E">
        <w:rPr>
          <w:rFonts w:ascii="Arial" w:hAnsi="Arial" w:cs="Arial"/>
        </w:rPr>
        <w:t>Results</w:t>
      </w:r>
    </w:p>
    <w:p w14:paraId="14678C35" w14:textId="42A9FAF6" w:rsidR="00656E97" w:rsidRPr="00B4171E" w:rsidRDefault="00656E97" w:rsidP="00656E97">
      <w:pPr>
        <w:pStyle w:val="Heading3"/>
        <w:rPr>
          <w:rFonts w:ascii="Arial" w:hAnsi="Arial" w:cs="Arial"/>
        </w:rPr>
      </w:pPr>
      <w:r w:rsidRPr="00B4171E">
        <w:rPr>
          <w:rFonts w:ascii="Arial" w:hAnsi="Arial" w:cs="Arial"/>
        </w:rPr>
        <w:t>Question 1</w:t>
      </w:r>
    </w:p>
    <w:p w14:paraId="372A475A" w14:textId="7515F76C" w:rsidR="001620DE" w:rsidRPr="00B4171E" w:rsidRDefault="001620DE" w:rsidP="001620DE">
      <w:pPr>
        <w:rPr>
          <w:rFonts w:ascii="Arial" w:hAnsi="Arial" w:cs="Arial"/>
        </w:rPr>
      </w:pPr>
      <w:r w:rsidRPr="00B4171E">
        <w:rPr>
          <w:rFonts w:ascii="Arial" w:hAnsi="Arial" w:cs="Arial"/>
        </w:rPr>
        <w:t>There are 120 pre-manifest Huntington’s Disease gene carriers and 123 healthy controls in the data. Table 1 shows summary statistics for these two groups.</w:t>
      </w:r>
    </w:p>
    <w:tbl>
      <w:tblPr>
        <w:tblStyle w:val="TableGrid"/>
        <w:tblW w:w="8080" w:type="dxa"/>
        <w:tblLook w:val="04A0" w:firstRow="1" w:lastRow="0" w:firstColumn="1" w:lastColumn="0" w:noHBand="0" w:noVBand="1"/>
      </w:tblPr>
      <w:tblGrid>
        <w:gridCol w:w="939"/>
        <w:gridCol w:w="1329"/>
        <w:gridCol w:w="1418"/>
        <w:gridCol w:w="1276"/>
        <w:gridCol w:w="1559"/>
        <w:gridCol w:w="1559"/>
      </w:tblGrid>
      <w:tr w:rsidR="008F6B2E" w:rsidRPr="00B4171E" w14:paraId="46638D98" w14:textId="77777777" w:rsidTr="00981AF6">
        <w:trPr>
          <w:trHeight w:val="278"/>
        </w:trPr>
        <w:tc>
          <w:tcPr>
            <w:tcW w:w="939" w:type="dxa"/>
            <w:tcBorders>
              <w:top w:val="single" w:sz="12" w:space="0" w:color="auto"/>
              <w:left w:val="nil"/>
              <w:bottom w:val="nil"/>
              <w:right w:val="double" w:sz="4" w:space="0" w:color="auto"/>
            </w:tcBorders>
            <w:noWrap/>
            <w:vAlign w:val="center"/>
            <w:hideMark/>
          </w:tcPr>
          <w:p w14:paraId="3003D178" w14:textId="77777777" w:rsidR="005F4670" w:rsidRPr="00B4171E" w:rsidRDefault="005F4670" w:rsidP="00307FC4">
            <w:pPr>
              <w:jc w:val="center"/>
              <w:rPr>
                <w:rFonts w:ascii="Arial" w:eastAsia="Times New Roman" w:hAnsi="Arial" w:cs="Arial"/>
                <w:sz w:val="20"/>
                <w:szCs w:val="20"/>
                <w:lang w:eastAsia="en-GB"/>
              </w:rPr>
            </w:pPr>
          </w:p>
        </w:tc>
        <w:tc>
          <w:tcPr>
            <w:tcW w:w="2747" w:type="dxa"/>
            <w:gridSpan w:val="2"/>
            <w:tcBorders>
              <w:top w:val="single" w:sz="12" w:space="0" w:color="auto"/>
              <w:left w:val="double" w:sz="4" w:space="0" w:color="auto"/>
              <w:bottom w:val="single" w:sz="4" w:space="0" w:color="A6A6A6" w:themeColor="background1" w:themeShade="A6"/>
              <w:right w:val="double" w:sz="4" w:space="0" w:color="auto"/>
            </w:tcBorders>
            <w:noWrap/>
            <w:vAlign w:val="center"/>
            <w:hideMark/>
          </w:tcPr>
          <w:p w14:paraId="1D87BBB1" w14:textId="592437BB" w:rsidR="005F4670" w:rsidRPr="00B4171E" w:rsidRDefault="005F4670" w:rsidP="00307FC4">
            <w:pPr>
              <w:jc w:val="center"/>
              <w:rPr>
                <w:rFonts w:ascii="Arial" w:eastAsia="Times New Roman" w:hAnsi="Arial" w:cs="Arial"/>
                <w:b/>
                <w:bCs/>
                <w:color w:val="000000"/>
                <w:sz w:val="20"/>
                <w:szCs w:val="20"/>
                <w:lang w:eastAsia="en-GB"/>
              </w:rPr>
            </w:pPr>
            <w:r w:rsidRPr="00B4171E">
              <w:rPr>
                <w:rFonts w:ascii="Arial" w:eastAsia="Times New Roman" w:hAnsi="Arial" w:cs="Arial"/>
                <w:b/>
                <w:bCs/>
                <w:color w:val="000000"/>
                <w:sz w:val="20"/>
                <w:szCs w:val="20"/>
                <w:lang w:eastAsia="en-GB"/>
              </w:rPr>
              <w:t>Age</w:t>
            </w:r>
            <w:r w:rsidR="00446230" w:rsidRPr="00B4171E">
              <w:rPr>
                <w:rFonts w:ascii="Arial" w:eastAsia="Times New Roman" w:hAnsi="Arial" w:cs="Arial"/>
                <w:b/>
                <w:bCs/>
                <w:color w:val="000000"/>
                <w:sz w:val="20"/>
                <w:szCs w:val="20"/>
                <w:lang w:eastAsia="en-GB"/>
              </w:rPr>
              <w:t xml:space="preserve"> (years)</w:t>
            </w:r>
          </w:p>
        </w:tc>
        <w:tc>
          <w:tcPr>
            <w:tcW w:w="2835" w:type="dxa"/>
            <w:gridSpan w:val="2"/>
            <w:tcBorders>
              <w:top w:val="single" w:sz="12" w:space="0" w:color="auto"/>
              <w:left w:val="double" w:sz="4" w:space="0" w:color="auto"/>
              <w:bottom w:val="single" w:sz="4" w:space="0" w:color="A6A6A6" w:themeColor="background1" w:themeShade="A6"/>
              <w:right w:val="double" w:sz="4" w:space="0" w:color="auto"/>
            </w:tcBorders>
            <w:noWrap/>
            <w:vAlign w:val="center"/>
            <w:hideMark/>
          </w:tcPr>
          <w:p w14:paraId="7B3839A2" w14:textId="77777777" w:rsidR="005F4670" w:rsidRPr="00B4171E" w:rsidRDefault="005F4670" w:rsidP="00307FC4">
            <w:pPr>
              <w:jc w:val="center"/>
              <w:rPr>
                <w:rFonts w:ascii="Arial" w:eastAsia="Times New Roman" w:hAnsi="Arial" w:cs="Arial"/>
                <w:b/>
                <w:bCs/>
                <w:color w:val="000000"/>
                <w:sz w:val="20"/>
                <w:szCs w:val="20"/>
                <w:lang w:eastAsia="en-GB"/>
              </w:rPr>
            </w:pPr>
            <w:r w:rsidRPr="00B4171E">
              <w:rPr>
                <w:rFonts w:ascii="Arial" w:eastAsia="Times New Roman" w:hAnsi="Arial" w:cs="Arial"/>
                <w:b/>
                <w:bCs/>
                <w:color w:val="000000"/>
                <w:sz w:val="20"/>
                <w:szCs w:val="20"/>
                <w:lang w:eastAsia="en-GB"/>
              </w:rPr>
              <w:t>SDMT</w:t>
            </w:r>
          </w:p>
        </w:tc>
        <w:tc>
          <w:tcPr>
            <w:tcW w:w="1559" w:type="dxa"/>
            <w:tcBorders>
              <w:top w:val="single" w:sz="12" w:space="0" w:color="auto"/>
              <w:left w:val="double" w:sz="4" w:space="0" w:color="auto"/>
              <w:bottom w:val="single" w:sz="4" w:space="0" w:color="A6A6A6" w:themeColor="background1" w:themeShade="A6"/>
              <w:right w:val="nil"/>
            </w:tcBorders>
            <w:noWrap/>
            <w:vAlign w:val="center"/>
            <w:hideMark/>
          </w:tcPr>
          <w:p w14:paraId="3707EEDE" w14:textId="77777777" w:rsidR="005F4670" w:rsidRPr="00B4171E" w:rsidRDefault="005F4670" w:rsidP="00307FC4">
            <w:pPr>
              <w:jc w:val="center"/>
              <w:rPr>
                <w:rFonts w:ascii="Arial" w:eastAsia="Times New Roman" w:hAnsi="Arial" w:cs="Arial"/>
                <w:b/>
                <w:bCs/>
                <w:color w:val="000000"/>
                <w:sz w:val="20"/>
                <w:szCs w:val="20"/>
                <w:lang w:eastAsia="en-GB"/>
              </w:rPr>
            </w:pPr>
            <w:r w:rsidRPr="00B4171E">
              <w:rPr>
                <w:rFonts w:ascii="Arial" w:eastAsia="Times New Roman" w:hAnsi="Arial" w:cs="Arial"/>
                <w:b/>
                <w:bCs/>
                <w:color w:val="000000"/>
                <w:sz w:val="20"/>
                <w:szCs w:val="20"/>
                <w:lang w:eastAsia="en-GB"/>
              </w:rPr>
              <w:t>CAG repeat length</w:t>
            </w:r>
          </w:p>
        </w:tc>
      </w:tr>
      <w:tr w:rsidR="00307FC4" w:rsidRPr="00B4171E" w14:paraId="2B6CA11B" w14:textId="77777777" w:rsidTr="00981AF6">
        <w:trPr>
          <w:trHeight w:val="278"/>
        </w:trPr>
        <w:tc>
          <w:tcPr>
            <w:tcW w:w="939" w:type="dxa"/>
            <w:tcBorders>
              <w:top w:val="nil"/>
              <w:left w:val="nil"/>
              <w:bottom w:val="single" w:sz="4" w:space="0" w:color="A6A6A6" w:themeColor="background1" w:themeShade="A6"/>
              <w:right w:val="double" w:sz="4" w:space="0" w:color="auto"/>
            </w:tcBorders>
            <w:noWrap/>
            <w:vAlign w:val="center"/>
            <w:hideMark/>
          </w:tcPr>
          <w:p w14:paraId="743BDCFA" w14:textId="77777777" w:rsidR="005F4670" w:rsidRPr="00B4171E" w:rsidRDefault="005F4670" w:rsidP="00307FC4">
            <w:pPr>
              <w:jc w:val="center"/>
              <w:rPr>
                <w:rFonts w:ascii="Arial" w:eastAsia="Times New Roman" w:hAnsi="Arial" w:cs="Arial"/>
                <w:color w:val="000000"/>
                <w:sz w:val="20"/>
                <w:szCs w:val="20"/>
                <w:lang w:eastAsia="en-GB"/>
              </w:rPr>
            </w:pPr>
          </w:p>
        </w:tc>
        <w:tc>
          <w:tcPr>
            <w:tcW w:w="1329" w:type="dxa"/>
            <w:tcBorders>
              <w:top w:val="single" w:sz="4" w:space="0" w:color="A6A6A6" w:themeColor="background1" w:themeShade="A6"/>
              <w:left w:val="double" w:sz="4" w:space="0" w:color="auto"/>
              <w:bottom w:val="single" w:sz="4" w:space="0" w:color="A6A6A6" w:themeColor="background1" w:themeShade="A6"/>
              <w:right w:val="single" w:sz="4" w:space="0" w:color="A6A6A6" w:themeColor="background1" w:themeShade="A6"/>
            </w:tcBorders>
            <w:noWrap/>
            <w:vAlign w:val="center"/>
            <w:hideMark/>
          </w:tcPr>
          <w:p w14:paraId="37995E14"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Healthy Control</w:t>
            </w:r>
          </w:p>
        </w:tc>
        <w:tc>
          <w:tcPr>
            <w:tcW w:w="1418" w:type="dxa"/>
            <w:tcBorders>
              <w:top w:val="single" w:sz="4" w:space="0" w:color="A6A6A6" w:themeColor="background1" w:themeShade="A6"/>
              <w:left w:val="single" w:sz="4" w:space="0" w:color="A6A6A6" w:themeColor="background1" w:themeShade="A6"/>
              <w:bottom w:val="single" w:sz="4" w:space="0" w:color="A6A6A6" w:themeColor="background1" w:themeShade="A6"/>
              <w:right w:val="double" w:sz="4" w:space="0" w:color="auto"/>
            </w:tcBorders>
            <w:noWrap/>
            <w:vAlign w:val="center"/>
            <w:hideMark/>
          </w:tcPr>
          <w:p w14:paraId="11BAF777"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Pre-manifest HD</w:t>
            </w:r>
          </w:p>
        </w:tc>
        <w:tc>
          <w:tcPr>
            <w:tcW w:w="1276" w:type="dxa"/>
            <w:tcBorders>
              <w:top w:val="single" w:sz="4" w:space="0" w:color="A6A6A6" w:themeColor="background1" w:themeShade="A6"/>
              <w:left w:val="double" w:sz="4" w:space="0" w:color="auto"/>
              <w:bottom w:val="single" w:sz="4" w:space="0" w:color="A6A6A6" w:themeColor="background1" w:themeShade="A6"/>
              <w:right w:val="single" w:sz="4" w:space="0" w:color="A6A6A6" w:themeColor="background1" w:themeShade="A6"/>
            </w:tcBorders>
            <w:noWrap/>
            <w:vAlign w:val="center"/>
            <w:hideMark/>
          </w:tcPr>
          <w:p w14:paraId="4CB44DAC"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Healthy Control</w:t>
            </w:r>
          </w:p>
        </w:tc>
        <w:tc>
          <w:tcPr>
            <w:tcW w:w="1559" w:type="dxa"/>
            <w:tcBorders>
              <w:top w:val="single" w:sz="4" w:space="0" w:color="A6A6A6" w:themeColor="background1" w:themeShade="A6"/>
              <w:left w:val="single" w:sz="4" w:space="0" w:color="A6A6A6" w:themeColor="background1" w:themeShade="A6"/>
              <w:bottom w:val="single" w:sz="4" w:space="0" w:color="A6A6A6" w:themeColor="background1" w:themeShade="A6"/>
              <w:right w:val="double" w:sz="4" w:space="0" w:color="auto"/>
            </w:tcBorders>
            <w:noWrap/>
            <w:vAlign w:val="center"/>
            <w:hideMark/>
          </w:tcPr>
          <w:p w14:paraId="3C14973A"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Pre-manifest HD</w:t>
            </w:r>
          </w:p>
        </w:tc>
        <w:tc>
          <w:tcPr>
            <w:tcW w:w="1559" w:type="dxa"/>
            <w:tcBorders>
              <w:top w:val="single" w:sz="4" w:space="0" w:color="A6A6A6" w:themeColor="background1" w:themeShade="A6"/>
              <w:left w:val="double" w:sz="4" w:space="0" w:color="auto"/>
              <w:bottom w:val="single" w:sz="4" w:space="0" w:color="A6A6A6" w:themeColor="background1" w:themeShade="A6"/>
              <w:right w:val="nil"/>
            </w:tcBorders>
            <w:noWrap/>
            <w:vAlign w:val="center"/>
            <w:hideMark/>
          </w:tcPr>
          <w:p w14:paraId="7CFA5A71"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Pre-manifest HD</w:t>
            </w:r>
          </w:p>
        </w:tc>
      </w:tr>
      <w:tr w:rsidR="00307FC4" w:rsidRPr="00B4171E" w14:paraId="56ADCC11" w14:textId="77777777" w:rsidTr="00981AF6">
        <w:trPr>
          <w:trHeight w:val="278"/>
        </w:trPr>
        <w:tc>
          <w:tcPr>
            <w:tcW w:w="939" w:type="dxa"/>
            <w:tcBorders>
              <w:top w:val="single" w:sz="4" w:space="0" w:color="A6A6A6" w:themeColor="background1" w:themeShade="A6"/>
              <w:left w:val="nil"/>
              <w:bottom w:val="nil"/>
              <w:right w:val="double" w:sz="4" w:space="0" w:color="auto"/>
            </w:tcBorders>
            <w:noWrap/>
            <w:vAlign w:val="center"/>
            <w:hideMark/>
          </w:tcPr>
          <w:p w14:paraId="016D4C9F"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Range</w:t>
            </w:r>
          </w:p>
        </w:tc>
        <w:tc>
          <w:tcPr>
            <w:tcW w:w="1329" w:type="dxa"/>
            <w:tcBorders>
              <w:top w:val="single" w:sz="4" w:space="0" w:color="A6A6A6" w:themeColor="background1" w:themeShade="A6"/>
              <w:left w:val="double" w:sz="4" w:space="0" w:color="auto"/>
              <w:bottom w:val="nil"/>
              <w:right w:val="single" w:sz="4" w:space="0" w:color="A6A6A6" w:themeColor="background1" w:themeShade="A6"/>
            </w:tcBorders>
            <w:noWrap/>
            <w:vAlign w:val="center"/>
            <w:hideMark/>
          </w:tcPr>
          <w:p w14:paraId="592131FF"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23 - 66</w:t>
            </w:r>
          </w:p>
        </w:tc>
        <w:tc>
          <w:tcPr>
            <w:tcW w:w="1418" w:type="dxa"/>
            <w:tcBorders>
              <w:top w:val="single" w:sz="4" w:space="0" w:color="A6A6A6" w:themeColor="background1" w:themeShade="A6"/>
              <w:left w:val="single" w:sz="4" w:space="0" w:color="A6A6A6" w:themeColor="background1" w:themeShade="A6"/>
              <w:bottom w:val="nil"/>
              <w:right w:val="double" w:sz="4" w:space="0" w:color="auto"/>
            </w:tcBorders>
            <w:noWrap/>
            <w:vAlign w:val="center"/>
            <w:hideMark/>
          </w:tcPr>
          <w:p w14:paraId="6987F35B"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19 - 64</w:t>
            </w:r>
          </w:p>
        </w:tc>
        <w:tc>
          <w:tcPr>
            <w:tcW w:w="1276" w:type="dxa"/>
            <w:tcBorders>
              <w:top w:val="single" w:sz="4" w:space="0" w:color="A6A6A6" w:themeColor="background1" w:themeShade="A6"/>
              <w:left w:val="double" w:sz="4" w:space="0" w:color="auto"/>
              <w:bottom w:val="nil"/>
              <w:right w:val="single" w:sz="4" w:space="0" w:color="A6A6A6" w:themeColor="background1" w:themeShade="A6"/>
            </w:tcBorders>
            <w:noWrap/>
            <w:vAlign w:val="center"/>
            <w:hideMark/>
          </w:tcPr>
          <w:p w14:paraId="1F8FC8B2"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30 - 78</w:t>
            </w:r>
          </w:p>
        </w:tc>
        <w:tc>
          <w:tcPr>
            <w:tcW w:w="1559" w:type="dxa"/>
            <w:tcBorders>
              <w:top w:val="single" w:sz="4" w:space="0" w:color="A6A6A6" w:themeColor="background1" w:themeShade="A6"/>
              <w:left w:val="single" w:sz="4" w:space="0" w:color="A6A6A6" w:themeColor="background1" w:themeShade="A6"/>
              <w:bottom w:val="nil"/>
              <w:right w:val="double" w:sz="4" w:space="0" w:color="auto"/>
            </w:tcBorders>
            <w:noWrap/>
            <w:vAlign w:val="center"/>
            <w:hideMark/>
          </w:tcPr>
          <w:p w14:paraId="6A1317F3"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30 - 80</w:t>
            </w:r>
          </w:p>
        </w:tc>
        <w:tc>
          <w:tcPr>
            <w:tcW w:w="1559" w:type="dxa"/>
            <w:tcBorders>
              <w:top w:val="single" w:sz="4" w:space="0" w:color="A6A6A6" w:themeColor="background1" w:themeShade="A6"/>
              <w:left w:val="double" w:sz="4" w:space="0" w:color="auto"/>
              <w:bottom w:val="nil"/>
              <w:right w:val="nil"/>
            </w:tcBorders>
            <w:noWrap/>
            <w:vAlign w:val="center"/>
            <w:hideMark/>
          </w:tcPr>
          <w:p w14:paraId="798AA376"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39 - 52</w:t>
            </w:r>
          </w:p>
        </w:tc>
      </w:tr>
      <w:tr w:rsidR="00307FC4" w:rsidRPr="00B4171E" w14:paraId="4CF43691" w14:textId="77777777" w:rsidTr="00307FC4">
        <w:trPr>
          <w:trHeight w:val="278"/>
        </w:trPr>
        <w:tc>
          <w:tcPr>
            <w:tcW w:w="939" w:type="dxa"/>
            <w:tcBorders>
              <w:top w:val="nil"/>
              <w:left w:val="nil"/>
              <w:bottom w:val="nil"/>
              <w:right w:val="double" w:sz="4" w:space="0" w:color="auto"/>
            </w:tcBorders>
            <w:shd w:val="clear" w:color="auto" w:fill="F2F2F2" w:themeFill="background1" w:themeFillShade="F2"/>
            <w:noWrap/>
            <w:vAlign w:val="center"/>
            <w:hideMark/>
          </w:tcPr>
          <w:p w14:paraId="647A9F16"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Mean</w:t>
            </w:r>
          </w:p>
        </w:tc>
        <w:tc>
          <w:tcPr>
            <w:tcW w:w="1329" w:type="dxa"/>
            <w:tcBorders>
              <w:top w:val="nil"/>
              <w:left w:val="double" w:sz="4" w:space="0" w:color="auto"/>
              <w:bottom w:val="nil"/>
              <w:right w:val="single" w:sz="4" w:space="0" w:color="A6A6A6" w:themeColor="background1" w:themeShade="A6"/>
            </w:tcBorders>
            <w:shd w:val="clear" w:color="auto" w:fill="F2F2F2" w:themeFill="background1" w:themeFillShade="F2"/>
            <w:noWrap/>
            <w:vAlign w:val="center"/>
            <w:hideMark/>
          </w:tcPr>
          <w:p w14:paraId="4F35F2F2"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46.2</w:t>
            </w:r>
          </w:p>
        </w:tc>
        <w:tc>
          <w:tcPr>
            <w:tcW w:w="1418" w:type="dxa"/>
            <w:tcBorders>
              <w:top w:val="nil"/>
              <w:left w:val="single" w:sz="4" w:space="0" w:color="A6A6A6" w:themeColor="background1" w:themeShade="A6"/>
              <w:bottom w:val="nil"/>
              <w:right w:val="double" w:sz="4" w:space="0" w:color="auto"/>
            </w:tcBorders>
            <w:shd w:val="clear" w:color="auto" w:fill="F2F2F2" w:themeFill="background1" w:themeFillShade="F2"/>
            <w:noWrap/>
            <w:vAlign w:val="center"/>
            <w:hideMark/>
          </w:tcPr>
          <w:p w14:paraId="63B61397"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40.8</w:t>
            </w:r>
          </w:p>
        </w:tc>
        <w:tc>
          <w:tcPr>
            <w:tcW w:w="1276" w:type="dxa"/>
            <w:tcBorders>
              <w:top w:val="nil"/>
              <w:left w:val="double" w:sz="4" w:space="0" w:color="auto"/>
              <w:bottom w:val="nil"/>
              <w:right w:val="single" w:sz="4" w:space="0" w:color="A6A6A6" w:themeColor="background1" w:themeShade="A6"/>
            </w:tcBorders>
            <w:shd w:val="clear" w:color="auto" w:fill="F2F2F2" w:themeFill="background1" w:themeFillShade="F2"/>
            <w:noWrap/>
            <w:vAlign w:val="center"/>
            <w:hideMark/>
          </w:tcPr>
          <w:p w14:paraId="5B1A745A"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52.2</w:t>
            </w:r>
          </w:p>
        </w:tc>
        <w:tc>
          <w:tcPr>
            <w:tcW w:w="1559" w:type="dxa"/>
            <w:tcBorders>
              <w:top w:val="nil"/>
              <w:left w:val="single" w:sz="4" w:space="0" w:color="A6A6A6" w:themeColor="background1" w:themeShade="A6"/>
              <w:bottom w:val="nil"/>
              <w:right w:val="double" w:sz="4" w:space="0" w:color="auto"/>
            </w:tcBorders>
            <w:shd w:val="clear" w:color="auto" w:fill="F2F2F2" w:themeFill="background1" w:themeFillShade="F2"/>
            <w:noWrap/>
            <w:vAlign w:val="center"/>
            <w:hideMark/>
          </w:tcPr>
          <w:p w14:paraId="20EE7B23"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51.3</w:t>
            </w:r>
          </w:p>
        </w:tc>
        <w:tc>
          <w:tcPr>
            <w:tcW w:w="1559" w:type="dxa"/>
            <w:tcBorders>
              <w:top w:val="nil"/>
              <w:left w:val="double" w:sz="4" w:space="0" w:color="auto"/>
              <w:bottom w:val="nil"/>
              <w:right w:val="nil"/>
            </w:tcBorders>
            <w:shd w:val="clear" w:color="auto" w:fill="F2F2F2" w:themeFill="background1" w:themeFillShade="F2"/>
            <w:noWrap/>
            <w:vAlign w:val="center"/>
            <w:hideMark/>
          </w:tcPr>
          <w:p w14:paraId="77F6AA67"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43.1</w:t>
            </w:r>
          </w:p>
        </w:tc>
      </w:tr>
      <w:tr w:rsidR="008F6B2E" w:rsidRPr="00B4171E" w14:paraId="20E7A588" w14:textId="77777777" w:rsidTr="00307FC4">
        <w:trPr>
          <w:trHeight w:val="278"/>
        </w:trPr>
        <w:tc>
          <w:tcPr>
            <w:tcW w:w="939" w:type="dxa"/>
            <w:tcBorders>
              <w:top w:val="nil"/>
              <w:left w:val="nil"/>
              <w:bottom w:val="nil"/>
              <w:right w:val="double" w:sz="4" w:space="0" w:color="auto"/>
            </w:tcBorders>
            <w:noWrap/>
            <w:vAlign w:val="center"/>
            <w:hideMark/>
          </w:tcPr>
          <w:p w14:paraId="4FDE29F9" w14:textId="351F9285"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Std Dev</w:t>
            </w:r>
          </w:p>
        </w:tc>
        <w:tc>
          <w:tcPr>
            <w:tcW w:w="1329" w:type="dxa"/>
            <w:tcBorders>
              <w:top w:val="nil"/>
              <w:left w:val="double" w:sz="4" w:space="0" w:color="auto"/>
              <w:bottom w:val="nil"/>
              <w:right w:val="single" w:sz="4" w:space="0" w:color="A6A6A6" w:themeColor="background1" w:themeShade="A6"/>
            </w:tcBorders>
            <w:noWrap/>
            <w:vAlign w:val="center"/>
            <w:hideMark/>
          </w:tcPr>
          <w:p w14:paraId="18FD125F"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10.3</w:t>
            </w:r>
          </w:p>
        </w:tc>
        <w:tc>
          <w:tcPr>
            <w:tcW w:w="1418" w:type="dxa"/>
            <w:tcBorders>
              <w:top w:val="nil"/>
              <w:left w:val="single" w:sz="4" w:space="0" w:color="A6A6A6" w:themeColor="background1" w:themeShade="A6"/>
              <w:bottom w:val="nil"/>
              <w:right w:val="double" w:sz="4" w:space="0" w:color="auto"/>
            </w:tcBorders>
            <w:noWrap/>
            <w:vAlign w:val="center"/>
            <w:hideMark/>
          </w:tcPr>
          <w:p w14:paraId="3FB682FB"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8.9</w:t>
            </w:r>
          </w:p>
        </w:tc>
        <w:tc>
          <w:tcPr>
            <w:tcW w:w="1276" w:type="dxa"/>
            <w:tcBorders>
              <w:top w:val="nil"/>
              <w:left w:val="double" w:sz="4" w:space="0" w:color="auto"/>
              <w:bottom w:val="nil"/>
              <w:right w:val="single" w:sz="4" w:space="0" w:color="A6A6A6" w:themeColor="background1" w:themeShade="A6"/>
            </w:tcBorders>
            <w:noWrap/>
            <w:vAlign w:val="center"/>
            <w:hideMark/>
          </w:tcPr>
          <w:p w14:paraId="57CBA110"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9.5</w:t>
            </w:r>
          </w:p>
        </w:tc>
        <w:tc>
          <w:tcPr>
            <w:tcW w:w="1559" w:type="dxa"/>
            <w:tcBorders>
              <w:top w:val="nil"/>
              <w:left w:val="single" w:sz="4" w:space="0" w:color="A6A6A6" w:themeColor="background1" w:themeShade="A6"/>
              <w:bottom w:val="nil"/>
              <w:right w:val="double" w:sz="4" w:space="0" w:color="auto"/>
            </w:tcBorders>
            <w:noWrap/>
            <w:vAlign w:val="center"/>
            <w:hideMark/>
          </w:tcPr>
          <w:p w14:paraId="39EEC066"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10.2</w:t>
            </w:r>
          </w:p>
        </w:tc>
        <w:tc>
          <w:tcPr>
            <w:tcW w:w="1559" w:type="dxa"/>
            <w:tcBorders>
              <w:top w:val="nil"/>
              <w:left w:val="double" w:sz="4" w:space="0" w:color="auto"/>
              <w:bottom w:val="nil"/>
              <w:right w:val="nil"/>
            </w:tcBorders>
            <w:noWrap/>
            <w:vAlign w:val="center"/>
            <w:hideMark/>
          </w:tcPr>
          <w:p w14:paraId="1757DDE0"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2.4</w:t>
            </w:r>
          </w:p>
        </w:tc>
      </w:tr>
      <w:tr w:rsidR="00307FC4" w:rsidRPr="00B4171E" w14:paraId="06B2414F" w14:textId="77777777" w:rsidTr="00307FC4">
        <w:trPr>
          <w:trHeight w:val="278"/>
        </w:trPr>
        <w:tc>
          <w:tcPr>
            <w:tcW w:w="939" w:type="dxa"/>
            <w:tcBorders>
              <w:top w:val="nil"/>
              <w:left w:val="nil"/>
              <w:bottom w:val="nil"/>
              <w:right w:val="double" w:sz="4" w:space="0" w:color="auto"/>
            </w:tcBorders>
            <w:shd w:val="clear" w:color="auto" w:fill="F2F2F2" w:themeFill="background1" w:themeFillShade="F2"/>
            <w:noWrap/>
            <w:vAlign w:val="center"/>
            <w:hideMark/>
          </w:tcPr>
          <w:p w14:paraId="71C60CFF"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Skew</w:t>
            </w:r>
          </w:p>
        </w:tc>
        <w:tc>
          <w:tcPr>
            <w:tcW w:w="1329" w:type="dxa"/>
            <w:tcBorders>
              <w:top w:val="nil"/>
              <w:left w:val="double" w:sz="4" w:space="0" w:color="auto"/>
              <w:bottom w:val="nil"/>
              <w:right w:val="single" w:sz="4" w:space="0" w:color="A6A6A6" w:themeColor="background1" w:themeShade="A6"/>
            </w:tcBorders>
            <w:shd w:val="clear" w:color="auto" w:fill="F2F2F2" w:themeFill="background1" w:themeFillShade="F2"/>
            <w:noWrap/>
            <w:vAlign w:val="center"/>
            <w:hideMark/>
          </w:tcPr>
          <w:p w14:paraId="55ED947D"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0</w:t>
            </w:r>
          </w:p>
        </w:tc>
        <w:tc>
          <w:tcPr>
            <w:tcW w:w="1418" w:type="dxa"/>
            <w:tcBorders>
              <w:top w:val="nil"/>
              <w:left w:val="single" w:sz="4" w:space="0" w:color="A6A6A6" w:themeColor="background1" w:themeShade="A6"/>
              <w:bottom w:val="nil"/>
              <w:right w:val="double" w:sz="4" w:space="0" w:color="auto"/>
            </w:tcBorders>
            <w:shd w:val="clear" w:color="auto" w:fill="F2F2F2" w:themeFill="background1" w:themeFillShade="F2"/>
            <w:noWrap/>
            <w:vAlign w:val="center"/>
            <w:hideMark/>
          </w:tcPr>
          <w:p w14:paraId="16665103"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0.3</w:t>
            </w:r>
          </w:p>
        </w:tc>
        <w:tc>
          <w:tcPr>
            <w:tcW w:w="1276" w:type="dxa"/>
            <w:tcBorders>
              <w:top w:val="nil"/>
              <w:left w:val="double" w:sz="4" w:space="0" w:color="auto"/>
              <w:bottom w:val="nil"/>
              <w:right w:val="single" w:sz="4" w:space="0" w:color="A6A6A6" w:themeColor="background1" w:themeShade="A6"/>
            </w:tcBorders>
            <w:shd w:val="clear" w:color="auto" w:fill="F2F2F2" w:themeFill="background1" w:themeFillShade="F2"/>
            <w:noWrap/>
            <w:vAlign w:val="center"/>
            <w:hideMark/>
          </w:tcPr>
          <w:p w14:paraId="6E3E8C25"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-0.1</w:t>
            </w:r>
          </w:p>
        </w:tc>
        <w:tc>
          <w:tcPr>
            <w:tcW w:w="1559" w:type="dxa"/>
            <w:tcBorders>
              <w:top w:val="nil"/>
              <w:left w:val="single" w:sz="4" w:space="0" w:color="A6A6A6" w:themeColor="background1" w:themeShade="A6"/>
              <w:bottom w:val="nil"/>
              <w:right w:val="double" w:sz="4" w:space="0" w:color="auto"/>
            </w:tcBorders>
            <w:shd w:val="clear" w:color="auto" w:fill="F2F2F2" w:themeFill="background1" w:themeFillShade="F2"/>
            <w:noWrap/>
            <w:vAlign w:val="center"/>
            <w:hideMark/>
          </w:tcPr>
          <w:p w14:paraId="70936026"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0.2</w:t>
            </w:r>
          </w:p>
        </w:tc>
        <w:tc>
          <w:tcPr>
            <w:tcW w:w="1559" w:type="dxa"/>
            <w:tcBorders>
              <w:top w:val="nil"/>
              <w:left w:val="double" w:sz="4" w:space="0" w:color="auto"/>
              <w:bottom w:val="nil"/>
              <w:right w:val="nil"/>
            </w:tcBorders>
            <w:shd w:val="clear" w:color="auto" w:fill="F2F2F2" w:themeFill="background1" w:themeFillShade="F2"/>
            <w:noWrap/>
            <w:vAlign w:val="center"/>
            <w:hideMark/>
          </w:tcPr>
          <w:p w14:paraId="60DC839E"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1</w:t>
            </w:r>
          </w:p>
        </w:tc>
      </w:tr>
      <w:tr w:rsidR="00307FC4" w:rsidRPr="00B4171E" w14:paraId="72400CC1" w14:textId="77777777" w:rsidTr="00307FC4">
        <w:trPr>
          <w:trHeight w:val="278"/>
        </w:trPr>
        <w:tc>
          <w:tcPr>
            <w:tcW w:w="939" w:type="dxa"/>
            <w:tcBorders>
              <w:top w:val="nil"/>
              <w:left w:val="nil"/>
              <w:bottom w:val="single" w:sz="12" w:space="0" w:color="auto"/>
              <w:right w:val="double" w:sz="4" w:space="0" w:color="auto"/>
            </w:tcBorders>
            <w:noWrap/>
            <w:vAlign w:val="center"/>
            <w:hideMark/>
          </w:tcPr>
          <w:p w14:paraId="7F801F4E"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Kurtosis</w:t>
            </w:r>
          </w:p>
        </w:tc>
        <w:tc>
          <w:tcPr>
            <w:tcW w:w="1329" w:type="dxa"/>
            <w:tcBorders>
              <w:top w:val="nil"/>
              <w:left w:val="double" w:sz="4" w:space="0" w:color="auto"/>
              <w:bottom w:val="single" w:sz="12" w:space="0" w:color="auto"/>
              <w:right w:val="single" w:sz="4" w:space="0" w:color="A6A6A6" w:themeColor="background1" w:themeShade="A6"/>
            </w:tcBorders>
            <w:noWrap/>
            <w:vAlign w:val="center"/>
            <w:hideMark/>
          </w:tcPr>
          <w:p w14:paraId="713DE899"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2.2</w:t>
            </w:r>
          </w:p>
        </w:tc>
        <w:tc>
          <w:tcPr>
            <w:tcW w:w="1418" w:type="dxa"/>
            <w:tcBorders>
              <w:top w:val="nil"/>
              <w:left w:val="single" w:sz="4" w:space="0" w:color="A6A6A6" w:themeColor="background1" w:themeShade="A6"/>
              <w:bottom w:val="single" w:sz="12" w:space="0" w:color="auto"/>
              <w:right w:val="double" w:sz="4" w:space="0" w:color="auto"/>
            </w:tcBorders>
            <w:noWrap/>
            <w:vAlign w:val="center"/>
            <w:hideMark/>
          </w:tcPr>
          <w:p w14:paraId="6F1119C2"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3</w:t>
            </w:r>
          </w:p>
        </w:tc>
        <w:tc>
          <w:tcPr>
            <w:tcW w:w="1276" w:type="dxa"/>
            <w:tcBorders>
              <w:top w:val="nil"/>
              <w:left w:val="double" w:sz="4" w:space="0" w:color="auto"/>
              <w:bottom w:val="single" w:sz="12" w:space="0" w:color="auto"/>
              <w:right w:val="single" w:sz="4" w:space="0" w:color="A6A6A6" w:themeColor="background1" w:themeShade="A6"/>
            </w:tcBorders>
            <w:noWrap/>
            <w:vAlign w:val="center"/>
            <w:hideMark/>
          </w:tcPr>
          <w:p w14:paraId="7E162221"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2.9</w:t>
            </w:r>
          </w:p>
        </w:tc>
        <w:tc>
          <w:tcPr>
            <w:tcW w:w="1559" w:type="dxa"/>
            <w:tcBorders>
              <w:top w:val="nil"/>
              <w:left w:val="single" w:sz="4" w:space="0" w:color="A6A6A6" w:themeColor="background1" w:themeShade="A6"/>
              <w:bottom w:val="single" w:sz="12" w:space="0" w:color="auto"/>
              <w:right w:val="double" w:sz="4" w:space="0" w:color="auto"/>
            </w:tcBorders>
            <w:noWrap/>
            <w:vAlign w:val="center"/>
            <w:hideMark/>
          </w:tcPr>
          <w:p w14:paraId="32285987"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2.7</w:t>
            </w:r>
          </w:p>
        </w:tc>
        <w:tc>
          <w:tcPr>
            <w:tcW w:w="1559" w:type="dxa"/>
            <w:tcBorders>
              <w:top w:val="nil"/>
              <w:left w:val="double" w:sz="4" w:space="0" w:color="auto"/>
              <w:bottom w:val="single" w:sz="12" w:space="0" w:color="auto"/>
              <w:right w:val="nil"/>
            </w:tcBorders>
            <w:noWrap/>
            <w:vAlign w:val="center"/>
            <w:hideMark/>
          </w:tcPr>
          <w:p w14:paraId="50FF6E87" w14:textId="77777777" w:rsidR="005F4670" w:rsidRPr="00B4171E" w:rsidRDefault="005F4670" w:rsidP="00307FC4">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4.5</w:t>
            </w:r>
          </w:p>
        </w:tc>
      </w:tr>
      <w:tr w:rsidR="005F4670" w:rsidRPr="00B4171E" w14:paraId="3C443F2F" w14:textId="77777777" w:rsidTr="00307FC4">
        <w:trPr>
          <w:trHeight w:val="278"/>
        </w:trPr>
        <w:tc>
          <w:tcPr>
            <w:tcW w:w="8080" w:type="dxa"/>
            <w:gridSpan w:val="6"/>
            <w:tcBorders>
              <w:top w:val="single" w:sz="12" w:space="0" w:color="auto"/>
              <w:left w:val="nil"/>
              <w:bottom w:val="nil"/>
              <w:right w:val="nil"/>
            </w:tcBorders>
            <w:noWrap/>
            <w:vAlign w:val="center"/>
          </w:tcPr>
          <w:p w14:paraId="74352DAF" w14:textId="782257D6" w:rsidR="008D2C6F" w:rsidRPr="00B4171E" w:rsidRDefault="008D2C6F" w:rsidP="00307FC4">
            <w:pPr>
              <w:rPr>
                <w:rFonts w:ascii="Arial" w:eastAsia="Times New Roman" w:hAnsi="Arial" w:cs="Arial"/>
                <w:i/>
                <w:iCs/>
                <w:color w:val="262626" w:themeColor="text1" w:themeTint="D9"/>
                <w:sz w:val="20"/>
                <w:szCs w:val="20"/>
                <w:lang w:eastAsia="en-GB"/>
              </w:rPr>
            </w:pPr>
            <w:r w:rsidRPr="00B4171E">
              <w:rPr>
                <w:rFonts w:ascii="Arial" w:eastAsia="Times New Roman" w:hAnsi="Arial" w:cs="Arial"/>
                <w:i/>
                <w:iCs/>
                <w:color w:val="262626" w:themeColor="text1" w:themeTint="D9"/>
                <w:sz w:val="20"/>
                <w:szCs w:val="20"/>
                <w:lang w:eastAsia="en-GB"/>
              </w:rPr>
              <w:t>Table 1. Summary statistics</w:t>
            </w:r>
          </w:p>
          <w:p w14:paraId="097826FE" w14:textId="77777777" w:rsidR="008D2C6F" w:rsidRPr="00B4171E" w:rsidRDefault="008D2C6F" w:rsidP="00307FC4">
            <w:pPr>
              <w:jc w:val="center"/>
              <w:rPr>
                <w:rFonts w:ascii="Arial" w:eastAsia="Times New Roman" w:hAnsi="Arial" w:cs="Arial"/>
                <w:i/>
                <w:iCs/>
                <w:color w:val="404040" w:themeColor="text1" w:themeTint="BF"/>
                <w:sz w:val="8"/>
                <w:szCs w:val="8"/>
                <w:lang w:eastAsia="en-GB"/>
              </w:rPr>
            </w:pPr>
          </w:p>
          <w:p w14:paraId="31D8BE2B" w14:textId="3CF31D19" w:rsidR="006A4032" w:rsidRPr="00B4171E" w:rsidRDefault="008F6B2E" w:rsidP="00307FC4">
            <w:pPr>
              <w:rPr>
                <w:rFonts w:ascii="Arial" w:eastAsia="Times New Roman" w:hAnsi="Arial" w:cs="Arial"/>
                <w:i/>
                <w:iCs/>
                <w:color w:val="767171" w:themeColor="background2" w:themeShade="80"/>
                <w:sz w:val="17"/>
                <w:szCs w:val="17"/>
                <w:lang w:eastAsia="en-GB"/>
              </w:rPr>
            </w:pPr>
            <w:r w:rsidRPr="00B4171E">
              <w:rPr>
                <w:rFonts w:ascii="Arial" w:eastAsia="Times New Roman" w:hAnsi="Arial" w:cs="Arial"/>
                <w:i/>
                <w:iCs/>
                <w:color w:val="767171" w:themeColor="background2" w:themeShade="80"/>
                <w:sz w:val="17"/>
                <w:szCs w:val="17"/>
                <w:lang w:eastAsia="en-GB"/>
              </w:rPr>
              <w:t xml:space="preserve">HD – Huntington’s Disease, SDMT </w:t>
            </w:r>
            <w:r w:rsidR="0064732A" w:rsidRPr="00B4171E">
              <w:rPr>
                <w:rFonts w:ascii="Arial" w:eastAsia="Times New Roman" w:hAnsi="Arial" w:cs="Arial"/>
                <w:i/>
                <w:iCs/>
                <w:color w:val="767171" w:themeColor="background2" w:themeShade="80"/>
                <w:sz w:val="17"/>
                <w:szCs w:val="17"/>
                <w:lang w:eastAsia="en-GB"/>
              </w:rPr>
              <w:t>–</w:t>
            </w:r>
            <w:r w:rsidRPr="00B4171E">
              <w:rPr>
                <w:rFonts w:ascii="Arial" w:eastAsia="Times New Roman" w:hAnsi="Arial" w:cs="Arial"/>
                <w:i/>
                <w:iCs/>
                <w:color w:val="767171" w:themeColor="background2" w:themeShade="80"/>
                <w:sz w:val="17"/>
                <w:szCs w:val="17"/>
                <w:lang w:eastAsia="en-GB"/>
              </w:rPr>
              <w:t xml:space="preserve"> symbol digit modalities test score</w:t>
            </w:r>
            <w:r w:rsidR="008D2C6F" w:rsidRPr="00B4171E">
              <w:rPr>
                <w:rFonts w:ascii="Arial" w:eastAsia="Times New Roman" w:hAnsi="Arial" w:cs="Arial"/>
                <w:i/>
                <w:iCs/>
                <w:color w:val="767171" w:themeColor="background2" w:themeShade="80"/>
                <w:sz w:val="17"/>
                <w:szCs w:val="17"/>
                <w:lang w:eastAsia="en-GB"/>
              </w:rPr>
              <w:t>, Std Dev – Standard Deviation</w:t>
            </w:r>
          </w:p>
          <w:p w14:paraId="3FB40218" w14:textId="77777777" w:rsidR="006A4032" w:rsidRPr="00B4171E" w:rsidRDefault="008D2C6F" w:rsidP="00307FC4">
            <w:pPr>
              <w:rPr>
                <w:rFonts w:ascii="Arial" w:eastAsia="Times New Roman" w:hAnsi="Arial" w:cs="Arial"/>
                <w:i/>
                <w:iCs/>
                <w:color w:val="767171" w:themeColor="background2" w:themeShade="80"/>
                <w:sz w:val="17"/>
                <w:szCs w:val="17"/>
                <w:lang w:eastAsia="en-GB"/>
              </w:rPr>
            </w:pPr>
            <w:r w:rsidRPr="00B4171E">
              <w:rPr>
                <w:rFonts w:ascii="Arial" w:eastAsia="Times New Roman" w:hAnsi="Arial" w:cs="Arial"/>
                <w:i/>
                <w:iCs/>
                <w:color w:val="767171" w:themeColor="background2" w:themeShade="80"/>
                <w:sz w:val="17"/>
                <w:szCs w:val="17"/>
                <w:lang w:eastAsia="en-GB"/>
              </w:rPr>
              <w:t>Higher values of SDMT are better, maximum value possible is 110</w:t>
            </w:r>
          </w:p>
          <w:p w14:paraId="439C1593" w14:textId="6DE6861D" w:rsidR="008F6B2E" w:rsidRPr="00B4171E" w:rsidRDefault="008F6B2E" w:rsidP="00307FC4">
            <w:pPr>
              <w:rPr>
                <w:rFonts w:ascii="Arial" w:eastAsia="Times New Roman" w:hAnsi="Arial" w:cs="Arial"/>
                <w:i/>
                <w:iCs/>
                <w:color w:val="767171" w:themeColor="background2" w:themeShade="80"/>
                <w:sz w:val="17"/>
                <w:szCs w:val="17"/>
                <w:lang w:eastAsia="en-GB"/>
              </w:rPr>
            </w:pPr>
            <w:r w:rsidRPr="00B4171E">
              <w:rPr>
                <w:rFonts w:ascii="Arial" w:eastAsia="Times New Roman" w:hAnsi="Arial" w:cs="Arial"/>
                <w:i/>
                <w:iCs/>
                <w:color w:val="767171" w:themeColor="background2" w:themeShade="80"/>
                <w:sz w:val="17"/>
                <w:szCs w:val="17"/>
                <w:lang w:eastAsia="en-GB"/>
              </w:rPr>
              <w:t xml:space="preserve">CAG repeat length not </w:t>
            </w:r>
            <w:r w:rsidR="008D2C6F" w:rsidRPr="00B4171E">
              <w:rPr>
                <w:rFonts w:ascii="Arial" w:eastAsia="Times New Roman" w:hAnsi="Arial" w:cs="Arial"/>
                <w:i/>
                <w:iCs/>
                <w:color w:val="767171" w:themeColor="background2" w:themeShade="80"/>
                <w:sz w:val="17"/>
                <w:szCs w:val="17"/>
                <w:lang w:eastAsia="en-GB"/>
              </w:rPr>
              <w:t>recorded in controls</w:t>
            </w:r>
          </w:p>
          <w:p w14:paraId="31559BBC" w14:textId="4A413BB3" w:rsidR="00307FC4" w:rsidRPr="00B4171E" w:rsidRDefault="00307FC4" w:rsidP="00307FC4">
            <w:pPr>
              <w:jc w:val="center"/>
              <w:rPr>
                <w:rFonts w:ascii="Arial" w:eastAsia="Times New Roman" w:hAnsi="Arial" w:cs="Arial"/>
                <w:color w:val="000000"/>
                <w:sz w:val="2"/>
                <w:szCs w:val="2"/>
                <w:lang w:eastAsia="en-GB"/>
              </w:rPr>
            </w:pPr>
          </w:p>
        </w:tc>
      </w:tr>
    </w:tbl>
    <w:p w14:paraId="643CBB05" w14:textId="5D80BABF" w:rsidR="00656E97" w:rsidRPr="00B4171E" w:rsidRDefault="008F0F8F" w:rsidP="005F4670">
      <w:pPr>
        <w:rPr>
          <w:rFonts w:ascii="Arial" w:hAnsi="Arial" w:cs="Arial"/>
        </w:rPr>
      </w:pPr>
      <w:r w:rsidRPr="00B4171E">
        <w:rPr>
          <w:rFonts w:ascii="Arial" w:hAnsi="Arial" w:cs="Arial"/>
        </w:rPr>
        <w:br/>
        <w:t xml:space="preserve">Age &amp; Symbol Digit Modalities Test (SDMT) score are approximately normally distributed in both groups. Healthy controls have a higher mean age compared to the pre-manifest group, and the age distribution in healthy controls shows some evidence of light tails. </w:t>
      </w:r>
      <w:r w:rsidRPr="00B4171E">
        <w:rPr>
          <w:rFonts w:ascii="Arial" w:hAnsi="Arial" w:cs="Arial"/>
        </w:rPr>
        <w:br/>
        <w:t xml:space="preserve">CAG repeat length is </w:t>
      </w:r>
      <w:r w:rsidR="0083178D" w:rsidRPr="00B4171E">
        <w:rPr>
          <w:rFonts w:ascii="Arial" w:hAnsi="Arial" w:cs="Arial"/>
        </w:rPr>
        <w:t>right</w:t>
      </w:r>
      <w:r w:rsidRPr="00B4171E">
        <w:rPr>
          <w:rFonts w:ascii="Arial" w:hAnsi="Arial" w:cs="Arial"/>
        </w:rPr>
        <w:t xml:space="preserve"> skewed and has heavy tails, with a kurtosis of 4.5. The high kurtosis in CAG repeat length is mostly due to three observations (id 133, 151, and 167). </w:t>
      </w:r>
      <w:r w:rsidR="00404052" w:rsidRPr="00B4171E">
        <w:rPr>
          <w:rFonts w:ascii="Arial" w:hAnsi="Arial" w:cs="Arial"/>
        </w:rPr>
        <w:lastRenderedPageBreak/>
        <w:t>T</w:t>
      </w:r>
      <w:r w:rsidRPr="00B4171E">
        <w:rPr>
          <w:rFonts w:ascii="Arial" w:hAnsi="Arial" w:cs="Arial"/>
        </w:rPr>
        <w:t xml:space="preserve">here is no clinical reason to class these observations as outliers however, so they </w:t>
      </w:r>
      <w:r w:rsidR="00A3366F" w:rsidRPr="00B4171E">
        <w:rPr>
          <w:rFonts w:ascii="Arial" w:hAnsi="Arial" w:cs="Arial"/>
        </w:rPr>
        <w:t>were</w:t>
      </w:r>
      <w:r w:rsidRPr="00B4171E">
        <w:rPr>
          <w:rFonts w:ascii="Arial" w:hAnsi="Arial" w:cs="Arial"/>
        </w:rPr>
        <w:t xml:space="preserve"> not removed in any of the following analyses.</w:t>
      </w:r>
    </w:p>
    <w:p w14:paraId="07B1CB59" w14:textId="5C771842" w:rsidR="00656E97" w:rsidRPr="00B4171E" w:rsidRDefault="00656E97" w:rsidP="00656E97">
      <w:pPr>
        <w:pStyle w:val="Heading3"/>
        <w:rPr>
          <w:rFonts w:ascii="Arial" w:hAnsi="Arial" w:cs="Arial"/>
        </w:rPr>
      </w:pPr>
      <w:r w:rsidRPr="00B4171E">
        <w:rPr>
          <w:rFonts w:ascii="Arial" w:hAnsi="Arial" w:cs="Arial"/>
        </w:rPr>
        <w:t>Question 2</w:t>
      </w:r>
    </w:p>
    <w:p w14:paraId="311DC66E" w14:textId="08DFAB0D" w:rsidR="002C6C29" w:rsidRPr="00B4171E" w:rsidRDefault="00C52C85" w:rsidP="005F4670">
      <w:pPr>
        <w:rPr>
          <w:rFonts w:ascii="Arial" w:hAnsi="Arial" w:cs="Arial"/>
        </w:rPr>
      </w:pPr>
      <w:r w:rsidRPr="00B4171E">
        <w:rPr>
          <w:rFonts w:ascii="Arial" w:hAnsi="Arial" w:cs="Arial"/>
        </w:rPr>
        <w:t xml:space="preserve">A two-sided F-test shown no significant difference between the standard deviation of SDMT scores between the two groups at the 95% level (F = 0.86 on 122 &amp; 119 degrees of freedom, p = 0.41). </w:t>
      </w:r>
      <w:r w:rsidR="00C60A6D" w:rsidRPr="00B4171E">
        <w:rPr>
          <w:rFonts w:ascii="Arial" w:hAnsi="Arial" w:cs="Arial"/>
        </w:rPr>
        <w:t>A</w:t>
      </w:r>
      <w:r w:rsidRPr="00B4171E">
        <w:rPr>
          <w:rFonts w:ascii="Arial" w:hAnsi="Arial" w:cs="Arial"/>
        </w:rPr>
        <w:t>s there is no evidence of significant differences in variance between the groups, a</w:t>
      </w:r>
      <w:r w:rsidR="00C60A6D" w:rsidRPr="00B4171E">
        <w:rPr>
          <w:rFonts w:ascii="Arial" w:hAnsi="Arial" w:cs="Arial"/>
        </w:rPr>
        <w:t xml:space="preserve"> two-sided</w:t>
      </w:r>
      <w:r w:rsidR="00A3366F" w:rsidRPr="00B4171E">
        <w:rPr>
          <w:rFonts w:ascii="Arial" w:hAnsi="Arial" w:cs="Arial"/>
        </w:rPr>
        <w:t>,</w:t>
      </w:r>
      <w:r w:rsidR="00C60A6D" w:rsidRPr="00B4171E">
        <w:rPr>
          <w:rFonts w:ascii="Arial" w:hAnsi="Arial" w:cs="Arial"/>
        </w:rPr>
        <w:t xml:space="preserve"> independent</w:t>
      </w:r>
      <w:r w:rsidR="00A3366F" w:rsidRPr="00B4171E">
        <w:rPr>
          <w:rFonts w:ascii="Arial" w:hAnsi="Arial" w:cs="Arial"/>
        </w:rPr>
        <w:t>, equal variance t-test was used to assess differences in mean SDMT score across the groups. The</w:t>
      </w:r>
      <w:r w:rsidR="00C60A6D" w:rsidRPr="00B4171E">
        <w:rPr>
          <w:rFonts w:ascii="Arial" w:hAnsi="Arial" w:cs="Arial"/>
        </w:rPr>
        <w:t xml:space="preserve"> t-test show</w:t>
      </w:r>
      <w:r w:rsidR="00A3366F" w:rsidRPr="00B4171E">
        <w:rPr>
          <w:rFonts w:ascii="Arial" w:hAnsi="Arial" w:cs="Arial"/>
        </w:rPr>
        <w:t>n</w:t>
      </w:r>
      <w:r w:rsidR="00C60A6D" w:rsidRPr="00B4171E">
        <w:rPr>
          <w:rFonts w:ascii="Arial" w:hAnsi="Arial" w:cs="Arial"/>
        </w:rPr>
        <w:t xml:space="preserve"> no significant difference between mean SDMT scores in the healthy control &amp; pre-manifest HD groups</w:t>
      </w:r>
      <w:r w:rsidR="00446230" w:rsidRPr="00B4171E">
        <w:rPr>
          <w:rFonts w:ascii="Arial" w:hAnsi="Arial" w:cs="Arial"/>
        </w:rPr>
        <w:t xml:space="preserve"> at the 95% level</w:t>
      </w:r>
      <w:r w:rsidR="00C60A6D" w:rsidRPr="00B4171E">
        <w:rPr>
          <w:rFonts w:ascii="Arial" w:hAnsi="Arial" w:cs="Arial"/>
        </w:rPr>
        <w:t xml:space="preserve"> (</w:t>
      </w:r>
      <w:r w:rsidR="00B85CD9" w:rsidRPr="00B4171E">
        <w:rPr>
          <w:rFonts w:ascii="Arial" w:hAnsi="Arial" w:cs="Arial"/>
        </w:rPr>
        <w:t>t = 0.73 on 241</w:t>
      </w:r>
      <w:r w:rsidRPr="00B4171E">
        <w:rPr>
          <w:rFonts w:ascii="Arial" w:hAnsi="Arial" w:cs="Arial"/>
        </w:rPr>
        <w:t xml:space="preserve"> </w:t>
      </w:r>
      <w:r w:rsidR="00B85CD9" w:rsidRPr="00B4171E">
        <w:rPr>
          <w:rFonts w:ascii="Arial" w:hAnsi="Arial" w:cs="Arial"/>
        </w:rPr>
        <w:t>degrees of freedom, p = 0.46</w:t>
      </w:r>
      <w:r w:rsidR="00C60A6D" w:rsidRPr="00B4171E">
        <w:rPr>
          <w:rFonts w:ascii="Arial" w:hAnsi="Arial" w:cs="Arial"/>
        </w:rPr>
        <w:t>).</w:t>
      </w:r>
    </w:p>
    <w:p w14:paraId="3202810E" w14:textId="0A182B7E" w:rsidR="00446230" w:rsidRPr="00B4171E" w:rsidRDefault="00446230" w:rsidP="005F4670">
      <w:pPr>
        <w:rPr>
          <w:rFonts w:ascii="Arial" w:hAnsi="Arial" w:cs="Arial"/>
        </w:rPr>
      </w:pPr>
      <w:r w:rsidRPr="00B4171E">
        <w:rPr>
          <w:rFonts w:ascii="Arial" w:hAnsi="Arial" w:cs="Arial"/>
        </w:rPr>
        <w:t xml:space="preserve">There is a </w:t>
      </w:r>
      <w:r w:rsidR="00D550FA" w:rsidRPr="00B4171E">
        <w:rPr>
          <w:rFonts w:ascii="Arial" w:hAnsi="Arial" w:cs="Arial"/>
        </w:rPr>
        <w:t xml:space="preserve">negative </w:t>
      </w:r>
      <w:r w:rsidRPr="00B4171E">
        <w:rPr>
          <w:rFonts w:ascii="Arial" w:hAnsi="Arial" w:cs="Arial"/>
        </w:rPr>
        <w:t>correlation between age &amp; SDMT scores</w:t>
      </w:r>
      <w:r w:rsidR="000828BB" w:rsidRPr="00B4171E">
        <w:rPr>
          <w:rFonts w:ascii="Arial" w:hAnsi="Arial" w:cs="Arial"/>
        </w:rPr>
        <w:t xml:space="preserve">. In healthy controls the correlation is -0.39 </w:t>
      </w:r>
      <w:r w:rsidR="009834DF">
        <w:rPr>
          <w:rFonts w:ascii="Arial" w:hAnsi="Arial" w:cs="Arial"/>
        </w:rPr>
        <w:t xml:space="preserve">(95% CI </w:t>
      </w:r>
      <w:r w:rsidR="000828BB" w:rsidRPr="00B4171E">
        <w:rPr>
          <w:rFonts w:ascii="Arial" w:hAnsi="Arial" w:cs="Arial"/>
        </w:rPr>
        <w:t>[-0.53, -0.23]</w:t>
      </w:r>
      <w:r w:rsidR="009834DF">
        <w:rPr>
          <w:rFonts w:ascii="Arial" w:hAnsi="Arial" w:cs="Arial"/>
        </w:rPr>
        <w:t>)</w:t>
      </w:r>
      <w:r w:rsidR="000828BB" w:rsidRPr="00B4171E">
        <w:rPr>
          <w:rFonts w:ascii="Arial" w:hAnsi="Arial" w:cs="Arial"/>
        </w:rPr>
        <w:t xml:space="preserve">, and in the pre-manifest HD group </w:t>
      </w:r>
      <w:r w:rsidR="00D550FA" w:rsidRPr="00B4171E">
        <w:rPr>
          <w:rFonts w:ascii="Arial" w:hAnsi="Arial" w:cs="Arial"/>
        </w:rPr>
        <w:t>it is</w:t>
      </w:r>
      <w:r w:rsidR="000828BB" w:rsidRPr="00B4171E">
        <w:rPr>
          <w:rFonts w:ascii="Arial" w:hAnsi="Arial" w:cs="Arial"/>
        </w:rPr>
        <w:t xml:space="preserve"> -0.13 </w:t>
      </w:r>
      <w:r w:rsidR="009834DF">
        <w:rPr>
          <w:rFonts w:ascii="Arial" w:hAnsi="Arial" w:cs="Arial"/>
        </w:rPr>
        <w:t xml:space="preserve">(95% CI </w:t>
      </w:r>
      <w:r w:rsidR="000828BB" w:rsidRPr="00B4171E">
        <w:rPr>
          <w:rFonts w:ascii="Arial" w:hAnsi="Arial" w:cs="Arial"/>
        </w:rPr>
        <w:t>[-0.30, 0.06]</w:t>
      </w:r>
      <w:r w:rsidR="009834DF">
        <w:rPr>
          <w:rFonts w:ascii="Arial" w:hAnsi="Arial" w:cs="Arial"/>
        </w:rPr>
        <w:t>)</w:t>
      </w:r>
      <w:r w:rsidR="000828BB" w:rsidRPr="00B4171E">
        <w:rPr>
          <w:rFonts w:ascii="Arial" w:hAnsi="Arial" w:cs="Arial"/>
        </w:rPr>
        <w:t xml:space="preserve">. There is no significant difference between the correlation across the groups, but they both show </w:t>
      </w:r>
      <w:r w:rsidR="009834DF">
        <w:rPr>
          <w:rFonts w:ascii="Arial" w:hAnsi="Arial" w:cs="Arial"/>
        </w:rPr>
        <w:t>similar effects</w:t>
      </w:r>
      <w:r w:rsidR="000828BB" w:rsidRPr="00B4171E">
        <w:rPr>
          <w:rFonts w:ascii="Arial" w:hAnsi="Arial" w:cs="Arial"/>
        </w:rPr>
        <w:t xml:space="preserve"> – as age increases, SDMT scores tend to decrease. As the healthy control group is older than the pre-manifest HD group, it is possible that the mean SDMT score in the health</w:t>
      </w:r>
      <w:r w:rsidR="00037326" w:rsidRPr="00B4171E">
        <w:rPr>
          <w:rFonts w:ascii="Arial" w:hAnsi="Arial" w:cs="Arial"/>
        </w:rPr>
        <w:t>y</w:t>
      </w:r>
      <w:r w:rsidR="000828BB" w:rsidRPr="00B4171E">
        <w:rPr>
          <w:rFonts w:ascii="Arial" w:hAnsi="Arial" w:cs="Arial"/>
        </w:rPr>
        <w:t xml:space="preserve"> control group is biased downwards and is lower than it should be.</w:t>
      </w:r>
      <w:r w:rsidR="00127007" w:rsidRPr="00B4171E">
        <w:rPr>
          <w:rFonts w:ascii="Arial" w:hAnsi="Arial" w:cs="Arial"/>
        </w:rPr>
        <w:t xml:space="preserve"> This bias will reduce the difference in means. </w:t>
      </w:r>
      <w:r w:rsidR="003900EB" w:rsidRPr="00B4171E">
        <w:rPr>
          <w:rFonts w:ascii="Arial" w:hAnsi="Arial" w:cs="Arial"/>
        </w:rPr>
        <w:br/>
      </w:r>
      <w:r w:rsidR="00127007" w:rsidRPr="00B4171E">
        <w:rPr>
          <w:rFonts w:ascii="Arial" w:hAnsi="Arial" w:cs="Arial"/>
        </w:rPr>
        <w:t>Table 2 shows the means &amp; differences.</w:t>
      </w:r>
      <w:r w:rsidR="003900EB" w:rsidRPr="00B4171E">
        <w:rPr>
          <w:rFonts w:ascii="Arial" w:hAnsi="Arial" w:cs="Arial"/>
        </w:rPr>
        <w:t xml:space="preserve"> </w:t>
      </w:r>
      <w:r w:rsidR="00DF4E13" w:rsidRPr="00B4171E">
        <w:rPr>
          <w:rFonts w:ascii="Arial" w:hAnsi="Arial" w:cs="Arial"/>
        </w:rPr>
        <w:t>Adjusting for age</w:t>
      </w:r>
      <w:r w:rsidR="00D5071F" w:rsidRPr="00B4171E">
        <w:rPr>
          <w:rFonts w:ascii="Arial" w:hAnsi="Arial" w:cs="Arial"/>
        </w:rPr>
        <w:t xml:space="preserve"> using an ANCOVA model</w:t>
      </w:r>
      <w:r w:rsidR="00DF4E13" w:rsidRPr="00B4171E">
        <w:rPr>
          <w:rFonts w:ascii="Arial" w:hAnsi="Arial" w:cs="Arial"/>
        </w:rPr>
        <w:t xml:space="preserve"> increases the difference from 0.9 to 2.4</w:t>
      </w:r>
      <w:r w:rsidR="003900EB" w:rsidRPr="00B4171E">
        <w:rPr>
          <w:rFonts w:ascii="Arial" w:hAnsi="Arial" w:cs="Arial"/>
        </w:rPr>
        <w:t>:</w:t>
      </w:r>
    </w:p>
    <w:tbl>
      <w:tblPr>
        <w:tblStyle w:val="TableGrid"/>
        <w:tblW w:w="6237" w:type="dxa"/>
        <w:tblLook w:val="04A0" w:firstRow="1" w:lastRow="0" w:firstColumn="1" w:lastColumn="0" w:noHBand="0" w:noVBand="1"/>
      </w:tblPr>
      <w:tblGrid>
        <w:gridCol w:w="1843"/>
        <w:gridCol w:w="1559"/>
        <w:gridCol w:w="1560"/>
        <w:gridCol w:w="1275"/>
      </w:tblGrid>
      <w:tr w:rsidR="00127007" w:rsidRPr="00B4171E" w14:paraId="486195C0" w14:textId="746D2B56" w:rsidTr="002E4AFA">
        <w:trPr>
          <w:trHeight w:val="278"/>
        </w:trPr>
        <w:tc>
          <w:tcPr>
            <w:tcW w:w="1843" w:type="dxa"/>
            <w:tcBorders>
              <w:top w:val="single" w:sz="12" w:space="0" w:color="auto"/>
              <w:left w:val="nil"/>
              <w:bottom w:val="single" w:sz="4" w:space="0" w:color="A6A6A6" w:themeColor="background1" w:themeShade="A6"/>
              <w:right w:val="double" w:sz="4" w:space="0" w:color="auto"/>
            </w:tcBorders>
            <w:noWrap/>
            <w:vAlign w:val="center"/>
            <w:hideMark/>
          </w:tcPr>
          <w:p w14:paraId="684E8CA5" w14:textId="77777777" w:rsidR="00127007" w:rsidRPr="00B4171E" w:rsidRDefault="00127007" w:rsidP="005B490E">
            <w:pPr>
              <w:jc w:val="center"/>
              <w:rPr>
                <w:rFonts w:ascii="Arial" w:eastAsia="Times New Roman" w:hAnsi="Arial" w:cs="Arial"/>
                <w:color w:val="000000"/>
                <w:sz w:val="20"/>
                <w:szCs w:val="20"/>
                <w:lang w:eastAsia="en-GB"/>
              </w:rPr>
            </w:pPr>
          </w:p>
        </w:tc>
        <w:tc>
          <w:tcPr>
            <w:tcW w:w="1559" w:type="dxa"/>
            <w:tcBorders>
              <w:top w:val="single" w:sz="12" w:space="0" w:color="auto"/>
              <w:left w:val="double" w:sz="4" w:space="0" w:color="auto"/>
              <w:bottom w:val="single" w:sz="4" w:space="0" w:color="A6A6A6" w:themeColor="background1" w:themeShade="A6"/>
              <w:right w:val="single" w:sz="4" w:space="0" w:color="A6A6A6" w:themeColor="background1" w:themeShade="A6"/>
            </w:tcBorders>
            <w:noWrap/>
            <w:vAlign w:val="center"/>
            <w:hideMark/>
          </w:tcPr>
          <w:p w14:paraId="2876928D" w14:textId="77777777" w:rsidR="00127007" w:rsidRPr="00B4171E" w:rsidRDefault="00127007" w:rsidP="005B490E">
            <w:pPr>
              <w:jc w:val="center"/>
              <w:rPr>
                <w:rFonts w:ascii="Arial" w:eastAsia="Times New Roman" w:hAnsi="Arial" w:cs="Arial"/>
                <w:b/>
                <w:bCs/>
                <w:color w:val="000000"/>
                <w:sz w:val="20"/>
                <w:szCs w:val="20"/>
                <w:lang w:eastAsia="en-GB"/>
              </w:rPr>
            </w:pPr>
            <w:r w:rsidRPr="00B4171E">
              <w:rPr>
                <w:rFonts w:ascii="Arial" w:eastAsia="Times New Roman" w:hAnsi="Arial" w:cs="Arial"/>
                <w:b/>
                <w:bCs/>
                <w:color w:val="000000"/>
                <w:sz w:val="20"/>
                <w:szCs w:val="20"/>
                <w:lang w:eastAsia="en-GB"/>
              </w:rPr>
              <w:t>Healthy Control</w:t>
            </w:r>
          </w:p>
        </w:tc>
        <w:tc>
          <w:tcPr>
            <w:tcW w:w="1560" w:type="dxa"/>
            <w:tcBorders>
              <w:top w:val="single" w:sz="12" w:space="0" w:color="auto"/>
              <w:left w:val="single" w:sz="4" w:space="0" w:color="A6A6A6" w:themeColor="background1" w:themeShade="A6"/>
              <w:bottom w:val="single" w:sz="4" w:space="0" w:color="A6A6A6" w:themeColor="background1" w:themeShade="A6"/>
              <w:right w:val="single" w:sz="4" w:space="0" w:color="BFBFBF" w:themeColor="background1" w:themeShade="BF"/>
            </w:tcBorders>
            <w:noWrap/>
            <w:vAlign w:val="center"/>
            <w:hideMark/>
          </w:tcPr>
          <w:p w14:paraId="67E0E152" w14:textId="77777777" w:rsidR="00127007" w:rsidRPr="00B4171E" w:rsidRDefault="00127007" w:rsidP="005B490E">
            <w:pPr>
              <w:jc w:val="center"/>
              <w:rPr>
                <w:rFonts w:ascii="Arial" w:eastAsia="Times New Roman" w:hAnsi="Arial" w:cs="Arial"/>
                <w:b/>
                <w:bCs/>
                <w:color w:val="000000"/>
                <w:sz w:val="20"/>
                <w:szCs w:val="20"/>
                <w:lang w:eastAsia="en-GB"/>
              </w:rPr>
            </w:pPr>
            <w:r w:rsidRPr="00B4171E">
              <w:rPr>
                <w:rFonts w:ascii="Arial" w:eastAsia="Times New Roman" w:hAnsi="Arial" w:cs="Arial"/>
                <w:b/>
                <w:bCs/>
                <w:color w:val="000000"/>
                <w:sz w:val="20"/>
                <w:szCs w:val="20"/>
                <w:lang w:eastAsia="en-GB"/>
              </w:rPr>
              <w:t>Pre-manifest HD</w:t>
            </w:r>
          </w:p>
        </w:tc>
        <w:tc>
          <w:tcPr>
            <w:tcW w:w="1275" w:type="dxa"/>
            <w:tcBorders>
              <w:top w:val="single" w:sz="12" w:space="0" w:color="auto"/>
              <w:left w:val="single" w:sz="4" w:space="0" w:color="BFBFBF" w:themeColor="background1" w:themeShade="BF"/>
              <w:bottom w:val="single" w:sz="4" w:space="0" w:color="BFBFBF" w:themeColor="background1" w:themeShade="BF"/>
              <w:right w:val="nil"/>
            </w:tcBorders>
          </w:tcPr>
          <w:p w14:paraId="1B2468F9" w14:textId="1C258F05" w:rsidR="00127007" w:rsidRPr="00B4171E" w:rsidRDefault="00127007" w:rsidP="005B490E">
            <w:pPr>
              <w:jc w:val="center"/>
              <w:rPr>
                <w:rFonts w:ascii="Arial" w:eastAsia="Times New Roman" w:hAnsi="Arial" w:cs="Arial"/>
                <w:b/>
                <w:bCs/>
                <w:color w:val="000000"/>
                <w:sz w:val="20"/>
                <w:szCs w:val="20"/>
                <w:lang w:eastAsia="en-GB"/>
              </w:rPr>
            </w:pPr>
            <w:r w:rsidRPr="00B4171E">
              <w:rPr>
                <w:rFonts w:ascii="Arial" w:eastAsia="Times New Roman" w:hAnsi="Arial" w:cs="Arial"/>
                <w:b/>
                <w:bCs/>
                <w:color w:val="000000"/>
                <w:sz w:val="20"/>
                <w:szCs w:val="20"/>
                <w:lang w:eastAsia="en-GB"/>
              </w:rPr>
              <w:t>Difference</w:t>
            </w:r>
          </w:p>
        </w:tc>
      </w:tr>
      <w:tr w:rsidR="00127007" w:rsidRPr="00B4171E" w14:paraId="78845A81" w14:textId="5EDBCD21" w:rsidTr="002E4AFA">
        <w:trPr>
          <w:trHeight w:val="278"/>
        </w:trPr>
        <w:tc>
          <w:tcPr>
            <w:tcW w:w="1843" w:type="dxa"/>
            <w:tcBorders>
              <w:top w:val="single" w:sz="4" w:space="0" w:color="A6A6A6" w:themeColor="background1" w:themeShade="A6"/>
              <w:left w:val="nil"/>
              <w:bottom w:val="nil"/>
              <w:right w:val="double" w:sz="4" w:space="0" w:color="auto"/>
            </w:tcBorders>
            <w:noWrap/>
            <w:hideMark/>
          </w:tcPr>
          <w:p w14:paraId="62BABA98" w14:textId="1A7C3CF5" w:rsidR="00127007" w:rsidRPr="00B4171E" w:rsidRDefault="00127007" w:rsidP="00127007">
            <w:pPr>
              <w:jc w:val="center"/>
              <w:rPr>
                <w:rFonts w:ascii="Arial" w:eastAsia="Times New Roman" w:hAnsi="Arial" w:cs="Arial"/>
                <w:color w:val="000000"/>
                <w:sz w:val="20"/>
                <w:szCs w:val="20"/>
                <w:lang w:eastAsia="en-GB"/>
              </w:rPr>
            </w:pPr>
            <w:r w:rsidRPr="00B4171E">
              <w:rPr>
                <w:rFonts w:ascii="Arial" w:hAnsi="Arial" w:cs="Arial"/>
              </w:rPr>
              <w:t>Unadjusted</w:t>
            </w:r>
          </w:p>
        </w:tc>
        <w:tc>
          <w:tcPr>
            <w:tcW w:w="1559" w:type="dxa"/>
            <w:tcBorders>
              <w:top w:val="single" w:sz="4" w:space="0" w:color="A6A6A6" w:themeColor="background1" w:themeShade="A6"/>
              <w:left w:val="double" w:sz="4" w:space="0" w:color="auto"/>
              <w:bottom w:val="nil"/>
              <w:right w:val="single" w:sz="4" w:space="0" w:color="A6A6A6" w:themeColor="background1" w:themeShade="A6"/>
            </w:tcBorders>
            <w:noWrap/>
            <w:hideMark/>
          </w:tcPr>
          <w:p w14:paraId="30953CE0" w14:textId="4FB6C89B" w:rsidR="00127007" w:rsidRPr="00B4171E" w:rsidRDefault="00127007" w:rsidP="00127007">
            <w:pPr>
              <w:jc w:val="center"/>
              <w:rPr>
                <w:rFonts w:ascii="Arial" w:eastAsia="Times New Roman" w:hAnsi="Arial" w:cs="Arial"/>
                <w:color w:val="000000"/>
                <w:sz w:val="20"/>
                <w:szCs w:val="20"/>
                <w:lang w:eastAsia="en-GB"/>
              </w:rPr>
            </w:pPr>
            <w:r w:rsidRPr="00B4171E">
              <w:rPr>
                <w:rFonts w:ascii="Arial" w:hAnsi="Arial" w:cs="Arial"/>
                <w:sz w:val="20"/>
                <w:szCs w:val="20"/>
              </w:rPr>
              <w:t>52.2</w:t>
            </w:r>
          </w:p>
        </w:tc>
        <w:tc>
          <w:tcPr>
            <w:tcW w:w="1560" w:type="dxa"/>
            <w:tcBorders>
              <w:top w:val="single" w:sz="4" w:space="0" w:color="A6A6A6" w:themeColor="background1" w:themeShade="A6"/>
              <w:left w:val="single" w:sz="4" w:space="0" w:color="A6A6A6" w:themeColor="background1" w:themeShade="A6"/>
              <w:bottom w:val="nil"/>
              <w:right w:val="single" w:sz="4" w:space="0" w:color="BFBFBF" w:themeColor="background1" w:themeShade="BF"/>
            </w:tcBorders>
            <w:noWrap/>
            <w:hideMark/>
          </w:tcPr>
          <w:p w14:paraId="684D272D" w14:textId="2F92EE87" w:rsidR="00127007" w:rsidRPr="00B4171E" w:rsidRDefault="00127007" w:rsidP="00127007">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51.3</w:t>
            </w:r>
          </w:p>
        </w:tc>
        <w:tc>
          <w:tcPr>
            <w:tcW w:w="1275" w:type="dxa"/>
            <w:tcBorders>
              <w:top w:val="single" w:sz="4" w:space="0" w:color="BFBFBF" w:themeColor="background1" w:themeShade="BF"/>
              <w:left w:val="single" w:sz="4" w:space="0" w:color="BFBFBF" w:themeColor="background1" w:themeShade="BF"/>
              <w:bottom w:val="nil"/>
              <w:right w:val="nil"/>
            </w:tcBorders>
          </w:tcPr>
          <w:p w14:paraId="31595F6E" w14:textId="3BA3503A" w:rsidR="00127007" w:rsidRPr="00B4171E" w:rsidRDefault="00DF4E13" w:rsidP="00127007">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0.9</w:t>
            </w:r>
            <w:r w:rsidR="003900EB" w:rsidRPr="00B4171E">
              <w:rPr>
                <w:rFonts w:ascii="Arial" w:eastAsia="Times New Roman" w:hAnsi="Arial" w:cs="Arial"/>
                <w:color w:val="000000"/>
                <w:sz w:val="20"/>
                <w:szCs w:val="20"/>
                <w:lang w:eastAsia="en-GB"/>
              </w:rPr>
              <w:t xml:space="preserve"> </w:t>
            </w:r>
            <w:r w:rsidR="003900EB" w:rsidRPr="00B4171E">
              <w:rPr>
                <w:rFonts w:ascii="Arial" w:eastAsia="Times New Roman" w:hAnsi="Arial" w:cs="Arial"/>
                <w:color w:val="000000"/>
                <w:sz w:val="18"/>
                <w:szCs w:val="18"/>
                <w:lang w:eastAsia="en-GB"/>
              </w:rPr>
              <w:t>(1.3)</w:t>
            </w:r>
          </w:p>
        </w:tc>
      </w:tr>
      <w:tr w:rsidR="00127007" w:rsidRPr="00B4171E" w14:paraId="76598BFF" w14:textId="4CAEBCC7" w:rsidTr="002E4AFA">
        <w:trPr>
          <w:trHeight w:val="278"/>
        </w:trPr>
        <w:tc>
          <w:tcPr>
            <w:tcW w:w="1843" w:type="dxa"/>
            <w:tcBorders>
              <w:top w:val="nil"/>
              <w:left w:val="nil"/>
              <w:bottom w:val="single" w:sz="12" w:space="0" w:color="auto"/>
              <w:right w:val="double" w:sz="4" w:space="0" w:color="auto"/>
            </w:tcBorders>
            <w:shd w:val="clear" w:color="auto" w:fill="F2F2F2" w:themeFill="background1" w:themeFillShade="F2"/>
            <w:noWrap/>
            <w:hideMark/>
          </w:tcPr>
          <w:p w14:paraId="0890F2D7" w14:textId="16B6AC75" w:rsidR="00127007" w:rsidRPr="00B4171E" w:rsidRDefault="00127007" w:rsidP="00127007">
            <w:pPr>
              <w:jc w:val="center"/>
              <w:rPr>
                <w:rFonts w:ascii="Arial" w:eastAsia="Times New Roman" w:hAnsi="Arial" w:cs="Arial"/>
                <w:color w:val="000000"/>
                <w:sz w:val="20"/>
                <w:szCs w:val="20"/>
                <w:lang w:eastAsia="en-GB"/>
              </w:rPr>
            </w:pPr>
            <w:r w:rsidRPr="00B4171E">
              <w:rPr>
                <w:rFonts w:ascii="Arial" w:hAnsi="Arial" w:cs="Arial"/>
              </w:rPr>
              <w:t>Adjusted for age</w:t>
            </w:r>
          </w:p>
        </w:tc>
        <w:tc>
          <w:tcPr>
            <w:tcW w:w="1559" w:type="dxa"/>
            <w:tcBorders>
              <w:top w:val="nil"/>
              <w:left w:val="double" w:sz="4" w:space="0" w:color="auto"/>
              <w:bottom w:val="single" w:sz="12" w:space="0" w:color="auto"/>
              <w:right w:val="single" w:sz="4" w:space="0" w:color="A6A6A6" w:themeColor="background1" w:themeShade="A6"/>
            </w:tcBorders>
            <w:shd w:val="clear" w:color="auto" w:fill="F2F2F2" w:themeFill="background1" w:themeFillShade="F2"/>
            <w:noWrap/>
            <w:hideMark/>
          </w:tcPr>
          <w:p w14:paraId="3BC0CBD7" w14:textId="2A2450C3" w:rsidR="00127007" w:rsidRPr="00B4171E" w:rsidRDefault="00127007" w:rsidP="00127007">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52.9</w:t>
            </w:r>
          </w:p>
        </w:tc>
        <w:tc>
          <w:tcPr>
            <w:tcW w:w="1560" w:type="dxa"/>
            <w:tcBorders>
              <w:top w:val="nil"/>
              <w:left w:val="single" w:sz="4" w:space="0" w:color="A6A6A6" w:themeColor="background1" w:themeShade="A6"/>
              <w:bottom w:val="single" w:sz="12" w:space="0" w:color="auto"/>
              <w:right w:val="single" w:sz="4" w:space="0" w:color="BFBFBF" w:themeColor="background1" w:themeShade="BF"/>
            </w:tcBorders>
            <w:shd w:val="clear" w:color="auto" w:fill="F2F2F2" w:themeFill="background1" w:themeFillShade="F2"/>
            <w:noWrap/>
            <w:hideMark/>
          </w:tcPr>
          <w:p w14:paraId="6E58D79C" w14:textId="11B0BEE2" w:rsidR="00127007" w:rsidRPr="00B4171E" w:rsidRDefault="00127007" w:rsidP="00127007">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50.5</w:t>
            </w:r>
          </w:p>
        </w:tc>
        <w:tc>
          <w:tcPr>
            <w:tcW w:w="1275" w:type="dxa"/>
            <w:tcBorders>
              <w:top w:val="nil"/>
              <w:left w:val="single" w:sz="4" w:space="0" w:color="BFBFBF" w:themeColor="background1" w:themeShade="BF"/>
              <w:bottom w:val="single" w:sz="12" w:space="0" w:color="auto"/>
              <w:right w:val="nil"/>
            </w:tcBorders>
            <w:shd w:val="clear" w:color="auto" w:fill="F2F2F2" w:themeFill="background1" w:themeFillShade="F2"/>
          </w:tcPr>
          <w:p w14:paraId="668CF283" w14:textId="7081C695" w:rsidR="00127007" w:rsidRPr="00B4171E" w:rsidRDefault="00DF4E13" w:rsidP="00127007">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2.4</w:t>
            </w:r>
            <w:r w:rsidR="003900EB" w:rsidRPr="00B4171E">
              <w:rPr>
                <w:rFonts w:ascii="Arial" w:eastAsia="Times New Roman" w:hAnsi="Arial" w:cs="Arial"/>
                <w:color w:val="000000"/>
                <w:sz w:val="20"/>
                <w:szCs w:val="20"/>
                <w:lang w:eastAsia="en-GB"/>
              </w:rPr>
              <w:t xml:space="preserve"> </w:t>
            </w:r>
            <w:r w:rsidR="003900EB" w:rsidRPr="00B4171E">
              <w:rPr>
                <w:rFonts w:ascii="Arial" w:eastAsia="Times New Roman" w:hAnsi="Arial" w:cs="Arial"/>
                <w:color w:val="000000"/>
                <w:sz w:val="18"/>
                <w:szCs w:val="18"/>
                <w:lang w:eastAsia="en-GB"/>
              </w:rPr>
              <w:t>(1.3)</w:t>
            </w:r>
          </w:p>
        </w:tc>
      </w:tr>
      <w:tr w:rsidR="00981AF6" w:rsidRPr="00B4171E" w14:paraId="2FD2B2C5" w14:textId="77777777" w:rsidTr="008A6E30">
        <w:trPr>
          <w:trHeight w:val="278"/>
        </w:trPr>
        <w:tc>
          <w:tcPr>
            <w:tcW w:w="6237" w:type="dxa"/>
            <w:gridSpan w:val="4"/>
            <w:tcBorders>
              <w:top w:val="single" w:sz="12" w:space="0" w:color="auto"/>
              <w:left w:val="nil"/>
              <w:bottom w:val="nil"/>
              <w:right w:val="nil"/>
            </w:tcBorders>
            <w:shd w:val="clear" w:color="auto" w:fill="FFFFFF" w:themeFill="background1"/>
            <w:noWrap/>
          </w:tcPr>
          <w:p w14:paraId="2F6F856F" w14:textId="29F36F98" w:rsidR="003900EB" w:rsidRPr="00B4171E" w:rsidRDefault="003900EB" w:rsidP="003900EB">
            <w:pPr>
              <w:rPr>
                <w:rFonts w:ascii="Arial" w:eastAsia="Times New Roman" w:hAnsi="Arial" w:cs="Arial"/>
                <w:i/>
                <w:iCs/>
                <w:color w:val="262626" w:themeColor="text1" w:themeTint="D9"/>
                <w:sz w:val="20"/>
                <w:szCs w:val="20"/>
                <w:lang w:eastAsia="en-GB"/>
              </w:rPr>
            </w:pPr>
            <w:r w:rsidRPr="00B4171E">
              <w:rPr>
                <w:rFonts w:ascii="Arial" w:eastAsia="Times New Roman" w:hAnsi="Arial" w:cs="Arial"/>
                <w:i/>
                <w:iCs/>
                <w:color w:val="262626" w:themeColor="text1" w:themeTint="D9"/>
                <w:sz w:val="20"/>
                <w:szCs w:val="20"/>
                <w:lang w:eastAsia="en-GB"/>
              </w:rPr>
              <w:t>Table 2. Mean SDMT scores by group</w:t>
            </w:r>
          </w:p>
          <w:p w14:paraId="645EBE7A" w14:textId="77777777" w:rsidR="003900EB" w:rsidRPr="00B4171E" w:rsidRDefault="003900EB" w:rsidP="003900EB">
            <w:pPr>
              <w:jc w:val="center"/>
              <w:rPr>
                <w:rFonts w:ascii="Arial" w:eastAsia="Times New Roman" w:hAnsi="Arial" w:cs="Arial"/>
                <w:i/>
                <w:iCs/>
                <w:color w:val="404040" w:themeColor="text1" w:themeTint="BF"/>
                <w:sz w:val="8"/>
                <w:szCs w:val="8"/>
                <w:lang w:eastAsia="en-GB"/>
              </w:rPr>
            </w:pPr>
          </w:p>
          <w:p w14:paraId="569511A4" w14:textId="179D8ACC" w:rsidR="003900EB" w:rsidRPr="00B4171E" w:rsidRDefault="003900EB" w:rsidP="003900EB">
            <w:pPr>
              <w:rPr>
                <w:rFonts w:ascii="Arial" w:eastAsia="Times New Roman" w:hAnsi="Arial" w:cs="Arial"/>
                <w:i/>
                <w:iCs/>
                <w:color w:val="262626" w:themeColor="text1" w:themeTint="D9"/>
                <w:sz w:val="20"/>
                <w:szCs w:val="20"/>
                <w:lang w:eastAsia="en-GB"/>
              </w:rPr>
            </w:pPr>
            <w:r w:rsidRPr="00B4171E">
              <w:rPr>
                <w:rFonts w:ascii="Arial" w:eastAsia="Times New Roman" w:hAnsi="Arial" w:cs="Arial"/>
                <w:i/>
                <w:iCs/>
                <w:color w:val="767171" w:themeColor="background2" w:themeShade="80"/>
                <w:sz w:val="17"/>
                <w:szCs w:val="17"/>
                <w:lang w:eastAsia="en-GB"/>
              </w:rPr>
              <w:t>Standard errors for the difference estimate shown in brackets</w:t>
            </w:r>
          </w:p>
        </w:tc>
      </w:tr>
    </w:tbl>
    <w:p w14:paraId="7E217B88" w14:textId="77777777" w:rsidR="009834DF" w:rsidRDefault="009834DF" w:rsidP="005F4670">
      <w:pPr>
        <w:rPr>
          <w:rFonts w:ascii="Arial" w:hAnsi="Arial" w:cs="Arial"/>
        </w:rPr>
      </w:pPr>
    </w:p>
    <w:p w14:paraId="0AF851C2" w14:textId="5C492BC8" w:rsidR="00981AF6" w:rsidRPr="00B4171E" w:rsidRDefault="00404052" w:rsidP="005F4670">
      <w:pPr>
        <w:rPr>
          <w:rFonts w:ascii="Arial" w:hAnsi="Arial" w:cs="Arial"/>
        </w:rPr>
      </w:pPr>
      <w:r w:rsidRPr="00B4171E">
        <w:rPr>
          <w:rFonts w:ascii="Arial" w:hAnsi="Arial" w:cs="Arial"/>
        </w:rPr>
        <w:t xml:space="preserve">Residual checks show that the assumptions in the ANCOVA model are met. There is some evidence that the constant variance assumption is violated, with group 2 having a larger residual variance compared to group 1. A QQ-plot shows that the residuals aren’t exactly normal for particularly large negative &amp; positive residuals. </w:t>
      </w:r>
      <w:r w:rsidR="00942F9B" w:rsidRPr="00B4171E">
        <w:rPr>
          <w:rFonts w:ascii="Arial" w:hAnsi="Arial" w:cs="Arial"/>
        </w:rPr>
        <w:t>Both</w:t>
      </w:r>
      <w:r w:rsidRPr="00B4171E">
        <w:rPr>
          <w:rFonts w:ascii="Arial" w:hAnsi="Arial" w:cs="Arial"/>
        </w:rPr>
        <w:t xml:space="preserve"> observations are evidence that the assumptions are violated, but the violations are not so large to </w:t>
      </w:r>
      <w:r w:rsidR="00A956CC" w:rsidRPr="00B4171E">
        <w:rPr>
          <w:rFonts w:ascii="Arial" w:hAnsi="Arial" w:cs="Arial"/>
        </w:rPr>
        <w:t>make results from the model invalid.</w:t>
      </w:r>
    </w:p>
    <w:p w14:paraId="4126BF8E" w14:textId="00DF0BE5" w:rsidR="00656E97" w:rsidRPr="00B4171E" w:rsidRDefault="00656E97" w:rsidP="00656E97">
      <w:pPr>
        <w:pStyle w:val="Heading3"/>
        <w:rPr>
          <w:rFonts w:ascii="Arial" w:hAnsi="Arial" w:cs="Arial"/>
        </w:rPr>
      </w:pPr>
      <w:r w:rsidRPr="00B4171E">
        <w:rPr>
          <w:rFonts w:ascii="Arial" w:hAnsi="Arial" w:cs="Arial"/>
        </w:rPr>
        <w:t>Question 3</w:t>
      </w:r>
    </w:p>
    <w:p w14:paraId="22743F0E" w14:textId="7E813A53" w:rsidR="00981AF6" w:rsidRPr="00B4171E" w:rsidRDefault="002F6698" w:rsidP="005F4670">
      <w:pPr>
        <w:rPr>
          <w:rFonts w:ascii="Arial" w:hAnsi="Arial" w:cs="Arial"/>
        </w:rPr>
      </w:pPr>
      <w:r w:rsidRPr="00B4171E">
        <w:rPr>
          <w:rFonts w:ascii="Arial" w:hAnsi="Arial" w:cs="Arial"/>
        </w:rPr>
        <w:t>3 models were fit to examine the relationship between age, CAG repeat length, and SDMT score in the pre-manifest HD group. Coefficient estimates are shown in Table 3:</w:t>
      </w:r>
    </w:p>
    <w:tbl>
      <w:tblPr>
        <w:tblStyle w:val="TableGrid"/>
        <w:tblW w:w="6096" w:type="dxa"/>
        <w:tblLayout w:type="fixed"/>
        <w:tblLook w:val="04A0" w:firstRow="1" w:lastRow="0" w:firstColumn="1" w:lastColumn="0" w:noHBand="0" w:noVBand="1"/>
      </w:tblPr>
      <w:tblGrid>
        <w:gridCol w:w="2127"/>
        <w:gridCol w:w="1323"/>
        <w:gridCol w:w="1323"/>
        <w:gridCol w:w="1323"/>
      </w:tblGrid>
      <w:tr w:rsidR="00682DDA" w:rsidRPr="00B4171E" w14:paraId="5408A32A" w14:textId="77777777" w:rsidTr="00D5071F">
        <w:trPr>
          <w:trHeight w:val="185"/>
        </w:trPr>
        <w:tc>
          <w:tcPr>
            <w:tcW w:w="2127" w:type="dxa"/>
            <w:tcBorders>
              <w:top w:val="single" w:sz="12" w:space="0" w:color="auto"/>
              <w:left w:val="nil"/>
              <w:bottom w:val="single" w:sz="4" w:space="0" w:color="A6A6A6" w:themeColor="background1" w:themeShade="A6"/>
              <w:right w:val="double" w:sz="4" w:space="0" w:color="auto"/>
            </w:tcBorders>
            <w:noWrap/>
            <w:vAlign w:val="center"/>
            <w:hideMark/>
          </w:tcPr>
          <w:p w14:paraId="4D434071" w14:textId="77777777" w:rsidR="00682DDA" w:rsidRPr="00B4171E" w:rsidRDefault="00682DDA" w:rsidP="005B490E">
            <w:pPr>
              <w:jc w:val="center"/>
              <w:rPr>
                <w:rFonts w:ascii="Arial" w:eastAsia="Times New Roman" w:hAnsi="Arial" w:cs="Arial"/>
                <w:color w:val="000000"/>
                <w:sz w:val="20"/>
                <w:szCs w:val="20"/>
                <w:lang w:eastAsia="en-GB"/>
              </w:rPr>
            </w:pPr>
          </w:p>
        </w:tc>
        <w:tc>
          <w:tcPr>
            <w:tcW w:w="1323" w:type="dxa"/>
            <w:tcBorders>
              <w:top w:val="single" w:sz="12" w:space="0" w:color="auto"/>
              <w:left w:val="double" w:sz="4" w:space="0" w:color="auto"/>
              <w:bottom w:val="single" w:sz="4" w:space="0" w:color="A6A6A6" w:themeColor="background1" w:themeShade="A6"/>
              <w:right w:val="single" w:sz="4" w:space="0" w:color="A6A6A6" w:themeColor="background1" w:themeShade="A6"/>
            </w:tcBorders>
            <w:noWrap/>
            <w:vAlign w:val="center"/>
            <w:hideMark/>
          </w:tcPr>
          <w:p w14:paraId="280C0405" w14:textId="437AEE83" w:rsidR="00682DDA" w:rsidRPr="00B4171E" w:rsidRDefault="00682DDA" w:rsidP="005B490E">
            <w:pPr>
              <w:jc w:val="center"/>
              <w:rPr>
                <w:rFonts w:ascii="Arial" w:eastAsia="Times New Roman" w:hAnsi="Arial" w:cs="Arial"/>
                <w:b/>
                <w:bCs/>
                <w:color w:val="000000"/>
                <w:sz w:val="20"/>
                <w:szCs w:val="20"/>
                <w:lang w:eastAsia="en-GB"/>
              </w:rPr>
            </w:pPr>
            <w:r w:rsidRPr="00B4171E">
              <w:rPr>
                <w:rFonts w:ascii="Arial" w:eastAsia="Times New Roman" w:hAnsi="Arial" w:cs="Arial"/>
                <w:b/>
                <w:bCs/>
                <w:color w:val="000000"/>
                <w:sz w:val="20"/>
                <w:szCs w:val="20"/>
                <w:lang w:eastAsia="en-GB"/>
              </w:rPr>
              <w:t>Model 1</w:t>
            </w:r>
          </w:p>
        </w:tc>
        <w:tc>
          <w:tcPr>
            <w:tcW w:w="1323" w:type="dxa"/>
            <w:tcBorders>
              <w:top w:val="single" w:sz="12" w:space="0" w:color="auto"/>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14:paraId="70030CE7" w14:textId="15CA71A2" w:rsidR="00682DDA" w:rsidRPr="00B4171E" w:rsidRDefault="00682DDA" w:rsidP="005B490E">
            <w:pPr>
              <w:jc w:val="center"/>
              <w:rPr>
                <w:rFonts w:ascii="Arial" w:eastAsia="Times New Roman" w:hAnsi="Arial" w:cs="Arial"/>
                <w:b/>
                <w:bCs/>
                <w:color w:val="000000"/>
                <w:sz w:val="20"/>
                <w:szCs w:val="20"/>
                <w:lang w:eastAsia="en-GB"/>
              </w:rPr>
            </w:pPr>
            <w:r w:rsidRPr="00B4171E">
              <w:rPr>
                <w:rFonts w:ascii="Arial" w:eastAsia="Times New Roman" w:hAnsi="Arial" w:cs="Arial"/>
                <w:b/>
                <w:bCs/>
                <w:color w:val="000000"/>
                <w:sz w:val="20"/>
                <w:szCs w:val="20"/>
                <w:lang w:eastAsia="en-GB"/>
              </w:rPr>
              <w:t>Model 2</w:t>
            </w:r>
          </w:p>
        </w:tc>
        <w:tc>
          <w:tcPr>
            <w:tcW w:w="1323" w:type="dxa"/>
            <w:tcBorders>
              <w:top w:val="single" w:sz="12" w:space="0" w:color="auto"/>
              <w:left w:val="single" w:sz="4" w:space="0" w:color="A6A6A6" w:themeColor="background1" w:themeShade="A6"/>
              <w:bottom w:val="single" w:sz="4" w:space="0" w:color="A6A6A6" w:themeColor="background1" w:themeShade="A6"/>
              <w:right w:val="nil"/>
            </w:tcBorders>
            <w:noWrap/>
            <w:vAlign w:val="center"/>
            <w:hideMark/>
          </w:tcPr>
          <w:p w14:paraId="4012F8FF" w14:textId="3EF7CEA6" w:rsidR="00682DDA" w:rsidRPr="00B4171E" w:rsidRDefault="00682DDA" w:rsidP="005B490E">
            <w:pPr>
              <w:jc w:val="center"/>
              <w:rPr>
                <w:rFonts w:ascii="Arial" w:eastAsia="Times New Roman" w:hAnsi="Arial" w:cs="Arial"/>
                <w:b/>
                <w:bCs/>
                <w:color w:val="000000"/>
                <w:sz w:val="20"/>
                <w:szCs w:val="20"/>
                <w:lang w:eastAsia="en-GB"/>
              </w:rPr>
            </w:pPr>
            <w:r w:rsidRPr="00B4171E">
              <w:rPr>
                <w:rFonts w:ascii="Arial" w:eastAsia="Times New Roman" w:hAnsi="Arial" w:cs="Arial"/>
                <w:b/>
                <w:bCs/>
                <w:color w:val="000000"/>
                <w:sz w:val="20"/>
                <w:szCs w:val="20"/>
                <w:lang w:eastAsia="en-GB"/>
              </w:rPr>
              <w:t>Model 3</w:t>
            </w:r>
          </w:p>
        </w:tc>
      </w:tr>
      <w:tr w:rsidR="00682DDA" w:rsidRPr="00B4171E" w14:paraId="073D1777" w14:textId="77777777" w:rsidTr="00D5071F">
        <w:trPr>
          <w:trHeight w:val="185"/>
        </w:trPr>
        <w:tc>
          <w:tcPr>
            <w:tcW w:w="2127" w:type="dxa"/>
            <w:tcBorders>
              <w:top w:val="single" w:sz="4" w:space="0" w:color="A6A6A6" w:themeColor="background1" w:themeShade="A6"/>
              <w:left w:val="nil"/>
              <w:bottom w:val="nil"/>
              <w:right w:val="double" w:sz="4" w:space="0" w:color="auto"/>
            </w:tcBorders>
            <w:noWrap/>
            <w:vAlign w:val="center"/>
            <w:hideMark/>
          </w:tcPr>
          <w:p w14:paraId="6A685C78" w14:textId="57F01585" w:rsidR="00682DDA" w:rsidRPr="00B4171E" w:rsidRDefault="00682DDA" w:rsidP="00682DDA">
            <w:pP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Constant</w:t>
            </w:r>
          </w:p>
        </w:tc>
        <w:tc>
          <w:tcPr>
            <w:tcW w:w="1323" w:type="dxa"/>
            <w:tcBorders>
              <w:top w:val="single" w:sz="4" w:space="0" w:color="A6A6A6" w:themeColor="background1" w:themeShade="A6"/>
              <w:left w:val="double" w:sz="4" w:space="0" w:color="auto"/>
              <w:bottom w:val="nil"/>
              <w:right w:val="single" w:sz="4" w:space="0" w:color="A6A6A6" w:themeColor="background1" w:themeShade="A6"/>
            </w:tcBorders>
            <w:noWrap/>
            <w:vAlign w:val="center"/>
          </w:tcPr>
          <w:p w14:paraId="40B05C1C" w14:textId="55C71140" w:rsidR="00682DDA" w:rsidRPr="00B4171E" w:rsidRDefault="006B46CC" w:rsidP="005B490E">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 xml:space="preserve"> 51.</w:t>
            </w:r>
            <w:r w:rsidR="00243D93" w:rsidRPr="00B4171E">
              <w:rPr>
                <w:rFonts w:ascii="Arial" w:eastAsia="Times New Roman" w:hAnsi="Arial" w:cs="Arial"/>
                <w:color w:val="000000"/>
                <w:sz w:val="20"/>
                <w:szCs w:val="20"/>
                <w:lang w:eastAsia="en-GB"/>
              </w:rPr>
              <w:t>26</w:t>
            </w:r>
            <w:r w:rsidR="002F6698" w:rsidRPr="00B4171E">
              <w:rPr>
                <w:rFonts w:ascii="Arial" w:eastAsia="Times New Roman" w:hAnsi="Arial" w:cs="Arial"/>
                <w:color w:val="000000"/>
                <w:sz w:val="20"/>
                <w:szCs w:val="20"/>
                <w:lang w:eastAsia="en-GB"/>
              </w:rPr>
              <w:t xml:space="preserve"> </w:t>
            </w:r>
            <w:r w:rsidR="002F6698" w:rsidRPr="00B4171E">
              <w:rPr>
                <w:rFonts w:ascii="Arial" w:eastAsia="Times New Roman" w:hAnsi="Arial" w:cs="Arial"/>
                <w:color w:val="000000"/>
                <w:sz w:val="18"/>
                <w:szCs w:val="18"/>
                <w:lang w:eastAsia="en-GB"/>
              </w:rPr>
              <w:t>(0.9</w:t>
            </w:r>
            <w:r w:rsidR="00037326" w:rsidRPr="00B4171E">
              <w:rPr>
                <w:rFonts w:ascii="Arial" w:eastAsia="Times New Roman" w:hAnsi="Arial" w:cs="Arial"/>
                <w:color w:val="000000"/>
                <w:sz w:val="18"/>
                <w:szCs w:val="18"/>
                <w:lang w:eastAsia="en-GB"/>
              </w:rPr>
              <w:t>3</w:t>
            </w:r>
            <w:r w:rsidR="002F6698" w:rsidRPr="00B4171E">
              <w:rPr>
                <w:rFonts w:ascii="Arial" w:eastAsia="Times New Roman" w:hAnsi="Arial" w:cs="Arial"/>
                <w:color w:val="000000"/>
                <w:sz w:val="18"/>
                <w:szCs w:val="18"/>
                <w:lang w:eastAsia="en-GB"/>
              </w:rPr>
              <w:t>)</w:t>
            </w:r>
          </w:p>
        </w:tc>
        <w:tc>
          <w:tcPr>
            <w:tcW w:w="1323"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noWrap/>
            <w:vAlign w:val="center"/>
          </w:tcPr>
          <w:p w14:paraId="48CA62F5" w14:textId="23C08772" w:rsidR="00682DDA" w:rsidRPr="00B4171E" w:rsidRDefault="006B46CC" w:rsidP="005B490E">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5</w:t>
            </w:r>
            <w:r w:rsidR="00243D93" w:rsidRPr="00B4171E">
              <w:rPr>
                <w:rFonts w:ascii="Arial" w:eastAsia="Times New Roman" w:hAnsi="Arial" w:cs="Arial"/>
                <w:color w:val="000000"/>
                <w:sz w:val="20"/>
                <w:szCs w:val="20"/>
                <w:lang w:eastAsia="en-GB"/>
              </w:rPr>
              <w:t>1.26</w:t>
            </w:r>
            <w:r w:rsidR="002F6698" w:rsidRPr="00B4171E">
              <w:rPr>
                <w:rFonts w:ascii="Arial" w:eastAsia="Times New Roman" w:hAnsi="Arial" w:cs="Arial"/>
                <w:color w:val="000000"/>
                <w:sz w:val="20"/>
                <w:szCs w:val="20"/>
                <w:lang w:eastAsia="en-GB"/>
              </w:rPr>
              <w:t xml:space="preserve"> </w:t>
            </w:r>
            <w:r w:rsidR="002F6698" w:rsidRPr="00B4171E">
              <w:rPr>
                <w:rFonts w:ascii="Arial" w:eastAsia="Times New Roman" w:hAnsi="Arial" w:cs="Arial"/>
                <w:color w:val="000000"/>
                <w:sz w:val="18"/>
                <w:szCs w:val="18"/>
                <w:lang w:eastAsia="en-GB"/>
              </w:rPr>
              <w:t>(0.94)</w:t>
            </w:r>
          </w:p>
        </w:tc>
        <w:tc>
          <w:tcPr>
            <w:tcW w:w="1323" w:type="dxa"/>
            <w:tcBorders>
              <w:top w:val="single" w:sz="4" w:space="0" w:color="A6A6A6" w:themeColor="background1" w:themeShade="A6"/>
              <w:left w:val="single" w:sz="4" w:space="0" w:color="A6A6A6" w:themeColor="background1" w:themeShade="A6"/>
              <w:bottom w:val="nil"/>
              <w:right w:val="nil"/>
            </w:tcBorders>
            <w:noWrap/>
            <w:vAlign w:val="center"/>
          </w:tcPr>
          <w:p w14:paraId="1743211B" w14:textId="49800D2D" w:rsidR="00682DDA" w:rsidRPr="00B4171E" w:rsidRDefault="00243D93" w:rsidP="005B490E">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51.26</w:t>
            </w:r>
            <w:r w:rsidR="00037326" w:rsidRPr="00B4171E">
              <w:rPr>
                <w:rFonts w:ascii="Arial" w:eastAsia="Times New Roman" w:hAnsi="Arial" w:cs="Arial"/>
                <w:color w:val="000000"/>
                <w:sz w:val="20"/>
                <w:szCs w:val="20"/>
                <w:lang w:eastAsia="en-GB"/>
              </w:rPr>
              <w:t xml:space="preserve"> </w:t>
            </w:r>
            <w:r w:rsidR="00037326" w:rsidRPr="00B4171E">
              <w:rPr>
                <w:rFonts w:ascii="Arial" w:eastAsia="Times New Roman" w:hAnsi="Arial" w:cs="Arial"/>
                <w:color w:val="000000"/>
                <w:sz w:val="18"/>
                <w:szCs w:val="18"/>
                <w:lang w:eastAsia="en-GB"/>
              </w:rPr>
              <w:t>(0.92)</w:t>
            </w:r>
          </w:p>
        </w:tc>
      </w:tr>
      <w:tr w:rsidR="00682DDA" w:rsidRPr="00B4171E" w14:paraId="1C5402D6" w14:textId="77777777" w:rsidTr="00D5071F">
        <w:trPr>
          <w:trHeight w:val="185"/>
        </w:trPr>
        <w:tc>
          <w:tcPr>
            <w:tcW w:w="2127" w:type="dxa"/>
            <w:tcBorders>
              <w:top w:val="nil"/>
              <w:left w:val="nil"/>
              <w:bottom w:val="nil"/>
              <w:right w:val="double" w:sz="4" w:space="0" w:color="auto"/>
            </w:tcBorders>
            <w:shd w:val="clear" w:color="auto" w:fill="F2F2F2" w:themeFill="background1" w:themeFillShade="F2"/>
            <w:noWrap/>
            <w:vAlign w:val="center"/>
            <w:hideMark/>
          </w:tcPr>
          <w:p w14:paraId="4DB9D312" w14:textId="762C02ED" w:rsidR="00682DDA" w:rsidRPr="00B4171E" w:rsidRDefault="00682DDA" w:rsidP="00682DDA">
            <w:pP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Age</w:t>
            </w:r>
          </w:p>
        </w:tc>
        <w:tc>
          <w:tcPr>
            <w:tcW w:w="1323" w:type="dxa"/>
            <w:tcBorders>
              <w:top w:val="nil"/>
              <w:left w:val="double" w:sz="4" w:space="0" w:color="auto"/>
              <w:bottom w:val="nil"/>
              <w:right w:val="single" w:sz="4" w:space="0" w:color="A6A6A6" w:themeColor="background1" w:themeShade="A6"/>
            </w:tcBorders>
            <w:shd w:val="clear" w:color="auto" w:fill="F2F2F2" w:themeFill="background1" w:themeFillShade="F2"/>
            <w:noWrap/>
            <w:vAlign w:val="center"/>
          </w:tcPr>
          <w:p w14:paraId="6CE34522" w14:textId="25534A4A" w:rsidR="00682DDA" w:rsidRPr="00B4171E" w:rsidRDefault="00037326" w:rsidP="005B490E">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 xml:space="preserve"> </w:t>
            </w:r>
            <w:r w:rsidR="006B46CC" w:rsidRPr="00B4171E">
              <w:rPr>
                <w:rFonts w:ascii="Arial" w:eastAsia="Times New Roman" w:hAnsi="Arial" w:cs="Arial"/>
                <w:color w:val="000000"/>
                <w:sz w:val="20"/>
                <w:szCs w:val="20"/>
                <w:lang w:eastAsia="en-GB"/>
              </w:rPr>
              <w:t>-0.</w:t>
            </w:r>
            <w:r w:rsidR="00243D93" w:rsidRPr="00B4171E">
              <w:rPr>
                <w:rFonts w:ascii="Arial" w:eastAsia="Times New Roman" w:hAnsi="Arial" w:cs="Arial"/>
                <w:color w:val="000000"/>
                <w:sz w:val="20"/>
                <w:szCs w:val="20"/>
                <w:lang w:eastAsia="en-GB"/>
              </w:rPr>
              <w:t>15</w:t>
            </w:r>
            <w:r w:rsidR="002F6698" w:rsidRPr="00B4171E">
              <w:rPr>
                <w:rFonts w:ascii="Arial" w:eastAsia="Times New Roman" w:hAnsi="Arial" w:cs="Arial"/>
                <w:color w:val="000000"/>
                <w:sz w:val="20"/>
                <w:szCs w:val="20"/>
                <w:lang w:eastAsia="en-GB"/>
              </w:rPr>
              <w:t xml:space="preserve"> </w:t>
            </w:r>
            <w:r w:rsidR="002F6698" w:rsidRPr="00B4171E">
              <w:rPr>
                <w:rFonts w:ascii="Arial" w:eastAsia="Times New Roman" w:hAnsi="Arial" w:cs="Arial"/>
                <w:color w:val="000000"/>
                <w:sz w:val="18"/>
                <w:szCs w:val="18"/>
                <w:lang w:eastAsia="en-GB"/>
              </w:rPr>
              <w:t>(0.1</w:t>
            </w:r>
            <w:r w:rsidRPr="00B4171E">
              <w:rPr>
                <w:rFonts w:ascii="Arial" w:eastAsia="Times New Roman" w:hAnsi="Arial" w:cs="Arial"/>
                <w:color w:val="000000"/>
                <w:sz w:val="18"/>
                <w:szCs w:val="18"/>
                <w:lang w:eastAsia="en-GB"/>
              </w:rPr>
              <w:t>1</w:t>
            </w:r>
            <w:r w:rsidR="002F6698" w:rsidRPr="00B4171E">
              <w:rPr>
                <w:rFonts w:ascii="Arial" w:eastAsia="Times New Roman" w:hAnsi="Arial" w:cs="Arial"/>
                <w:color w:val="000000"/>
                <w:sz w:val="18"/>
                <w:szCs w:val="18"/>
                <w:lang w:eastAsia="en-GB"/>
              </w:rPr>
              <w:t>)</w:t>
            </w:r>
          </w:p>
        </w:tc>
        <w:tc>
          <w:tcPr>
            <w:tcW w:w="1323" w:type="dxa"/>
            <w:tcBorders>
              <w:top w:val="nil"/>
              <w:left w:val="single" w:sz="4" w:space="0" w:color="A6A6A6" w:themeColor="background1" w:themeShade="A6"/>
              <w:bottom w:val="nil"/>
              <w:right w:val="single" w:sz="4" w:space="0" w:color="A6A6A6" w:themeColor="background1" w:themeShade="A6"/>
            </w:tcBorders>
            <w:shd w:val="clear" w:color="auto" w:fill="F2F2F2" w:themeFill="background1" w:themeFillShade="F2"/>
            <w:noWrap/>
            <w:vAlign w:val="center"/>
          </w:tcPr>
          <w:p w14:paraId="65E02342" w14:textId="0E913F45" w:rsidR="00682DDA" w:rsidRPr="00B4171E" w:rsidRDefault="00682DDA" w:rsidP="005B490E">
            <w:pPr>
              <w:jc w:val="center"/>
              <w:rPr>
                <w:rFonts w:ascii="Arial" w:eastAsia="Times New Roman" w:hAnsi="Arial" w:cs="Arial"/>
                <w:color w:val="000000"/>
                <w:sz w:val="20"/>
                <w:szCs w:val="20"/>
                <w:lang w:eastAsia="en-GB"/>
              </w:rPr>
            </w:pPr>
          </w:p>
        </w:tc>
        <w:tc>
          <w:tcPr>
            <w:tcW w:w="1323" w:type="dxa"/>
            <w:tcBorders>
              <w:top w:val="nil"/>
              <w:left w:val="single" w:sz="4" w:space="0" w:color="A6A6A6" w:themeColor="background1" w:themeShade="A6"/>
              <w:bottom w:val="nil"/>
              <w:right w:val="nil"/>
            </w:tcBorders>
            <w:shd w:val="clear" w:color="auto" w:fill="F2F2F2" w:themeFill="background1" w:themeFillShade="F2"/>
            <w:noWrap/>
            <w:vAlign w:val="center"/>
          </w:tcPr>
          <w:p w14:paraId="62B58932" w14:textId="0755B91A" w:rsidR="00682DDA" w:rsidRPr="00B4171E" w:rsidRDefault="00037326" w:rsidP="005B490E">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 xml:space="preserve"> </w:t>
            </w:r>
            <w:r w:rsidR="00243D93" w:rsidRPr="00B4171E">
              <w:rPr>
                <w:rFonts w:ascii="Arial" w:eastAsia="Times New Roman" w:hAnsi="Arial" w:cs="Arial"/>
                <w:color w:val="000000"/>
                <w:sz w:val="20"/>
                <w:szCs w:val="20"/>
                <w:lang w:eastAsia="en-GB"/>
              </w:rPr>
              <w:t>-0.46</w:t>
            </w:r>
            <w:r w:rsidRPr="00B4171E">
              <w:rPr>
                <w:rFonts w:ascii="Arial" w:eastAsia="Times New Roman" w:hAnsi="Arial" w:cs="Arial"/>
                <w:color w:val="000000"/>
                <w:sz w:val="20"/>
                <w:szCs w:val="20"/>
                <w:lang w:eastAsia="en-GB"/>
              </w:rPr>
              <w:t xml:space="preserve"> </w:t>
            </w:r>
            <w:r w:rsidRPr="00B4171E">
              <w:rPr>
                <w:rFonts w:ascii="Arial" w:eastAsia="Times New Roman" w:hAnsi="Arial" w:cs="Arial"/>
                <w:color w:val="000000"/>
                <w:sz w:val="18"/>
                <w:szCs w:val="18"/>
                <w:lang w:eastAsia="en-GB"/>
              </w:rPr>
              <w:t>(0.18)</w:t>
            </w:r>
          </w:p>
        </w:tc>
      </w:tr>
      <w:tr w:rsidR="00682DDA" w:rsidRPr="00B4171E" w14:paraId="641F8D5A" w14:textId="77777777" w:rsidTr="00D5071F">
        <w:trPr>
          <w:trHeight w:val="185"/>
        </w:trPr>
        <w:tc>
          <w:tcPr>
            <w:tcW w:w="2127" w:type="dxa"/>
            <w:tcBorders>
              <w:top w:val="nil"/>
              <w:left w:val="nil"/>
              <w:bottom w:val="single" w:sz="12" w:space="0" w:color="auto"/>
              <w:right w:val="double" w:sz="4" w:space="0" w:color="auto"/>
            </w:tcBorders>
            <w:noWrap/>
            <w:vAlign w:val="center"/>
            <w:hideMark/>
          </w:tcPr>
          <w:p w14:paraId="552EF08C" w14:textId="7F3A4507" w:rsidR="00682DDA" w:rsidRPr="00B4171E" w:rsidRDefault="00682DDA" w:rsidP="00682DDA">
            <w:pP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CAG repeat length</w:t>
            </w:r>
          </w:p>
        </w:tc>
        <w:tc>
          <w:tcPr>
            <w:tcW w:w="1323" w:type="dxa"/>
            <w:tcBorders>
              <w:top w:val="nil"/>
              <w:left w:val="double" w:sz="4" w:space="0" w:color="auto"/>
              <w:bottom w:val="single" w:sz="12" w:space="0" w:color="auto"/>
              <w:right w:val="single" w:sz="4" w:space="0" w:color="A6A6A6" w:themeColor="background1" w:themeShade="A6"/>
            </w:tcBorders>
            <w:noWrap/>
            <w:vAlign w:val="center"/>
          </w:tcPr>
          <w:p w14:paraId="04CF2106" w14:textId="66EAF0DD" w:rsidR="00682DDA" w:rsidRPr="00B4171E" w:rsidRDefault="00682DDA" w:rsidP="005B490E">
            <w:pPr>
              <w:jc w:val="center"/>
              <w:rPr>
                <w:rFonts w:ascii="Arial" w:eastAsia="Times New Roman" w:hAnsi="Arial" w:cs="Arial"/>
                <w:color w:val="000000"/>
                <w:sz w:val="20"/>
                <w:szCs w:val="20"/>
                <w:lang w:eastAsia="en-GB"/>
              </w:rPr>
            </w:pPr>
          </w:p>
        </w:tc>
        <w:tc>
          <w:tcPr>
            <w:tcW w:w="1323" w:type="dxa"/>
            <w:tcBorders>
              <w:top w:val="nil"/>
              <w:left w:val="single" w:sz="4" w:space="0" w:color="A6A6A6" w:themeColor="background1" w:themeShade="A6"/>
              <w:bottom w:val="single" w:sz="12" w:space="0" w:color="auto"/>
              <w:right w:val="single" w:sz="4" w:space="0" w:color="A6A6A6" w:themeColor="background1" w:themeShade="A6"/>
            </w:tcBorders>
            <w:noWrap/>
            <w:vAlign w:val="center"/>
          </w:tcPr>
          <w:p w14:paraId="1932A7D1" w14:textId="7A02BBF0" w:rsidR="00682DDA" w:rsidRPr="00B4171E" w:rsidRDefault="006B46CC" w:rsidP="005B490E">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-0.0</w:t>
            </w:r>
            <w:r w:rsidR="00243D93" w:rsidRPr="00B4171E">
              <w:rPr>
                <w:rFonts w:ascii="Arial" w:eastAsia="Times New Roman" w:hAnsi="Arial" w:cs="Arial"/>
                <w:color w:val="000000"/>
                <w:sz w:val="20"/>
                <w:szCs w:val="20"/>
                <w:lang w:eastAsia="en-GB"/>
              </w:rPr>
              <w:t>3</w:t>
            </w:r>
            <w:r w:rsidR="002F6698" w:rsidRPr="00B4171E">
              <w:rPr>
                <w:rFonts w:ascii="Arial" w:eastAsia="Times New Roman" w:hAnsi="Arial" w:cs="Arial"/>
                <w:color w:val="000000"/>
                <w:sz w:val="20"/>
                <w:szCs w:val="20"/>
                <w:lang w:eastAsia="en-GB"/>
              </w:rPr>
              <w:t xml:space="preserve"> </w:t>
            </w:r>
            <w:r w:rsidR="002F6698" w:rsidRPr="00B4171E">
              <w:rPr>
                <w:rFonts w:ascii="Arial" w:eastAsia="Times New Roman" w:hAnsi="Arial" w:cs="Arial"/>
                <w:color w:val="000000"/>
                <w:sz w:val="18"/>
                <w:szCs w:val="18"/>
                <w:lang w:eastAsia="en-GB"/>
              </w:rPr>
              <w:t>(0.</w:t>
            </w:r>
            <w:r w:rsidR="00037326" w:rsidRPr="00B4171E">
              <w:rPr>
                <w:rFonts w:ascii="Arial" w:eastAsia="Times New Roman" w:hAnsi="Arial" w:cs="Arial"/>
                <w:color w:val="000000"/>
                <w:sz w:val="18"/>
                <w:szCs w:val="18"/>
                <w:lang w:eastAsia="en-GB"/>
              </w:rPr>
              <w:t>39</w:t>
            </w:r>
            <w:r w:rsidR="002F6698" w:rsidRPr="00B4171E">
              <w:rPr>
                <w:rFonts w:ascii="Arial" w:eastAsia="Times New Roman" w:hAnsi="Arial" w:cs="Arial"/>
                <w:color w:val="000000"/>
                <w:sz w:val="18"/>
                <w:szCs w:val="18"/>
                <w:lang w:eastAsia="en-GB"/>
              </w:rPr>
              <w:t>)</w:t>
            </w:r>
          </w:p>
        </w:tc>
        <w:tc>
          <w:tcPr>
            <w:tcW w:w="1323" w:type="dxa"/>
            <w:tcBorders>
              <w:top w:val="nil"/>
              <w:left w:val="single" w:sz="4" w:space="0" w:color="A6A6A6" w:themeColor="background1" w:themeShade="A6"/>
              <w:bottom w:val="single" w:sz="12" w:space="0" w:color="auto"/>
              <w:right w:val="nil"/>
            </w:tcBorders>
            <w:noWrap/>
            <w:vAlign w:val="center"/>
          </w:tcPr>
          <w:p w14:paraId="475CBF16" w14:textId="7EAAC11B" w:rsidR="00682DDA" w:rsidRPr="00B4171E" w:rsidRDefault="00037326" w:rsidP="005B490E">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 xml:space="preserve"> </w:t>
            </w:r>
            <w:r w:rsidR="00243D93" w:rsidRPr="00B4171E">
              <w:rPr>
                <w:rFonts w:ascii="Arial" w:eastAsia="Times New Roman" w:hAnsi="Arial" w:cs="Arial"/>
                <w:color w:val="000000"/>
                <w:sz w:val="20"/>
                <w:szCs w:val="20"/>
                <w:lang w:eastAsia="en-GB"/>
              </w:rPr>
              <w:t>-1.42</w:t>
            </w:r>
            <w:r w:rsidRPr="00B4171E">
              <w:rPr>
                <w:rFonts w:ascii="Arial" w:eastAsia="Times New Roman" w:hAnsi="Arial" w:cs="Arial"/>
                <w:color w:val="000000"/>
                <w:sz w:val="20"/>
                <w:szCs w:val="20"/>
                <w:lang w:eastAsia="en-GB"/>
              </w:rPr>
              <w:t xml:space="preserve"> </w:t>
            </w:r>
            <w:r w:rsidRPr="00B4171E">
              <w:rPr>
                <w:rFonts w:ascii="Arial" w:eastAsia="Times New Roman" w:hAnsi="Arial" w:cs="Arial"/>
                <w:color w:val="000000"/>
                <w:sz w:val="18"/>
                <w:szCs w:val="18"/>
                <w:lang w:eastAsia="en-GB"/>
              </w:rPr>
              <w:t>(0.67)</w:t>
            </w:r>
          </w:p>
        </w:tc>
      </w:tr>
      <w:tr w:rsidR="002F6698" w:rsidRPr="00B4171E" w14:paraId="0C14B3B1" w14:textId="77777777" w:rsidTr="00037326">
        <w:trPr>
          <w:trHeight w:val="185"/>
        </w:trPr>
        <w:tc>
          <w:tcPr>
            <w:tcW w:w="6096" w:type="dxa"/>
            <w:gridSpan w:val="4"/>
            <w:tcBorders>
              <w:top w:val="single" w:sz="12" w:space="0" w:color="auto"/>
              <w:left w:val="nil"/>
              <w:bottom w:val="nil"/>
              <w:right w:val="nil"/>
            </w:tcBorders>
            <w:noWrap/>
          </w:tcPr>
          <w:p w14:paraId="2A8AB017" w14:textId="0372CD3B" w:rsidR="002F6698" w:rsidRPr="00B4171E" w:rsidRDefault="002F6698" w:rsidP="002F6698">
            <w:pPr>
              <w:rPr>
                <w:rFonts w:ascii="Arial" w:eastAsia="Times New Roman" w:hAnsi="Arial" w:cs="Arial"/>
                <w:i/>
                <w:iCs/>
                <w:color w:val="262626" w:themeColor="text1" w:themeTint="D9"/>
                <w:sz w:val="20"/>
                <w:szCs w:val="20"/>
                <w:lang w:eastAsia="en-GB"/>
              </w:rPr>
            </w:pPr>
            <w:r w:rsidRPr="00B4171E">
              <w:rPr>
                <w:rFonts w:ascii="Arial" w:eastAsia="Times New Roman" w:hAnsi="Arial" w:cs="Arial"/>
                <w:i/>
                <w:iCs/>
                <w:color w:val="262626" w:themeColor="text1" w:themeTint="D9"/>
                <w:sz w:val="20"/>
                <w:szCs w:val="20"/>
                <w:lang w:eastAsia="en-GB"/>
              </w:rPr>
              <w:t>Table 3. Coefficient estimates from linear models</w:t>
            </w:r>
          </w:p>
          <w:p w14:paraId="25922C50" w14:textId="77777777" w:rsidR="002F6698" w:rsidRPr="00B4171E" w:rsidRDefault="002F6698" w:rsidP="002F6698">
            <w:pPr>
              <w:jc w:val="center"/>
              <w:rPr>
                <w:rFonts w:ascii="Arial" w:eastAsia="Times New Roman" w:hAnsi="Arial" w:cs="Arial"/>
                <w:i/>
                <w:iCs/>
                <w:color w:val="404040" w:themeColor="text1" w:themeTint="BF"/>
                <w:sz w:val="8"/>
                <w:szCs w:val="8"/>
                <w:lang w:eastAsia="en-GB"/>
              </w:rPr>
            </w:pPr>
          </w:p>
          <w:p w14:paraId="0C9F02F8" w14:textId="3B8F5927" w:rsidR="002F6698" w:rsidRPr="00B4171E" w:rsidRDefault="002F6698" w:rsidP="002F6698">
            <w:pPr>
              <w:rPr>
                <w:rFonts w:ascii="Arial" w:eastAsia="Times New Roman" w:hAnsi="Arial" w:cs="Arial"/>
                <w:i/>
                <w:iCs/>
                <w:color w:val="767171" w:themeColor="background2" w:themeShade="80"/>
                <w:sz w:val="17"/>
                <w:szCs w:val="17"/>
                <w:lang w:eastAsia="en-GB"/>
              </w:rPr>
            </w:pPr>
            <w:r w:rsidRPr="00B4171E">
              <w:rPr>
                <w:rFonts w:ascii="Arial" w:eastAsia="Times New Roman" w:hAnsi="Arial" w:cs="Arial"/>
                <w:i/>
                <w:iCs/>
                <w:color w:val="767171" w:themeColor="background2" w:themeShade="80"/>
                <w:sz w:val="17"/>
                <w:szCs w:val="17"/>
                <w:lang w:eastAsia="en-GB"/>
              </w:rPr>
              <w:t>Standard errors shown in brackets</w:t>
            </w:r>
          </w:p>
          <w:p w14:paraId="25369637" w14:textId="40E7EA01" w:rsidR="002F6698" w:rsidRPr="00B4171E" w:rsidRDefault="002F6698" w:rsidP="002F6698">
            <w:pPr>
              <w:rPr>
                <w:rFonts w:ascii="Arial" w:eastAsia="Times New Roman" w:hAnsi="Arial" w:cs="Arial"/>
                <w:i/>
                <w:iCs/>
                <w:color w:val="767171" w:themeColor="background2" w:themeShade="80"/>
                <w:sz w:val="17"/>
                <w:szCs w:val="17"/>
                <w:lang w:eastAsia="en-GB"/>
              </w:rPr>
            </w:pPr>
            <w:r w:rsidRPr="00B4171E">
              <w:rPr>
                <w:rFonts w:ascii="Arial" w:eastAsia="Times New Roman" w:hAnsi="Arial" w:cs="Arial"/>
                <w:i/>
                <w:iCs/>
                <w:color w:val="767171" w:themeColor="background2" w:themeShade="80"/>
                <w:sz w:val="17"/>
                <w:szCs w:val="17"/>
                <w:lang w:eastAsia="en-GB"/>
              </w:rPr>
              <w:t>All models fit using data on the pre-manifest HD group only</w:t>
            </w:r>
          </w:p>
          <w:p w14:paraId="22BFDE61" w14:textId="60204E70" w:rsidR="002F6698" w:rsidRPr="00B4171E" w:rsidRDefault="002F6698" w:rsidP="002F6698">
            <w:pPr>
              <w:rPr>
                <w:rFonts w:ascii="Arial" w:eastAsia="Times New Roman" w:hAnsi="Arial" w:cs="Arial"/>
                <w:color w:val="767171" w:themeColor="background2" w:themeShade="80"/>
                <w:sz w:val="17"/>
                <w:szCs w:val="17"/>
                <w:lang w:eastAsia="en-GB"/>
              </w:rPr>
            </w:pPr>
            <w:r w:rsidRPr="00B4171E">
              <w:rPr>
                <w:rFonts w:ascii="Arial" w:eastAsia="Times New Roman" w:hAnsi="Arial" w:cs="Arial"/>
                <w:color w:val="767171" w:themeColor="background2" w:themeShade="80"/>
                <w:sz w:val="17"/>
                <w:szCs w:val="17"/>
                <w:lang w:eastAsia="en-GB"/>
              </w:rPr>
              <w:t>Age</w:t>
            </w:r>
            <w:r w:rsidR="00212A90" w:rsidRPr="00B4171E">
              <w:rPr>
                <w:rFonts w:ascii="Arial" w:eastAsia="Times New Roman" w:hAnsi="Arial" w:cs="Arial"/>
                <w:color w:val="767171" w:themeColor="background2" w:themeShade="80"/>
                <w:sz w:val="17"/>
                <w:szCs w:val="17"/>
                <w:lang w:eastAsia="en-GB"/>
              </w:rPr>
              <w:t xml:space="preserve"> and CAG</w:t>
            </w:r>
            <w:r w:rsidRPr="00B4171E">
              <w:rPr>
                <w:rFonts w:ascii="Arial" w:eastAsia="Times New Roman" w:hAnsi="Arial" w:cs="Arial"/>
                <w:color w:val="767171" w:themeColor="background2" w:themeShade="80"/>
                <w:sz w:val="17"/>
                <w:szCs w:val="17"/>
                <w:lang w:eastAsia="en-GB"/>
              </w:rPr>
              <w:t xml:space="preserve"> variable</w:t>
            </w:r>
            <w:r w:rsidR="00212A90" w:rsidRPr="00B4171E">
              <w:rPr>
                <w:rFonts w:ascii="Arial" w:eastAsia="Times New Roman" w:hAnsi="Arial" w:cs="Arial"/>
                <w:color w:val="767171" w:themeColor="background2" w:themeShade="80"/>
                <w:sz w:val="17"/>
                <w:szCs w:val="17"/>
                <w:lang w:eastAsia="en-GB"/>
              </w:rPr>
              <w:t>s</w:t>
            </w:r>
            <w:r w:rsidRPr="00B4171E">
              <w:rPr>
                <w:rFonts w:ascii="Arial" w:eastAsia="Times New Roman" w:hAnsi="Arial" w:cs="Arial"/>
                <w:color w:val="767171" w:themeColor="background2" w:themeShade="80"/>
                <w:sz w:val="17"/>
                <w:szCs w:val="17"/>
                <w:lang w:eastAsia="en-GB"/>
              </w:rPr>
              <w:t xml:space="preserve"> ha</w:t>
            </w:r>
            <w:r w:rsidR="00212A90" w:rsidRPr="00B4171E">
              <w:rPr>
                <w:rFonts w:ascii="Arial" w:eastAsia="Times New Roman" w:hAnsi="Arial" w:cs="Arial"/>
                <w:color w:val="767171" w:themeColor="background2" w:themeShade="80"/>
                <w:sz w:val="17"/>
                <w:szCs w:val="17"/>
                <w:lang w:eastAsia="en-GB"/>
              </w:rPr>
              <w:t>ve</w:t>
            </w:r>
            <w:r w:rsidRPr="00B4171E">
              <w:rPr>
                <w:rFonts w:ascii="Arial" w:eastAsia="Times New Roman" w:hAnsi="Arial" w:cs="Arial"/>
                <w:color w:val="767171" w:themeColor="background2" w:themeShade="80"/>
                <w:sz w:val="17"/>
                <w:szCs w:val="17"/>
                <w:lang w:eastAsia="en-GB"/>
              </w:rPr>
              <w:t xml:space="preserve"> been </w:t>
            </w:r>
            <w:proofErr w:type="spellStart"/>
            <w:r w:rsidRPr="00B4171E">
              <w:rPr>
                <w:rFonts w:ascii="Arial" w:eastAsia="Times New Roman" w:hAnsi="Arial" w:cs="Arial"/>
                <w:color w:val="767171" w:themeColor="background2" w:themeShade="80"/>
                <w:sz w:val="17"/>
                <w:szCs w:val="17"/>
                <w:lang w:eastAsia="en-GB"/>
              </w:rPr>
              <w:t>centered</w:t>
            </w:r>
            <w:proofErr w:type="spellEnd"/>
          </w:p>
          <w:p w14:paraId="12240D08" w14:textId="1C091037" w:rsidR="002F6698" w:rsidRPr="00B4171E" w:rsidRDefault="002F6698" w:rsidP="002F6698">
            <w:pPr>
              <w:rPr>
                <w:rFonts w:ascii="Arial" w:eastAsia="Times New Roman" w:hAnsi="Arial" w:cs="Arial"/>
                <w:color w:val="000000"/>
                <w:sz w:val="4"/>
                <w:szCs w:val="4"/>
                <w:lang w:eastAsia="en-GB"/>
              </w:rPr>
            </w:pPr>
          </w:p>
        </w:tc>
      </w:tr>
    </w:tbl>
    <w:p w14:paraId="15AD7C89" w14:textId="4B772E88" w:rsidR="002F6698" w:rsidRPr="00B4171E" w:rsidRDefault="002F6698" w:rsidP="005F4670">
      <w:pPr>
        <w:rPr>
          <w:rFonts w:ascii="Arial" w:hAnsi="Arial" w:cs="Arial"/>
        </w:rPr>
      </w:pPr>
    </w:p>
    <w:p w14:paraId="36410241" w14:textId="305EA06B" w:rsidR="00037326" w:rsidRPr="00B4171E" w:rsidRDefault="00821C68" w:rsidP="005F4670">
      <w:pPr>
        <w:rPr>
          <w:rFonts w:ascii="Arial" w:hAnsi="Arial" w:cs="Arial"/>
        </w:rPr>
      </w:pPr>
      <w:r w:rsidRPr="00B4171E">
        <w:rPr>
          <w:rFonts w:ascii="Arial" w:hAnsi="Arial" w:cs="Arial"/>
        </w:rPr>
        <w:t>Model 3 shows</w:t>
      </w:r>
      <w:r w:rsidR="00F53FC2" w:rsidRPr="00B4171E">
        <w:rPr>
          <w:rFonts w:ascii="Arial" w:hAnsi="Arial" w:cs="Arial"/>
        </w:rPr>
        <w:t xml:space="preserve"> </w:t>
      </w:r>
      <w:r w:rsidR="00D5071F" w:rsidRPr="00B4171E">
        <w:rPr>
          <w:rFonts w:ascii="Arial" w:hAnsi="Arial" w:cs="Arial"/>
        </w:rPr>
        <w:t xml:space="preserve">that age and CAG repeat length both have a significant negative effect on mean SDMT score – for example holding all else constant, increasing age by one year will decrease mean SDMT score by 0.46 on average. These effects weren’t seen in models 1 or </w:t>
      </w:r>
      <w:r w:rsidR="00D5071F" w:rsidRPr="00B4171E">
        <w:rPr>
          <w:rFonts w:ascii="Arial" w:hAnsi="Arial" w:cs="Arial"/>
        </w:rPr>
        <w:lastRenderedPageBreak/>
        <w:t>2 because there is a confounding relationship between age and CAG repeat length</w:t>
      </w:r>
      <w:r w:rsidR="000E4F0E" w:rsidRPr="00B4171E">
        <w:rPr>
          <w:rFonts w:ascii="Arial" w:hAnsi="Arial" w:cs="Arial"/>
        </w:rPr>
        <w:t xml:space="preserve">. </w:t>
      </w:r>
      <w:r w:rsidR="00C5581C" w:rsidRPr="00B4171E">
        <w:rPr>
          <w:rFonts w:ascii="Arial" w:hAnsi="Arial" w:cs="Arial"/>
        </w:rPr>
        <w:br/>
      </w:r>
      <w:r w:rsidR="000E4F0E" w:rsidRPr="00B4171E">
        <w:rPr>
          <w:rFonts w:ascii="Arial" w:hAnsi="Arial" w:cs="Arial"/>
        </w:rPr>
        <w:t>By just looking at age alone, model 1 compare</w:t>
      </w:r>
      <w:r w:rsidR="00C5581C" w:rsidRPr="00B4171E">
        <w:rPr>
          <w:rFonts w:ascii="Arial" w:hAnsi="Arial" w:cs="Arial"/>
        </w:rPr>
        <w:t>s</w:t>
      </w:r>
      <w:r w:rsidR="000E4F0E" w:rsidRPr="00B4171E">
        <w:rPr>
          <w:rFonts w:ascii="Arial" w:hAnsi="Arial" w:cs="Arial"/>
        </w:rPr>
        <w:t xml:space="preserve"> mean SDMT scores between people of the same age but with potentially very different CAG repeat lengths. Similarly model 2 compares mean SDMT scores between people with similar CAG repeat lengths but potentially very different ages. </w:t>
      </w:r>
      <w:r w:rsidR="00ED56D7" w:rsidRPr="00B4171E">
        <w:rPr>
          <w:rFonts w:ascii="Arial" w:hAnsi="Arial" w:cs="Arial"/>
        </w:rPr>
        <w:br/>
      </w:r>
      <w:r w:rsidR="000E4F0E" w:rsidRPr="00B4171E">
        <w:rPr>
          <w:rFonts w:ascii="Arial" w:hAnsi="Arial" w:cs="Arial"/>
        </w:rPr>
        <w:t xml:space="preserve">There is a strong </w:t>
      </w:r>
      <w:r w:rsidR="00ED56D7" w:rsidRPr="00B4171E">
        <w:rPr>
          <w:rFonts w:ascii="Arial" w:hAnsi="Arial" w:cs="Arial"/>
        </w:rPr>
        <w:t xml:space="preserve">negative </w:t>
      </w:r>
      <w:r w:rsidR="000E4F0E" w:rsidRPr="00B4171E">
        <w:rPr>
          <w:rFonts w:ascii="Arial" w:hAnsi="Arial" w:cs="Arial"/>
        </w:rPr>
        <w:t>correlation (-0.82</w:t>
      </w:r>
      <w:r w:rsidR="00ED56D7" w:rsidRPr="00B4171E">
        <w:rPr>
          <w:rFonts w:ascii="Arial" w:hAnsi="Arial" w:cs="Arial"/>
        </w:rPr>
        <w:t>, 95% CI</w:t>
      </w:r>
      <w:r w:rsidR="000E4F0E" w:rsidRPr="00B4171E">
        <w:rPr>
          <w:rFonts w:ascii="Arial" w:hAnsi="Arial" w:cs="Arial"/>
        </w:rPr>
        <w:t xml:space="preserve"> [-0.87, -075]) between age and CAG repeat length.</w:t>
      </w:r>
      <w:r w:rsidR="00ED56D7" w:rsidRPr="00B4171E">
        <w:rPr>
          <w:rFonts w:ascii="Arial" w:hAnsi="Arial" w:cs="Arial"/>
        </w:rPr>
        <w:t xml:space="preserve"> There are negative correlations between age and SDMT score (-0.13, 95% CI [-0.30, 0.06]) and CAG repeat length and SDMT score (-0.01, 95% CI [-0.19, 0.17]) also. This explains why the coefficient estimates in models 1 &amp; 2 are lower than in model 3. Take model 1 for example – it correctly identifies that SDMT score decreases as age increases, but people with high age values in group 2 tend to have lower CAG repeat lengths. </w:t>
      </w:r>
      <w:r w:rsidR="006A155A" w:rsidRPr="00B4171E">
        <w:rPr>
          <w:rFonts w:ascii="Arial" w:hAnsi="Arial" w:cs="Arial"/>
        </w:rPr>
        <w:t xml:space="preserve">Given the negative correlation between CAG repeat length and SDMT score, we would expect these lower CAG </w:t>
      </w:r>
      <w:proofErr w:type="gramStart"/>
      <w:r w:rsidR="006A155A" w:rsidRPr="00B4171E">
        <w:rPr>
          <w:rFonts w:ascii="Arial" w:hAnsi="Arial" w:cs="Arial"/>
        </w:rPr>
        <w:t>repeat</w:t>
      </w:r>
      <w:proofErr w:type="gramEnd"/>
      <w:r w:rsidR="006A155A" w:rsidRPr="00B4171E">
        <w:rPr>
          <w:rFonts w:ascii="Arial" w:hAnsi="Arial" w:cs="Arial"/>
        </w:rPr>
        <w:t xml:space="preserve"> length people to get higher SDMT scores. The effect of CAG repeat length is ‘washing out’ some of the age effect due to the correlations. A similar explanation also holds for model 2.</w:t>
      </w:r>
    </w:p>
    <w:p w14:paraId="0CF9A3B2" w14:textId="4E816B40" w:rsidR="00635190" w:rsidRPr="00B4171E" w:rsidRDefault="00635190" w:rsidP="005F4670">
      <w:pPr>
        <w:rPr>
          <w:rFonts w:ascii="Arial" w:hAnsi="Arial" w:cs="Arial"/>
        </w:rPr>
      </w:pPr>
      <w:r w:rsidRPr="00B4171E">
        <w:rPr>
          <w:rFonts w:ascii="Arial" w:hAnsi="Arial" w:cs="Arial"/>
        </w:rPr>
        <w:t xml:space="preserve">Looking at the residuals against CAG repeat length, all three models show that the constant variance assumption does not hold. There is also evidence that the larger residuals do not follow a normal distribution from QQ-plots. </w:t>
      </w:r>
      <w:r w:rsidR="00A956CC" w:rsidRPr="00B4171E">
        <w:rPr>
          <w:rFonts w:ascii="Arial" w:hAnsi="Arial" w:cs="Arial"/>
        </w:rPr>
        <w:t>This will affect the robustness of results in Table 3 – in particular, the estimates for standard errors may not be accurate.</w:t>
      </w:r>
    </w:p>
    <w:p w14:paraId="0534073F" w14:textId="5CAA23A9" w:rsidR="00656E97" w:rsidRPr="00B4171E" w:rsidRDefault="00656E97" w:rsidP="00656E97">
      <w:pPr>
        <w:pStyle w:val="Heading3"/>
        <w:rPr>
          <w:rFonts w:ascii="Arial" w:hAnsi="Arial" w:cs="Arial"/>
        </w:rPr>
      </w:pPr>
      <w:r w:rsidRPr="00B4171E">
        <w:rPr>
          <w:rFonts w:ascii="Arial" w:hAnsi="Arial" w:cs="Arial"/>
        </w:rPr>
        <w:t>Question 4</w:t>
      </w:r>
    </w:p>
    <w:p w14:paraId="69F246DC" w14:textId="592F899B" w:rsidR="00656E97" w:rsidRPr="00B4171E" w:rsidRDefault="00A956CC" w:rsidP="005F4670">
      <w:pPr>
        <w:rPr>
          <w:rFonts w:ascii="Arial" w:hAnsi="Arial" w:cs="Arial"/>
        </w:rPr>
      </w:pPr>
      <w:r w:rsidRPr="00B4171E">
        <w:rPr>
          <w:rFonts w:ascii="Arial" w:hAnsi="Arial" w:cs="Arial"/>
        </w:rPr>
        <w:t xml:space="preserve">Table 4 shows some summary statistics across </w:t>
      </w:r>
      <w:r w:rsidR="00942F9B" w:rsidRPr="00B4171E">
        <w:rPr>
          <w:rFonts w:ascii="Arial" w:hAnsi="Arial" w:cs="Arial"/>
        </w:rPr>
        <w:t>three</w:t>
      </w:r>
      <w:r w:rsidRPr="00B4171E">
        <w:rPr>
          <w:rFonts w:ascii="Arial" w:hAnsi="Arial" w:cs="Arial"/>
        </w:rPr>
        <w:t xml:space="preserve"> groups (defined in the methods section, and repeated in the table):</w:t>
      </w:r>
    </w:p>
    <w:tbl>
      <w:tblPr>
        <w:tblStyle w:val="TableGrid"/>
        <w:tblW w:w="8586" w:type="dxa"/>
        <w:tblLayout w:type="fixed"/>
        <w:tblLook w:val="04A0" w:firstRow="1" w:lastRow="0" w:firstColumn="1" w:lastColumn="0" w:noHBand="0" w:noVBand="1"/>
      </w:tblPr>
      <w:tblGrid>
        <w:gridCol w:w="1115"/>
        <w:gridCol w:w="830"/>
        <w:gridCol w:w="830"/>
        <w:gridCol w:w="830"/>
        <w:gridCol w:w="830"/>
        <w:gridCol w:w="830"/>
        <w:gridCol w:w="830"/>
        <w:gridCol w:w="830"/>
        <w:gridCol w:w="830"/>
        <w:gridCol w:w="831"/>
      </w:tblGrid>
      <w:tr w:rsidR="00A956CC" w:rsidRPr="00B4171E" w14:paraId="1039B9E0" w14:textId="77777777" w:rsidTr="0064732A">
        <w:trPr>
          <w:trHeight w:val="232"/>
        </w:trPr>
        <w:tc>
          <w:tcPr>
            <w:tcW w:w="1115" w:type="dxa"/>
            <w:tcBorders>
              <w:top w:val="single" w:sz="12" w:space="0" w:color="auto"/>
              <w:left w:val="nil"/>
              <w:bottom w:val="nil"/>
              <w:right w:val="double" w:sz="4" w:space="0" w:color="auto"/>
            </w:tcBorders>
            <w:noWrap/>
            <w:vAlign w:val="center"/>
            <w:hideMark/>
          </w:tcPr>
          <w:p w14:paraId="07AEDA26" w14:textId="77777777" w:rsidR="00A956CC" w:rsidRPr="00B4171E" w:rsidRDefault="00A956CC" w:rsidP="00EA6655">
            <w:pPr>
              <w:jc w:val="center"/>
              <w:rPr>
                <w:rFonts w:ascii="Arial" w:eastAsia="Times New Roman" w:hAnsi="Arial" w:cs="Arial"/>
                <w:sz w:val="20"/>
                <w:szCs w:val="20"/>
                <w:lang w:eastAsia="en-GB"/>
              </w:rPr>
            </w:pPr>
          </w:p>
        </w:tc>
        <w:tc>
          <w:tcPr>
            <w:tcW w:w="2490" w:type="dxa"/>
            <w:gridSpan w:val="3"/>
            <w:tcBorders>
              <w:top w:val="single" w:sz="12" w:space="0" w:color="auto"/>
              <w:left w:val="double" w:sz="4" w:space="0" w:color="auto"/>
              <w:bottom w:val="nil"/>
              <w:right w:val="double" w:sz="4" w:space="0" w:color="auto"/>
            </w:tcBorders>
            <w:noWrap/>
            <w:vAlign w:val="center"/>
            <w:hideMark/>
          </w:tcPr>
          <w:p w14:paraId="59F394F5" w14:textId="125F125D" w:rsidR="00A956CC" w:rsidRPr="00B4171E" w:rsidRDefault="00A956CC" w:rsidP="00EA6655">
            <w:pPr>
              <w:jc w:val="center"/>
              <w:rPr>
                <w:rFonts w:ascii="Arial" w:eastAsia="Times New Roman" w:hAnsi="Arial" w:cs="Arial"/>
                <w:b/>
                <w:bCs/>
                <w:color w:val="000000"/>
                <w:sz w:val="20"/>
                <w:szCs w:val="20"/>
                <w:lang w:eastAsia="en-GB"/>
              </w:rPr>
            </w:pPr>
            <w:r w:rsidRPr="00B4171E">
              <w:rPr>
                <w:rFonts w:ascii="Arial" w:eastAsia="Times New Roman" w:hAnsi="Arial" w:cs="Arial"/>
                <w:b/>
                <w:bCs/>
                <w:color w:val="000000"/>
                <w:sz w:val="20"/>
                <w:szCs w:val="20"/>
                <w:lang w:eastAsia="en-GB"/>
              </w:rPr>
              <w:t>Group 1</w:t>
            </w:r>
            <w:r w:rsidR="00942F9B" w:rsidRPr="00B4171E">
              <w:rPr>
                <w:rFonts w:ascii="Arial" w:eastAsia="Times New Roman" w:hAnsi="Arial" w:cs="Arial"/>
                <w:b/>
                <w:bCs/>
                <w:color w:val="000000"/>
                <w:sz w:val="20"/>
                <w:szCs w:val="20"/>
                <w:lang w:eastAsia="en-GB"/>
              </w:rPr>
              <w:t xml:space="preserve"> (N = 123)</w:t>
            </w:r>
          </w:p>
        </w:tc>
        <w:tc>
          <w:tcPr>
            <w:tcW w:w="2490" w:type="dxa"/>
            <w:gridSpan w:val="3"/>
            <w:tcBorders>
              <w:top w:val="single" w:sz="12" w:space="0" w:color="auto"/>
              <w:left w:val="double" w:sz="4" w:space="0" w:color="auto"/>
              <w:bottom w:val="nil"/>
              <w:right w:val="double" w:sz="4" w:space="0" w:color="auto"/>
            </w:tcBorders>
            <w:noWrap/>
            <w:vAlign w:val="center"/>
            <w:hideMark/>
          </w:tcPr>
          <w:p w14:paraId="70A65AD6" w14:textId="6BD78147" w:rsidR="00A956CC" w:rsidRPr="00B4171E" w:rsidRDefault="00A956CC" w:rsidP="00EA6655">
            <w:pPr>
              <w:jc w:val="center"/>
              <w:rPr>
                <w:rFonts w:ascii="Arial" w:eastAsia="Times New Roman" w:hAnsi="Arial" w:cs="Arial"/>
                <w:b/>
                <w:bCs/>
                <w:color w:val="000000"/>
                <w:sz w:val="20"/>
                <w:szCs w:val="20"/>
                <w:lang w:eastAsia="en-GB"/>
              </w:rPr>
            </w:pPr>
            <w:r w:rsidRPr="00B4171E">
              <w:rPr>
                <w:rFonts w:ascii="Arial" w:eastAsia="Times New Roman" w:hAnsi="Arial" w:cs="Arial"/>
                <w:b/>
                <w:bCs/>
                <w:color w:val="000000"/>
                <w:sz w:val="20"/>
                <w:szCs w:val="20"/>
                <w:lang w:eastAsia="en-GB"/>
              </w:rPr>
              <w:t>Group 2</w:t>
            </w:r>
            <w:r w:rsidR="00942F9B" w:rsidRPr="00B4171E">
              <w:rPr>
                <w:rFonts w:ascii="Arial" w:eastAsia="Times New Roman" w:hAnsi="Arial" w:cs="Arial"/>
                <w:b/>
                <w:bCs/>
                <w:color w:val="000000"/>
                <w:sz w:val="20"/>
                <w:szCs w:val="20"/>
                <w:lang w:eastAsia="en-GB"/>
              </w:rPr>
              <w:t xml:space="preserve"> (N = 49)</w:t>
            </w:r>
          </w:p>
        </w:tc>
        <w:tc>
          <w:tcPr>
            <w:tcW w:w="2490" w:type="dxa"/>
            <w:gridSpan w:val="3"/>
            <w:tcBorders>
              <w:top w:val="single" w:sz="12" w:space="0" w:color="auto"/>
              <w:left w:val="double" w:sz="4" w:space="0" w:color="auto"/>
              <w:bottom w:val="nil"/>
              <w:right w:val="nil"/>
            </w:tcBorders>
            <w:noWrap/>
            <w:vAlign w:val="center"/>
            <w:hideMark/>
          </w:tcPr>
          <w:p w14:paraId="38F7A9CC" w14:textId="42E2A894" w:rsidR="00A956CC" w:rsidRPr="00B4171E" w:rsidRDefault="00A956CC" w:rsidP="00EA6655">
            <w:pPr>
              <w:jc w:val="center"/>
              <w:rPr>
                <w:rFonts w:ascii="Arial" w:eastAsia="Times New Roman" w:hAnsi="Arial" w:cs="Arial"/>
                <w:b/>
                <w:bCs/>
                <w:color w:val="000000"/>
                <w:sz w:val="20"/>
                <w:szCs w:val="20"/>
                <w:lang w:eastAsia="en-GB"/>
              </w:rPr>
            </w:pPr>
            <w:r w:rsidRPr="00B4171E">
              <w:rPr>
                <w:rFonts w:ascii="Arial" w:eastAsia="Times New Roman" w:hAnsi="Arial" w:cs="Arial"/>
                <w:b/>
                <w:bCs/>
                <w:color w:val="000000"/>
                <w:sz w:val="20"/>
                <w:szCs w:val="20"/>
                <w:lang w:eastAsia="en-GB"/>
              </w:rPr>
              <w:t>Group 3</w:t>
            </w:r>
            <w:r w:rsidR="00942F9B" w:rsidRPr="00B4171E">
              <w:rPr>
                <w:rFonts w:ascii="Arial" w:eastAsia="Times New Roman" w:hAnsi="Arial" w:cs="Arial"/>
                <w:b/>
                <w:bCs/>
                <w:color w:val="000000"/>
                <w:sz w:val="20"/>
                <w:szCs w:val="20"/>
                <w:lang w:eastAsia="en-GB"/>
              </w:rPr>
              <w:t xml:space="preserve"> (N = 71)</w:t>
            </w:r>
          </w:p>
        </w:tc>
      </w:tr>
      <w:tr w:rsidR="00A956CC" w:rsidRPr="00B4171E" w14:paraId="0A13AC11" w14:textId="77777777" w:rsidTr="0064732A">
        <w:trPr>
          <w:trHeight w:val="232"/>
        </w:trPr>
        <w:tc>
          <w:tcPr>
            <w:tcW w:w="1115" w:type="dxa"/>
            <w:tcBorders>
              <w:top w:val="nil"/>
              <w:left w:val="nil"/>
              <w:bottom w:val="single" w:sz="4" w:space="0" w:color="A6A6A6" w:themeColor="background1" w:themeShade="A6"/>
              <w:right w:val="double" w:sz="4" w:space="0" w:color="auto"/>
            </w:tcBorders>
            <w:noWrap/>
            <w:vAlign w:val="center"/>
            <w:hideMark/>
          </w:tcPr>
          <w:p w14:paraId="119C73C9" w14:textId="77777777" w:rsidR="00A956CC" w:rsidRPr="00B4171E" w:rsidRDefault="00A956CC" w:rsidP="00EA6655">
            <w:pPr>
              <w:jc w:val="center"/>
              <w:rPr>
                <w:rFonts w:ascii="Arial" w:eastAsia="Times New Roman" w:hAnsi="Arial" w:cs="Arial"/>
                <w:color w:val="000000"/>
                <w:sz w:val="20"/>
                <w:szCs w:val="20"/>
                <w:lang w:eastAsia="en-GB"/>
              </w:rPr>
            </w:pPr>
          </w:p>
        </w:tc>
        <w:tc>
          <w:tcPr>
            <w:tcW w:w="2490" w:type="dxa"/>
            <w:gridSpan w:val="3"/>
            <w:tcBorders>
              <w:top w:val="nil"/>
              <w:left w:val="double" w:sz="4" w:space="0" w:color="auto"/>
              <w:bottom w:val="single" w:sz="4" w:space="0" w:color="A6A6A6" w:themeColor="background1" w:themeShade="A6"/>
              <w:right w:val="double" w:sz="4" w:space="0" w:color="auto"/>
            </w:tcBorders>
            <w:noWrap/>
            <w:vAlign w:val="center"/>
            <w:hideMark/>
          </w:tcPr>
          <w:p w14:paraId="7704A9E4" w14:textId="2D131FFC" w:rsidR="00A956CC" w:rsidRPr="00B4171E" w:rsidRDefault="00A956CC" w:rsidP="00EA6655">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Healthy Controls</w:t>
            </w:r>
          </w:p>
        </w:tc>
        <w:tc>
          <w:tcPr>
            <w:tcW w:w="2490" w:type="dxa"/>
            <w:gridSpan w:val="3"/>
            <w:tcBorders>
              <w:top w:val="nil"/>
              <w:left w:val="double" w:sz="4" w:space="0" w:color="auto"/>
              <w:bottom w:val="single" w:sz="4" w:space="0" w:color="A6A6A6" w:themeColor="background1" w:themeShade="A6"/>
              <w:right w:val="double" w:sz="4" w:space="0" w:color="auto"/>
            </w:tcBorders>
            <w:noWrap/>
            <w:vAlign w:val="center"/>
            <w:hideMark/>
          </w:tcPr>
          <w:p w14:paraId="75765ADC" w14:textId="087B82C2" w:rsidR="00A956CC" w:rsidRPr="00B4171E" w:rsidRDefault="0064732A" w:rsidP="00EA6655">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CAG</w:t>
            </w:r>
            <w:r w:rsidR="00A956CC" w:rsidRPr="00B4171E">
              <w:rPr>
                <w:rFonts w:ascii="Arial" w:eastAsia="Times New Roman" w:hAnsi="Arial" w:cs="Arial"/>
                <w:color w:val="000000"/>
                <w:sz w:val="20"/>
                <w:szCs w:val="20"/>
                <w:lang w:eastAsia="en-GB"/>
              </w:rPr>
              <w:t xml:space="preserve"> ≤ 42</w:t>
            </w:r>
          </w:p>
        </w:tc>
        <w:tc>
          <w:tcPr>
            <w:tcW w:w="2490" w:type="dxa"/>
            <w:gridSpan w:val="3"/>
            <w:tcBorders>
              <w:top w:val="nil"/>
              <w:left w:val="double" w:sz="4" w:space="0" w:color="auto"/>
              <w:bottom w:val="single" w:sz="4" w:space="0" w:color="A6A6A6" w:themeColor="background1" w:themeShade="A6"/>
              <w:right w:val="nil"/>
            </w:tcBorders>
            <w:noWrap/>
            <w:vAlign w:val="center"/>
            <w:hideMark/>
          </w:tcPr>
          <w:p w14:paraId="58889046" w14:textId="43D979F8" w:rsidR="00A956CC" w:rsidRPr="00B4171E" w:rsidRDefault="0064732A" w:rsidP="00EA6655">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CAG</w:t>
            </w:r>
            <w:r w:rsidR="00942F9B" w:rsidRPr="00B4171E">
              <w:rPr>
                <w:rFonts w:ascii="Arial" w:eastAsia="Times New Roman" w:hAnsi="Arial" w:cs="Arial"/>
                <w:color w:val="000000"/>
                <w:sz w:val="20"/>
                <w:szCs w:val="20"/>
                <w:lang w:eastAsia="en-GB"/>
              </w:rPr>
              <w:t xml:space="preserve"> &gt; 42</w:t>
            </w:r>
          </w:p>
        </w:tc>
      </w:tr>
      <w:tr w:rsidR="0064732A" w:rsidRPr="00B4171E" w14:paraId="2D488F06" w14:textId="77777777" w:rsidTr="0064732A">
        <w:trPr>
          <w:trHeight w:val="232"/>
        </w:trPr>
        <w:tc>
          <w:tcPr>
            <w:tcW w:w="1115" w:type="dxa"/>
            <w:tcBorders>
              <w:top w:val="nil"/>
              <w:left w:val="nil"/>
              <w:bottom w:val="single" w:sz="4" w:space="0" w:color="A6A6A6" w:themeColor="background1" w:themeShade="A6"/>
              <w:right w:val="double" w:sz="4" w:space="0" w:color="auto"/>
            </w:tcBorders>
            <w:noWrap/>
            <w:vAlign w:val="center"/>
          </w:tcPr>
          <w:p w14:paraId="464E2FA9" w14:textId="77777777" w:rsidR="0064732A" w:rsidRPr="00B4171E" w:rsidRDefault="0064732A" w:rsidP="00EA6655">
            <w:pPr>
              <w:jc w:val="center"/>
              <w:rPr>
                <w:rFonts w:ascii="Arial" w:eastAsia="Times New Roman" w:hAnsi="Arial" w:cs="Arial"/>
                <w:color w:val="000000"/>
                <w:sz w:val="20"/>
                <w:szCs w:val="20"/>
                <w:lang w:eastAsia="en-GB"/>
              </w:rPr>
            </w:pPr>
          </w:p>
        </w:tc>
        <w:tc>
          <w:tcPr>
            <w:tcW w:w="830" w:type="dxa"/>
            <w:tcBorders>
              <w:top w:val="nil"/>
              <w:left w:val="double" w:sz="4" w:space="0" w:color="auto"/>
              <w:bottom w:val="single" w:sz="4" w:space="0" w:color="A6A6A6" w:themeColor="background1" w:themeShade="A6"/>
              <w:right w:val="single" w:sz="4" w:space="0" w:color="A6A6A6" w:themeColor="background1" w:themeShade="A6"/>
            </w:tcBorders>
            <w:noWrap/>
            <w:vAlign w:val="center"/>
          </w:tcPr>
          <w:p w14:paraId="652634D5" w14:textId="642F2FC2" w:rsidR="0064732A" w:rsidRPr="00B4171E" w:rsidRDefault="0064732A" w:rsidP="00EA6655">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Age</w:t>
            </w:r>
          </w:p>
        </w:tc>
        <w:tc>
          <w:tcPr>
            <w:tcW w:w="830"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5C5C1E0" w14:textId="4783AB1E" w:rsidR="0064732A" w:rsidRPr="00B4171E" w:rsidRDefault="0064732A" w:rsidP="00EA6655">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CAG</w:t>
            </w:r>
          </w:p>
        </w:tc>
        <w:tc>
          <w:tcPr>
            <w:tcW w:w="830" w:type="dxa"/>
            <w:tcBorders>
              <w:top w:val="nil"/>
              <w:left w:val="single" w:sz="4" w:space="0" w:color="A6A6A6" w:themeColor="background1" w:themeShade="A6"/>
              <w:bottom w:val="single" w:sz="4" w:space="0" w:color="A6A6A6" w:themeColor="background1" w:themeShade="A6"/>
              <w:right w:val="double" w:sz="4" w:space="0" w:color="auto"/>
            </w:tcBorders>
            <w:vAlign w:val="center"/>
          </w:tcPr>
          <w:p w14:paraId="408746FA" w14:textId="148C01A2" w:rsidR="0064732A" w:rsidRPr="00B4171E" w:rsidRDefault="0064732A" w:rsidP="00EA6655">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SDMT</w:t>
            </w:r>
          </w:p>
        </w:tc>
        <w:tc>
          <w:tcPr>
            <w:tcW w:w="830" w:type="dxa"/>
            <w:tcBorders>
              <w:top w:val="nil"/>
              <w:left w:val="double" w:sz="4" w:space="0" w:color="auto"/>
              <w:bottom w:val="single" w:sz="4" w:space="0" w:color="A6A6A6" w:themeColor="background1" w:themeShade="A6"/>
              <w:right w:val="single" w:sz="4" w:space="0" w:color="A6A6A6" w:themeColor="background1" w:themeShade="A6"/>
            </w:tcBorders>
            <w:noWrap/>
            <w:vAlign w:val="center"/>
          </w:tcPr>
          <w:p w14:paraId="0D610189" w14:textId="681070F3" w:rsidR="0064732A" w:rsidRPr="00B4171E" w:rsidRDefault="0064732A" w:rsidP="00EA6655">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Age</w:t>
            </w:r>
          </w:p>
        </w:tc>
        <w:tc>
          <w:tcPr>
            <w:tcW w:w="830"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8492B3" w14:textId="2A339506" w:rsidR="0064732A" w:rsidRPr="00B4171E" w:rsidRDefault="0064732A" w:rsidP="00EA6655">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CAG</w:t>
            </w:r>
          </w:p>
        </w:tc>
        <w:tc>
          <w:tcPr>
            <w:tcW w:w="830" w:type="dxa"/>
            <w:tcBorders>
              <w:top w:val="nil"/>
              <w:left w:val="single" w:sz="4" w:space="0" w:color="A6A6A6" w:themeColor="background1" w:themeShade="A6"/>
              <w:bottom w:val="single" w:sz="4" w:space="0" w:color="A6A6A6" w:themeColor="background1" w:themeShade="A6"/>
              <w:right w:val="double" w:sz="4" w:space="0" w:color="auto"/>
            </w:tcBorders>
            <w:vAlign w:val="center"/>
          </w:tcPr>
          <w:p w14:paraId="20BAC3D5" w14:textId="21A83C7F" w:rsidR="0064732A" w:rsidRPr="00B4171E" w:rsidRDefault="0064732A" w:rsidP="00EA6655">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SDMT</w:t>
            </w:r>
          </w:p>
        </w:tc>
        <w:tc>
          <w:tcPr>
            <w:tcW w:w="830" w:type="dxa"/>
            <w:tcBorders>
              <w:top w:val="nil"/>
              <w:left w:val="double" w:sz="4" w:space="0" w:color="auto"/>
              <w:bottom w:val="single" w:sz="4" w:space="0" w:color="A6A6A6" w:themeColor="background1" w:themeShade="A6"/>
              <w:right w:val="single" w:sz="4" w:space="0" w:color="A6A6A6" w:themeColor="background1" w:themeShade="A6"/>
            </w:tcBorders>
            <w:noWrap/>
            <w:vAlign w:val="center"/>
          </w:tcPr>
          <w:p w14:paraId="42348AF8" w14:textId="4C527010" w:rsidR="0064732A" w:rsidRPr="00B4171E" w:rsidRDefault="0064732A" w:rsidP="00EA6655">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Age</w:t>
            </w:r>
          </w:p>
        </w:tc>
        <w:tc>
          <w:tcPr>
            <w:tcW w:w="830"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4C41F43" w14:textId="233A0C7B" w:rsidR="0064732A" w:rsidRPr="00B4171E" w:rsidRDefault="0064732A" w:rsidP="00EA6655">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CAG</w:t>
            </w:r>
          </w:p>
        </w:tc>
        <w:tc>
          <w:tcPr>
            <w:tcW w:w="830" w:type="dxa"/>
            <w:tcBorders>
              <w:top w:val="nil"/>
              <w:left w:val="single" w:sz="4" w:space="0" w:color="A6A6A6" w:themeColor="background1" w:themeShade="A6"/>
              <w:bottom w:val="single" w:sz="4" w:space="0" w:color="A6A6A6" w:themeColor="background1" w:themeShade="A6"/>
              <w:right w:val="nil"/>
            </w:tcBorders>
            <w:vAlign w:val="center"/>
          </w:tcPr>
          <w:p w14:paraId="37F78225" w14:textId="56CB5938" w:rsidR="0064732A" w:rsidRPr="00B4171E" w:rsidRDefault="0064732A" w:rsidP="00EA6655">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SDMT</w:t>
            </w:r>
          </w:p>
        </w:tc>
      </w:tr>
      <w:tr w:rsidR="0064732A" w:rsidRPr="00B4171E" w14:paraId="319C2BF6" w14:textId="77777777" w:rsidTr="0064732A">
        <w:trPr>
          <w:trHeight w:val="232"/>
        </w:trPr>
        <w:tc>
          <w:tcPr>
            <w:tcW w:w="1115" w:type="dxa"/>
            <w:tcBorders>
              <w:top w:val="single" w:sz="4" w:space="0" w:color="A6A6A6" w:themeColor="background1" w:themeShade="A6"/>
              <w:left w:val="nil"/>
              <w:bottom w:val="nil"/>
              <w:right w:val="double" w:sz="4" w:space="0" w:color="auto"/>
            </w:tcBorders>
            <w:noWrap/>
            <w:vAlign w:val="center"/>
            <w:hideMark/>
          </w:tcPr>
          <w:p w14:paraId="2FBCCB76" w14:textId="77777777" w:rsidR="0064732A" w:rsidRPr="00B4171E" w:rsidRDefault="0064732A" w:rsidP="00EA6655">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Range</w:t>
            </w:r>
          </w:p>
        </w:tc>
        <w:tc>
          <w:tcPr>
            <w:tcW w:w="830" w:type="dxa"/>
            <w:tcBorders>
              <w:top w:val="single" w:sz="4" w:space="0" w:color="A6A6A6" w:themeColor="background1" w:themeShade="A6"/>
              <w:left w:val="double" w:sz="4" w:space="0" w:color="auto"/>
              <w:bottom w:val="nil"/>
              <w:right w:val="single" w:sz="4" w:space="0" w:color="A6A6A6" w:themeColor="background1" w:themeShade="A6"/>
            </w:tcBorders>
            <w:noWrap/>
            <w:vAlign w:val="center"/>
          </w:tcPr>
          <w:p w14:paraId="4E974FD3" w14:textId="6AF27025"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23 – 66</w:t>
            </w:r>
          </w:p>
        </w:tc>
        <w:tc>
          <w:tcPr>
            <w:tcW w:w="83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vAlign w:val="center"/>
          </w:tcPr>
          <w:p w14:paraId="1DDE3469" w14:textId="77777777" w:rsidR="0064732A" w:rsidRPr="00B4171E" w:rsidRDefault="0064732A" w:rsidP="00A956CC">
            <w:pPr>
              <w:jc w:val="center"/>
              <w:rPr>
                <w:rFonts w:ascii="Arial" w:eastAsia="Times New Roman" w:hAnsi="Arial" w:cs="Arial"/>
                <w:color w:val="000000"/>
                <w:sz w:val="18"/>
                <w:szCs w:val="18"/>
                <w:lang w:eastAsia="en-GB"/>
              </w:rPr>
            </w:pPr>
          </w:p>
        </w:tc>
        <w:tc>
          <w:tcPr>
            <w:tcW w:w="830" w:type="dxa"/>
            <w:tcBorders>
              <w:top w:val="single" w:sz="4" w:space="0" w:color="A6A6A6" w:themeColor="background1" w:themeShade="A6"/>
              <w:left w:val="single" w:sz="4" w:space="0" w:color="A6A6A6" w:themeColor="background1" w:themeShade="A6"/>
              <w:bottom w:val="nil"/>
              <w:right w:val="double" w:sz="4" w:space="0" w:color="auto"/>
            </w:tcBorders>
            <w:vAlign w:val="center"/>
          </w:tcPr>
          <w:p w14:paraId="503074ED" w14:textId="474E6CA4"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30 – 78 </w:t>
            </w:r>
          </w:p>
        </w:tc>
        <w:tc>
          <w:tcPr>
            <w:tcW w:w="830" w:type="dxa"/>
            <w:tcBorders>
              <w:top w:val="single" w:sz="4" w:space="0" w:color="A6A6A6" w:themeColor="background1" w:themeShade="A6"/>
              <w:left w:val="double" w:sz="4" w:space="0" w:color="auto"/>
              <w:bottom w:val="nil"/>
              <w:right w:val="single" w:sz="4" w:space="0" w:color="A6A6A6" w:themeColor="background1" w:themeShade="A6"/>
            </w:tcBorders>
            <w:noWrap/>
            <w:vAlign w:val="center"/>
          </w:tcPr>
          <w:p w14:paraId="70953B4C" w14:textId="5F1BE407"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34 – 64</w:t>
            </w:r>
          </w:p>
        </w:tc>
        <w:tc>
          <w:tcPr>
            <w:tcW w:w="83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vAlign w:val="center"/>
          </w:tcPr>
          <w:p w14:paraId="2810B571" w14:textId="1C0C6C38"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39 – 42</w:t>
            </w:r>
          </w:p>
        </w:tc>
        <w:tc>
          <w:tcPr>
            <w:tcW w:w="830" w:type="dxa"/>
            <w:tcBorders>
              <w:top w:val="single" w:sz="4" w:space="0" w:color="A6A6A6" w:themeColor="background1" w:themeShade="A6"/>
              <w:left w:val="single" w:sz="4" w:space="0" w:color="A6A6A6" w:themeColor="background1" w:themeShade="A6"/>
              <w:bottom w:val="nil"/>
              <w:right w:val="double" w:sz="4" w:space="0" w:color="auto"/>
            </w:tcBorders>
            <w:vAlign w:val="center"/>
          </w:tcPr>
          <w:p w14:paraId="6FDB35E5" w14:textId="32FA2B9D"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30 – 72</w:t>
            </w:r>
          </w:p>
        </w:tc>
        <w:tc>
          <w:tcPr>
            <w:tcW w:w="830" w:type="dxa"/>
            <w:tcBorders>
              <w:top w:val="single" w:sz="4" w:space="0" w:color="A6A6A6" w:themeColor="background1" w:themeShade="A6"/>
              <w:left w:val="double" w:sz="4" w:space="0" w:color="auto"/>
              <w:bottom w:val="nil"/>
              <w:right w:val="single" w:sz="4" w:space="0" w:color="A6A6A6" w:themeColor="background1" w:themeShade="A6"/>
            </w:tcBorders>
            <w:noWrap/>
            <w:vAlign w:val="center"/>
          </w:tcPr>
          <w:p w14:paraId="0496A7E6" w14:textId="578C2AEC" w:rsidR="0064732A" w:rsidRPr="00B4171E" w:rsidRDefault="00594FD6" w:rsidP="00EA6655">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19 – 50</w:t>
            </w:r>
          </w:p>
        </w:tc>
        <w:tc>
          <w:tcPr>
            <w:tcW w:w="83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vAlign w:val="center"/>
          </w:tcPr>
          <w:p w14:paraId="22B3E4B8" w14:textId="664D12E6" w:rsidR="0064732A" w:rsidRPr="00B4171E" w:rsidRDefault="00594FD6" w:rsidP="00EA6655">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43 – 52</w:t>
            </w:r>
          </w:p>
        </w:tc>
        <w:tc>
          <w:tcPr>
            <w:tcW w:w="830" w:type="dxa"/>
            <w:tcBorders>
              <w:top w:val="single" w:sz="4" w:space="0" w:color="A6A6A6" w:themeColor="background1" w:themeShade="A6"/>
              <w:left w:val="single" w:sz="4" w:space="0" w:color="A6A6A6" w:themeColor="background1" w:themeShade="A6"/>
              <w:bottom w:val="nil"/>
              <w:right w:val="nil"/>
            </w:tcBorders>
            <w:vAlign w:val="center"/>
          </w:tcPr>
          <w:p w14:paraId="47AF7805" w14:textId="7535CE25" w:rsidR="0064732A" w:rsidRPr="00B4171E" w:rsidRDefault="00594FD6" w:rsidP="00EA6655">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31 – 80</w:t>
            </w:r>
          </w:p>
        </w:tc>
      </w:tr>
      <w:tr w:rsidR="0064732A" w:rsidRPr="00B4171E" w14:paraId="126BC209" w14:textId="77777777" w:rsidTr="0064732A">
        <w:trPr>
          <w:trHeight w:val="232"/>
        </w:trPr>
        <w:tc>
          <w:tcPr>
            <w:tcW w:w="1115" w:type="dxa"/>
            <w:tcBorders>
              <w:top w:val="nil"/>
              <w:left w:val="nil"/>
              <w:bottom w:val="nil"/>
              <w:right w:val="double" w:sz="4" w:space="0" w:color="auto"/>
            </w:tcBorders>
            <w:shd w:val="clear" w:color="auto" w:fill="F2F2F2" w:themeFill="background1" w:themeFillShade="F2"/>
            <w:noWrap/>
            <w:vAlign w:val="center"/>
            <w:hideMark/>
          </w:tcPr>
          <w:p w14:paraId="4F4F5588" w14:textId="77777777" w:rsidR="0064732A" w:rsidRPr="00B4171E" w:rsidRDefault="0064732A" w:rsidP="00EA6655">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Mean</w:t>
            </w:r>
          </w:p>
        </w:tc>
        <w:tc>
          <w:tcPr>
            <w:tcW w:w="830" w:type="dxa"/>
            <w:tcBorders>
              <w:top w:val="nil"/>
              <w:left w:val="double" w:sz="4" w:space="0" w:color="auto"/>
              <w:bottom w:val="nil"/>
              <w:right w:val="single" w:sz="4" w:space="0" w:color="A6A6A6" w:themeColor="background1" w:themeShade="A6"/>
            </w:tcBorders>
            <w:shd w:val="clear" w:color="auto" w:fill="F2F2F2" w:themeFill="background1" w:themeFillShade="F2"/>
            <w:noWrap/>
            <w:vAlign w:val="center"/>
          </w:tcPr>
          <w:p w14:paraId="47784526" w14:textId="66FB9953" w:rsidR="0064732A" w:rsidRPr="00B4171E" w:rsidRDefault="00594FD6" w:rsidP="00942F9B">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46.2</w:t>
            </w:r>
          </w:p>
        </w:tc>
        <w:tc>
          <w:tcPr>
            <w:tcW w:w="830" w:type="dxa"/>
            <w:tcBorders>
              <w:top w:val="nil"/>
              <w:left w:val="single" w:sz="4" w:space="0" w:color="A6A6A6" w:themeColor="background1" w:themeShade="A6"/>
              <w:bottom w:val="nil"/>
              <w:right w:val="single" w:sz="4" w:space="0" w:color="A6A6A6" w:themeColor="background1" w:themeShade="A6"/>
            </w:tcBorders>
            <w:shd w:val="clear" w:color="auto" w:fill="F2F2F2" w:themeFill="background1" w:themeFillShade="F2"/>
            <w:vAlign w:val="center"/>
          </w:tcPr>
          <w:p w14:paraId="6C019167" w14:textId="77777777" w:rsidR="0064732A" w:rsidRPr="00B4171E" w:rsidRDefault="0064732A" w:rsidP="00942F9B">
            <w:pPr>
              <w:jc w:val="center"/>
              <w:rPr>
                <w:rFonts w:ascii="Arial" w:eastAsia="Times New Roman" w:hAnsi="Arial" w:cs="Arial"/>
                <w:color w:val="000000"/>
                <w:sz w:val="18"/>
                <w:szCs w:val="18"/>
                <w:lang w:eastAsia="en-GB"/>
              </w:rPr>
            </w:pPr>
          </w:p>
        </w:tc>
        <w:tc>
          <w:tcPr>
            <w:tcW w:w="830" w:type="dxa"/>
            <w:tcBorders>
              <w:top w:val="nil"/>
              <w:left w:val="single" w:sz="4" w:space="0" w:color="A6A6A6" w:themeColor="background1" w:themeShade="A6"/>
              <w:bottom w:val="nil"/>
              <w:right w:val="double" w:sz="4" w:space="0" w:color="auto"/>
            </w:tcBorders>
            <w:shd w:val="clear" w:color="auto" w:fill="F2F2F2" w:themeFill="background1" w:themeFillShade="F2"/>
            <w:vAlign w:val="center"/>
          </w:tcPr>
          <w:p w14:paraId="27D5A479" w14:textId="1A4591F7" w:rsidR="0064732A" w:rsidRPr="00B4171E" w:rsidRDefault="00594FD6" w:rsidP="00942F9B">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52.2</w:t>
            </w:r>
          </w:p>
        </w:tc>
        <w:tc>
          <w:tcPr>
            <w:tcW w:w="830" w:type="dxa"/>
            <w:tcBorders>
              <w:top w:val="nil"/>
              <w:left w:val="double" w:sz="4" w:space="0" w:color="auto"/>
              <w:bottom w:val="nil"/>
              <w:right w:val="single" w:sz="4" w:space="0" w:color="A6A6A6" w:themeColor="background1" w:themeShade="A6"/>
            </w:tcBorders>
            <w:shd w:val="clear" w:color="auto" w:fill="F2F2F2" w:themeFill="background1" w:themeFillShade="F2"/>
            <w:noWrap/>
            <w:vAlign w:val="center"/>
          </w:tcPr>
          <w:p w14:paraId="2DCF790B" w14:textId="7B6D3BC4"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48.2</w:t>
            </w:r>
          </w:p>
        </w:tc>
        <w:tc>
          <w:tcPr>
            <w:tcW w:w="830" w:type="dxa"/>
            <w:tcBorders>
              <w:top w:val="nil"/>
              <w:left w:val="single" w:sz="4" w:space="0" w:color="A6A6A6" w:themeColor="background1" w:themeShade="A6"/>
              <w:bottom w:val="nil"/>
              <w:right w:val="single" w:sz="4" w:space="0" w:color="A6A6A6" w:themeColor="background1" w:themeShade="A6"/>
            </w:tcBorders>
            <w:shd w:val="clear" w:color="auto" w:fill="F2F2F2" w:themeFill="background1" w:themeFillShade="F2"/>
            <w:vAlign w:val="center"/>
          </w:tcPr>
          <w:p w14:paraId="0B636999" w14:textId="36A3993F"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41.0</w:t>
            </w:r>
          </w:p>
        </w:tc>
        <w:tc>
          <w:tcPr>
            <w:tcW w:w="830" w:type="dxa"/>
            <w:tcBorders>
              <w:top w:val="nil"/>
              <w:left w:val="single" w:sz="4" w:space="0" w:color="A6A6A6" w:themeColor="background1" w:themeShade="A6"/>
              <w:bottom w:val="nil"/>
              <w:right w:val="double" w:sz="4" w:space="0" w:color="auto"/>
            </w:tcBorders>
            <w:shd w:val="clear" w:color="auto" w:fill="F2F2F2" w:themeFill="background1" w:themeFillShade="F2"/>
            <w:vAlign w:val="center"/>
          </w:tcPr>
          <w:p w14:paraId="694170A5" w14:textId="3C928C7A"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51.1</w:t>
            </w:r>
          </w:p>
        </w:tc>
        <w:tc>
          <w:tcPr>
            <w:tcW w:w="830" w:type="dxa"/>
            <w:tcBorders>
              <w:top w:val="nil"/>
              <w:left w:val="double" w:sz="4" w:space="0" w:color="auto"/>
              <w:bottom w:val="nil"/>
              <w:right w:val="single" w:sz="4" w:space="0" w:color="A6A6A6" w:themeColor="background1" w:themeShade="A6"/>
            </w:tcBorders>
            <w:shd w:val="clear" w:color="auto" w:fill="F2F2F2" w:themeFill="background1" w:themeFillShade="F2"/>
            <w:noWrap/>
            <w:vAlign w:val="center"/>
          </w:tcPr>
          <w:p w14:paraId="399177A9" w14:textId="0A2000D6" w:rsidR="0064732A" w:rsidRPr="00B4171E" w:rsidRDefault="00594FD6" w:rsidP="00EA6655">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35.7</w:t>
            </w:r>
          </w:p>
        </w:tc>
        <w:tc>
          <w:tcPr>
            <w:tcW w:w="830" w:type="dxa"/>
            <w:tcBorders>
              <w:top w:val="nil"/>
              <w:left w:val="single" w:sz="4" w:space="0" w:color="A6A6A6" w:themeColor="background1" w:themeShade="A6"/>
              <w:bottom w:val="nil"/>
              <w:right w:val="single" w:sz="4" w:space="0" w:color="A6A6A6" w:themeColor="background1" w:themeShade="A6"/>
            </w:tcBorders>
            <w:shd w:val="clear" w:color="auto" w:fill="F2F2F2" w:themeFill="background1" w:themeFillShade="F2"/>
            <w:vAlign w:val="center"/>
          </w:tcPr>
          <w:p w14:paraId="1CA8567A" w14:textId="23453489" w:rsidR="0064732A" w:rsidRPr="00B4171E" w:rsidRDefault="00594FD6" w:rsidP="00EA6655">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44.6</w:t>
            </w:r>
          </w:p>
        </w:tc>
        <w:tc>
          <w:tcPr>
            <w:tcW w:w="830" w:type="dxa"/>
            <w:tcBorders>
              <w:top w:val="nil"/>
              <w:left w:val="single" w:sz="4" w:space="0" w:color="A6A6A6" w:themeColor="background1" w:themeShade="A6"/>
              <w:bottom w:val="nil"/>
              <w:right w:val="nil"/>
            </w:tcBorders>
            <w:shd w:val="clear" w:color="auto" w:fill="F2F2F2" w:themeFill="background1" w:themeFillShade="F2"/>
            <w:vAlign w:val="center"/>
          </w:tcPr>
          <w:p w14:paraId="0E8B55EB" w14:textId="12BDAC3D" w:rsidR="0064732A" w:rsidRPr="00B4171E" w:rsidRDefault="00594FD6" w:rsidP="00EA6655">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51.4</w:t>
            </w:r>
          </w:p>
        </w:tc>
      </w:tr>
      <w:tr w:rsidR="0064732A" w:rsidRPr="00B4171E" w14:paraId="652A6047" w14:textId="77777777" w:rsidTr="0064732A">
        <w:trPr>
          <w:trHeight w:val="232"/>
        </w:trPr>
        <w:tc>
          <w:tcPr>
            <w:tcW w:w="1115" w:type="dxa"/>
            <w:tcBorders>
              <w:top w:val="nil"/>
              <w:left w:val="nil"/>
              <w:bottom w:val="nil"/>
              <w:right w:val="double" w:sz="4" w:space="0" w:color="auto"/>
            </w:tcBorders>
            <w:noWrap/>
            <w:vAlign w:val="center"/>
            <w:hideMark/>
          </w:tcPr>
          <w:p w14:paraId="4AFF8672" w14:textId="77777777" w:rsidR="0064732A" w:rsidRPr="00B4171E" w:rsidRDefault="0064732A" w:rsidP="00EA6655">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Std Dev</w:t>
            </w:r>
          </w:p>
        </w:tc>
        <w:tc>
          <w:tcPr>
            <w:tcW w:w="830" w:type="dxa"/>
            <w:tcBorders>
              <w:top w:val="nil"/>
              <w:left w:val="double" w:sz="4" w:space="0" w:color="auto"/>
              <w:bottom w:val="nil"/>
              <w:right w:val="single" w:sz="4" w:space="0" w:color="A6A6A6" w:themeColor="background1" w:themeShade="A6"/>
            </w:tcBorders>
            <w:noWrap/>
            <w:vAlign w:val="center"/>
          </w:tcPr>
          <w:p w14:paraId="1A4AB6B8" w14:textId="68411CBB"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10.3</w:t>
            </w:r>
          </w:p>
        </w:tc>
        <w:tc>
          <w:tcPr>
            <w:tcW w:w="830" w:type="dxa"/>
            <w:tcBorders>
              <w:top w:val="nil"/>
              <w:left w:val="single" w:sz="4" w:space="0" w:color="A6A6A6" w:themeColor="background1" w:themeShade="A6"/>
              <w:bottom w:val="nil"/>
              <w:right w:val="single" w:sz="4" w:space="0" w:color="A6A6A6" w:themeColor="background1" w:themeShade="A6"/>
            </w:tcBorders>
            <w:vAlign w:val="center"/>
          </w:tcPr>
          <w:p w14:paraId="3F506465" w14:textId="77777777" w:rsidR="0064732A" w:rsidRPr="00B4171E" w:rsidRDefault="0064732A" w:rsidP="00A956CC">
            <w:pPr>
              <w:jc w:val="center"/>
              <w:rPr>
                <w:rFonts w:ascii="Arial" w:eastAsia="Times New Roman" w:hAnsi="Arial" w:cs="Arial"/>
                <w:color w:val="000000"/>
                <w:sz w:val="18"/>
                <w:szCs w:val="18"/>
                <w:lang w:eastAsia="en-GB"/>
              </w:rPr>
            </w:pPr>
          </w:p>
        </w:tc>
        <w:tc>
          <w:tcPr>
            <w:tcW w:w="830" w:type="dxa"/>
            <w:tcBorders>
              <w:top w:val="nil"/>
              <w:left w:val="single" w:sz="4" w:space="0" w:color="A6A6A6" w:themeColor="background1" w:themeShade="A6"/>
              <w:bottom w:val="nil"/>
              <w:right w:val="double" w:sz="4" w:space="0" w:color="auto"/>
            </w:tcBorders>
            <w:vAlign w:val="center"/>
          </w:tcPr>
          <w:p w14:paraId="6957B446" w14:textId="091DC8E2"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 9.5</w:t>
            </w:r>
          </w:p>
        </w:tc>
        <w:tc>
          <w:tcPr>
            <w:tcW w:w="830" w:type="dxa"/>
            <w:tcBorders>
              <w:top w:val="nil"/>
              <w:left w:val="double" w:sz="4" w:space="0" w:color="auto"/>
              <w:bottom w:val="nil"/>
              <w:right w:val="single" w:sz="4" w:space="0" w:color="A6A6A6" w:themeColor="background1" w:themeShade="A6"/>
            </w:tcBorders>
            <w:noWrap/>
            <w:vAlign w:val="center"/>
          </w:tcPr>
          <w:p w14:paraId="4D117835" w14:textId="33A98345"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 7.1</w:t>
            </w:r>
          </w:p>
        </w:tc>
        <w:tc>
          <w:tcPr>
            <w:tcW w:w="830" w:type="dxa"/>
            <w:tcBorders>
              <w:top w:val="nil"/>
              <w:left w:val="single" w:sz="4" w:space="0" w:color="A6A6A6" w:themeColor="background1" w:themeShade="A6"/>
              <w:bottom w:val="nil"/>
              <w:right w:val="single" w:sz="4" w:space="0" w:color="A6A6A6" w:themeColor="background1" w:themeShade="A6"/>
            </w:tcBorders>
            <w:vAlign w:val="center"/>
          </w:tcPr>
          <w:p w14:paraId="323D7A2C" w14:textId="09C721B2"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 0.9</w:t>
            </w:r>
          </w:p>
        </w:tc>
        <w:tc>
          <w:tcPr>
            <w:tcW w:w="830" w:type="dxa"/>
            <w:tcBorders>
              <w:top w:val="nil"/>
              <w:left w:val="single" w:sz="4" w:space="0" w:color="A6A6A6" w:themeColor="background1" w:themeShade="A6"/>
              <w:bottom w:val="nil"/>
              <w:right w:val="double" w:sz="4" w:space="0" w:color="auto"/>
            </w:tcBorders>
            <w:vAlign w:val="center"/>
          </w:tcPr>
          <w:p w14:paraId="2F04CC28" w14:textId="37646755"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 9.8</w:t>
            </w:r>
          </w:p>
        </w:tc>
        <w:tc>
          <w:tcPr>
            <w:tcW w:w="830" w:type="dxa"/>
            <w:tcBorders>
              <w:top w:val="nil"/>
              <w:left w:val="double" w:sz="4" w:space="0" w:color="auto"/>
              <w:bottom w:val="nil"/>
              <w:right w:val="single" w:sz="4" w:space="0" w:color="A6A6A6" w:themeColor="background1" w:themeShade="A6"/>
            </w:tcBorders>
            <w:noWrap/>
            <w:vAlign w:val="center"/>
          </w:tcPr>
          <w:p w14:paraId="77FEB06E" w14:textId="21DCEE2A" w:rsidR="0064732A" w:rsidRPr="00B4171E" w:rsidRDefault="00594FD6" w:rsidP="00EA6655">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 5.9</w:t>
            </w:r>
          </w:p>
        </w:tc>
        <w:tc>
          <w:tcPr>
            <w:tcW w:w="830" w:type="dxa"/>
            <w:tcBorders>
              <w:top w:val="nil"/>
              <w:left w:val="single" w:sz="4" w:space="0" w:color="A6A6A6" w:themeColor="background1" w:themeShade="A6"/>
              <w:bottom w:val="nil"/>
              <w:right w:val="single" w:sz="4" w:space="0" w:color="A6A6A6" w:themeColor="background1" w:themeShade="A6"/>
            </w:tcBorders>
            <w:vAlign w:val="center"/>
          </w:tcPr>
          <w:p w14:paraId="00C36978" w14:textId="7DB7A879" w:rsidR="0064732A" w:rsidRPr="00B4171E" w:rsidRDefault="00594FD6" w:rsidP="00EA6655">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 2.0</w:t>
            </w:r>
          </w:p>
        </w:tc>
        <w:tc>
          <w:tcPr>
            <w:tcW w:w="830" w:type="dxa"/>
            <w:tcBorders>
              <w:top w:val="nil"/>
              <w:left w:val="single" w:sz="4" w:space="0" w:color="A6A6A6" w:themeColor="background1" w:themeShade="A6"/>
              <w:bottom w:val="nil"/>
              <w:right w:val="nil"/>
            </w:tcBorders>
            <w:vAlign w:val="center"/>
          </w:tcPr>
          <w:p w14:paraId="6618EC33" w14:textId="4B75B543" w:rsidR="0064732A" w:rsidRPr="00B4171E" w:rsidRDefault="00594FD6" w:rsidP="00EA6655">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10.6</w:t>
            </w:r>
          </w:p>
        </w:tc>
      </w:tr>
      <w:tr w:rsidR="0064732A" w:rsidRPr="00B4171E" w14:paraId="4865C435" w14:textId="77777777" w:rsidTr="0064732A">
        <w:trPr>
          <w:trHeight w:val="232"/>
        </w:trPr>
        <w:tc>
          <w:tcPr>
            <w:tcW w:w="1115" w:type="dxa"/>
            <w:tcBorders>
              <w:top w:val="nil"/>
              <w:left w:val="nil"/>
              <w:bottom w:val="nil"/>
              <w:right w:val="double" w:sz="4" w:space="0" w:color="auto"/>
            </w:tcBorders>
            <w:shd w:val="clear" w:color="auto" w:fill="F2F2F2" w:themeFill="background1" w:themeFillShade="F2"/>
            <w:noWrap/>
            <w:vAlign w:val="center"/>
            <w:hideMark/>
          </w:tcPr>
          <w:p w14:paraId="25BC7862" w14:textId="77777777" w:rsidR="0064732A" w:rsidRPr="00B4171E" w:rsidRDefault="0064732A" w:rsidP="00EA6655">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Skew</w:t>
            </w:r>
          </w:p>
        </w:tc>
        <w:tc>
          <w:tcPr>
            <w:tcW w:w="830" w:type="dxa"/>
            <w:tcBorders>
              <w:top w:val="nil"/>
              <w:left w:val="double" w:sz="4" w:space="0" w:color="auto"/>
              <w:bottom w:val="nil"/>
              <w:right w:val="single" w:sz="4" w:space="0" w:color="A6A6A6" w:themeColor="background1" w:themeShade="A6"/>
            </w:tcBorders>
            <w:shd w:val="clear" w:color="auto" w:fill="F2F2F2" w:themeFill="background1" w:themeFillShade="F2"/>
            <w:noWrap/>
            <w:vAlign w:val="center"/>
          </w:tcPr>
          <w:p w14:paraId="4509115E" w14:textId="143DCAE7"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-0.1</w:t>
            </w:r>
          </w:p>
        </w:tc>
        <w:tc>
          <w:tcPr>
            <w:tcW w:w="830" w:type="dxa"/>
            <w:tcBorders>
              <w:top w:val="nil"/>
              <w:left w:val="single" w:sz="4" w:space="0" w:color="A6A6A6" w:themeColor="background1" w:themeShade="A6"/>
              <w:bottom w:val="nil"/>
              <w:right w:val="single" w:sz="4" w:space="0" w:color="A6A6A6" w:themeColor="background1" w:themeShade="A6"/>
            </w:tcBorders>
            <w:shd w:val="clear" w:color="auto" w:fill="F2F2F2" w:themeFill="background1" w:themeFillShade="F2"/>
            <w:vAlign w:val="center"/>
          </w:tcPr>
          <w:p w14:paraId="07EC2EAD" w14:textId="77777777" w:rsidR="0064732A" w:rsidRPr="00B4171E" w:rsidRDefault="0064732A" w:rsidP="00A956CC">
            <w:pPr>
              <w:jc w:val="center"/>
              <w:rPr>
                <w:rFonts w:ascii="Arial" w:eastAsia="Times New Roman" w:hAnsi="Arial" w:cs="Arial"/>
                <w:color w:val="000000"/>
                <w:sz w:val="18"/>
                <w:szCs w:val="18"/>
                <w:lang w:eastAsia="en-GB"/>
              </w:rPr>
            </w:pPr>
          </w:p>
        </w:tc>
        <w:tc>
          <w:tcPr>
            <w:tcW w:w="830" w:type="dxa"/>
            <w:tcBorders>
              <w:top w:val="nil"/>
              <w:left w:val="single" w:sz="4" w:space="0" w:color="A6A6A6" w:themeColor="background1" w:themeShade="A6"/>
              <w:bottom w:val="nil"/>
              <w:right w:val="double" w:sz="4" w:space="0" w:color="auto"/>
            </w:tcBorders>
            <w:shd w:val="clear" w:color="auto" w:fill="F2F2F2" w:themeFill="background1" w:themeFillShade="F2"/>
            <w:vAlign w:val="center"/>
          </w:tcPr>
          <w:p w14:paraId="55EA5609" w14:textId="1ED0E8B4"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-0.1</w:t>
            </w:r>
          </w:p>
        </w:tc>
        <w:tc>
          <w:tcPr>
            <w:tcW w:w="830" w:type="dxa"/>
            <w:tcBorders>
              <w:top w:val="nil"/>
              <w:left w:val="double" w:sz="4" w:space="0" w:color="auto"/>
              <w:bottom w:val="nil"/>
              <w:right w:val="single" w:sz="4" w:space="0" w:color="A6A6A6" w:themeColor="background1" w:themeShade="A6"/>
            </w:tcBorders>
            <w:shd w:val="clear" w:color="auto" w:fill="F2F2F2" w:themeFill="background1" w:themeFillShade="F2"/>
            <w:noWrap/>
            <w:vAlign w:val="center"/>
          </w:tcPr>
          <w:p w14:paraId="07E5EAC6" w14:textId="2A4F05DB"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 0.3</w:t>
            </w:r>
          </w:p>
        </w:tc>
        <w:tc>
          <w:tcPr>
            <w:tcW w:w="830" w:type="dxa"/>
            <w:tcBorders>
              <w:top w:val="nil"/>
              <w:left w:val="single" w:sz="4" w:space="0" w:color="A6A6A6" w:themeColor="background1" w:themeShade="A6"/>
              <w:bottom w:val="nil"/>
              <w:right w:val="single" w:sz="4" w:space="0" w:color="A6A6A6" w:themeColor="background1" w:themeShade="A6"/>
            </w:tcBorders>
            <w:shd w:val="clear" w:color="auto" w:fill="F2F2F2" w:themeFill="background1" w:themeFillShade="F2"/>
            <w:vAlign w:val="center"/>
          </w:tcPr>
          <w:p w14:paraId="1A6C7005" w14:textId="1168AA8E"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-0.4</w:t>
            </w:r>
          </w:p>
        </w:tc>
        <w:tc>
          <w:tcPr>
            <w:tcW w:w="830" w:type="dxa"/>
            <w:tcBorders>
              <w:top w:val="nil"/>
              <w:left w:val="single" w:sz="4" w:space="0" w:color="A6A6A6" w:themeColor="background1" w:themeShade="A6"/>
              <w:bottom w:val="nil"/>
              <w:right w:val="double" w:sz="4" w:space="0" w:color="auto"/>
            </w:tcBorders>
            <w:shd w:val="clear" w:color="auto" w:fill="F2F2F2" w:themeFill="background1" w:themeFillShade="F2"/>
            <w:vAlign w:val="center"/>
          </w:tcPr>
          <w:p w14:paraId="2C5544B0" w14:textId="72BD01EA"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-0.2</w:t>
            </w:r>
          </w:p>
        </w:tc>
        <w:tc>
          <w:tcPr>
            <w:tcW w:w="830" w:type="dxa"/>
            <w:tcBorders>
              <w:top w:val="nil"/>
              <w:left w:val="double" w:sz="4" w:space="0" w:color="auto"/>
              <w:bottom w:val="nil"/>
              <w:right w:val="single" w:sz="4" w:space="0" w:color="A6A6A6" w:themeColor="background1" w:themeShade="A6"/>
            </w:tcBorders>
            <w:shd w:val="clear" w:color="auto" w:fill="F2F2F2" w:themeFill="background1" w:themeFillShade="F2"/>
            <w:noWrap/>
            <w:vAlign w:val="center"/>
          </w:tcPr>
          <w:p w14:paraId="0BBC08ED" w14:textId="46D16ADA" w:rsidR="0064732A" w:rsidRPr="00B4171E" w:rsidRDefault="00594FD6" w:rsidP="00EA6655">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-0.4</w:t>
            </w:r>
          </w:p>
        </w:tc>
        <w:tc>
          <w:tcPr>
            <w:tcW w:w="830" w:type="dxa"/>
            <w:tcBorders>
              <w:top w:val="nil"/>
              <w:left w:val="single" w:sz="4" w:space="0" w:color="A6A6A6" w:themeColor="background1" w:themeShade="A6"/>
              <w:bottom w:val="nil"/>
              <w:right w:val="single" w:sz="4" w:space="0" w:color="A6A6A6" w:themeColor="background1" w:themeShade="A6"/>
            </w:tcBorders>
            <w:shd w:val="clear" w:color="auto" w:fill="F2F2F2" w:themeFill="background1" w:themeFillShade="F2"/>
            <w:vAlign w:val="center"/>
          </w:tcPr>
          <w:p w14:paraId="47AF1EE6" w14:textId="60DCBF5D" w:rsidR="0064732A" w:rsidRPr="00B4171E" w:rsidRDefault="00594FD6" w:rsidP="00EA6655">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 1.7</w:t>
            </w:r>
          </w:p>
        </w:tc>
        <w:tc>
          <w:tcPr>
            <w:tcW w:w="830" w:type="dxa"/>
            <w:tcBorders>
              <w:top w:val="nil"/>
              <w:left w:val="single" w:sz="4" w:space="0" w:color="A6A6A6" w:themeColor="background1" w:themeShade="A6"/>
              <w:bottom w:val="nil"/>
              <w:right w:val="nil"/>
            </w:tcBorders>
            <w:shd w:val="clear" w:color="auto" w:fill="F2F2F2" w:themeFill="background1" w:themeFillShade="F2"/>
            <w:vAlign w:val="center"/>
          </w:tcPr>
          <w:p w14:paraId="5E38E994" w14:textId="0F65D6D2" w:rsidR="0064732A" w:rsidRPr="00B4171E" w:rsidRDefault="00594FD6" w:rsidP="00EA6655">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 0.5</w:t>
            </w:r>
          </w:p>
        </w:tc>
      </w:tr>
      <w:tr w:rsidR="0064732A" w:rsidRPr="00B4171E" w14:paraId="1BD92026" w14:textId="77777777" w:rsidTr="0064732A">
        <w:trPr>
          <w:trHeight w:val="232"/>
        </w:trPr>
        <w:tc>
          <w:tcPr>
            <w:tcW w:w="1115" w:type="dxa"/>
            <w:tcBorders>
              <w:top w:val="nil"/>
              <w:left w:val="nil"/>
              <w:bottom w:val="single" w:sz="12" w:space="0" w:color="auto"/>
              <w:right w:val="double" w:sz="4" w:space="0" w:color="auto"/>
            </w:tcBorders>
            <w:noWrap/>
            <w:vAlign w:val="center"/>
            <w:hideMark/>
          </w:tcPr>
          <w:p w14:paraId="0324FF3F" w14:textId="77777777" w:rsidR="0064732A" w:rsidRPr="00B4171E" w:rsidRDefault="0064732A" w:rsidP="00EA6655">
            <w:pPr>
              <w:jc w:val="center"/>
              <w:rPr>
                <w:rFonts w:ascii="Arial" w:eastAsia="Times New Roman" w:hAnsi="Arial" w:cs="Arial"/>
                <w:color w:val="000000"/>
                <w:sz w:val="20"/>
                <w:szCs w:val="20"/>
                <w:lang w:eastAsia="en-GB"/>
              </w:rPr>
            </w:pPr>
            <w:r w:rsidRPr="00B4171E">
              <w:rPr>
                <w:rFonts w:ascii="Arial" w:eastAsia="Times New Roman" w:hAnsi="Arial" w:cs="Arial"/>
                <w:color w:val="000000"/>
                <w:sz w:val="20"/>
                <w:szCs w:val="20"/>
                <w:lang w:eastAsia="en-GB"/>
              </w:rPr>
              <w:t>Kurtosis</w:t>
            </w:r>
          </w:p>
        </w:tc>
        <w:tc>
          <w:tcPr>
            <w:tcW w:w="830" w:type="dxa"/>
            <w:tcBorders>
              <w:top w:val="nil"/>
              <w:left w:val="double" w:sz="4" w:space="0" w:color="auto"/>
              <w:bottom w:val="single" w:sz="12" w:space="0" w:color="auto"/>
              <w:right w:val="single" w:sz="4" w:space="0" w:color="A6A6A6" w:themeColor="background1" w:themeShade="A6"/>
            </w:tcBorders>
            <w:noWrap/>
            <w:vAlign w:val="center"/>
          </w:tcPr>
          <w:p w14:paraId="5EDEB4ED" w14:textId="07D84EB2"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 2.2</w:t>
            </w:r>
          </w:p>
        </w:tc>
        <w:tc>
          <w:tcPr>
            <w:tcW w:w="830" w:type="dxa"/>
            <w:tcBorders>
              <w:top w:val="nil"/>
              <w:left w:val="single" w:sz="4" w:space="0" w:color="A6A6A6" w:themeColor="background1" w:themeShade="A6"/>
              <w:bottom w:val="single" w:sz="12" w:space="0" w:color="auto"/>
              <w:right w:val="single" w:sz="4" w:space="0" w:color="A6A6A6" w:themeColor="background1" w:themeShade="A6"/>
            </w:tcBorders>
            <w:vAlign w:val="center"/>
          </w:tcPr>
          <w:p w14:paraId="20CFD725" w14:textId="77777777" w:rsidR="0064732A" w:rsidRPr="00B4171E" w:rsidRDefault="0064732A" w:rsidP="00A956CC">
            <w:pPr>
              <w:jc w:val="center"/>
              <w:rPr>
                <w:rFonts w:ascii="Arial" w:eastAsia="Times New Roman" w:hAnsi="Arial" w:cs="Arial"/>
                <w:color w:val="000000"/>
                <w:sz w:val="18"/>
                <w:szCs w:val="18"/>
                <w:lang w:eastAsia="en-GB"/>
              </w:rPr>
            </w:pPr>
          </w:p>
        </w:tc>
        <w:tc>
          <w:tcPr>
            <w:tcW w:w="830" w:type="dxa"/>
            <w:tcBorders>
              <w:top w:val="nil"/>
              <w:left w:val="single" w:sz="4" w:space="0" w:color="A6A6A6" w:themeColor="background1" w:themeShade="A6"/>
              <w:bottom w:val="single" w:sz="12" w:space="0" w:color="auto"/>
              <w:right w:val="double" w:sz="4" w:space="0" w:color="auto"/>
            </w:tcBorders>
            <w:vAlign w:val="center"/>
          </w:tcPr>
          <w:p w14:paraId="45AA6280" w14:textId="4C259AEE"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 2.9</w:t>
            </w:r>
          </w:p>
        </w:tc>
        <w:tc>
          <w:tcPr>
            <w:tcW w:w="830" w:type="dxa"/>
            <w:tcBorders>
              <w:top w:val="nil"/>
              <w:left w:val="double" w:sz="4" w:space="0" w:color="auto"/>
              <w:bottom w:val="single" w:sz="12" w:space="0" w:color="auto"/>
              <w:right w:val="single" w:sz="4" w:space="0" w:color="A6A6A6" w:themeColor="background1" w:themeShade="A6"/>
            </w:tcBorders>
            <w:noWrap/>
            <w:vAlign w:val="center"/>
          </w:tcPr>
          <w:p w14:paraId="73CBD6AF" w14:textId="2AB49E0E"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 2.6</w:t>
            </w:r>
          </w:p>
        </w:tc>
        <w:tc>
          <w:tcPr>
            <w:tcW w:w="830" w:type="dxa"/>
            <w:tcBorders>
              <w:top w:val="nil"/>
              <w:left w:val="single" w:sz="4" w:space="0" w:color="A6A6A6" w:themeColor="background1" w:themeShade="A6"/>
              <w:bottom w:val="single" w:sz="12" w:space="0" w:color="auto"/>
              <w:right w:val="single" w:sz="4" w:space="0" w:color="A6A6A6" w:themeColor="background1" w:themeShade="A6"/>
            </w:tcBorders>
            <w:vAlign w:val="center"/>
          </w:tcPr>
          <w:p w14:paraId="6DF7F3F4" w14:textId="06231E93"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 2.1</w:t>
            </w:r>
          </w:p>
        </w:tc>
        <w:tc>
          <w:tcPr>
            <w:tcW w:w="830" w:type="dxa"/>
            <w:tcBorders>
              <w:top w:val="nil"/>
              <w:left w:val="single" w:sz="4" w:space="0" w:color="A6A6A6" w:themeColor="background1" w:themeShade="A6"/>
              <w:bottom w:val="single" w:sz="12" w:space="0" w:color="auto"/>
              <w:right w:val="double" w:sz="4" w:space="0" w:color="auto"/>
            </w:tcBorders>
            <w:vAlign w:val="center"/>
          </w:tcPr>
          <w:p w14:paraId="53DF6053" w14:textId="5CE8DA58" w:rsidR="0064732A" w:rsidRPr="00B4171E" w:rsidRDefault="00594FD6" w:rsidP="00A956CC">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 2.3</w:t>
            </w:r>
          </w:p>
        </w:tc>
        <w:tc>
          <w:tcPr>
            <w:tcW w:w="830" w:type="dxa"/>
            <w:tcBorders>
              <w:top w:val="nil"/>
              <w:left w:val="double" w:sz="4" w:space="0" w:color="auto"/>
              <w:bottom w:val="single" w:sz="12" w:space="0" w:color="auto"/>
              <w:right w:val="single" w:sz="4" w:space="0" w:color="A6A6A6" w:themeColor="background1" w:themeShade="A6"/>
            </w:tcBorders>
            <w:noWrap/>
            <w:vAlign w:val="center"/>
          </w:tcPr>
          <w:p w14:paraId="2F19160B" w14:textId="5095AFEF" w:rsidR="0064732A" w:rsidRPr="00B4171E" w:rsidRDefault="00594FD6" w:rsidP="00EA6655">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 3.2</w:t>
            </w:r>
          </w:p>
        </w:tc>
        <w:tc>
          <w:tcPr>
            <w:tcW w:w="830" w:type="dxa"/>
            <w:tcBorders>
              <w:top w:val="nil"/>
              <w:left w:val="single" w:sz="4" w:space="0" w:color="A6A6A6" w:themeColor="background1" w:themeShade="A6"/>
              <w:bottom w:val="single" w:sz="12" w:space="0" w:color="auto"/>
              <w:right w:val="single" w:sz="4" w:space="0" w:color="A6A6A6" w:themeColor="background1" w:themeShade="A6"/>
            </w:tcBorders>
            <w:vAlign w:val="center"/>
          </w:tcPr>
          <w:p w14:paraId="706F7D3C" w14:textId="630C9EC2" w:rsidR="0064732A" w:rsidRPr="00B4171E" w:rsidRDefault="00594FD6" w:rsidP="00EA6655">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 5.7</w:t>
            </w:r>
          </w:p>
        </w:tc>
        <w:tc>
          <w:tcPr>
            <w:tcW w:w="830" w:type="dxa"/>
            <w:tcBorders>
              <w:top w:val="nil"/>
              <w:left w:val="single" w:sz="4" w:space="0" w:color="A6A6A6" w:themeColor="background1" w:themeShade="A6"/>
              <w:bottom w:val="single" w:sz="12" w:space="0" w:color="auto"/>
              <w:right w:val="nil"/>
            </w:tcBorders>
            <w:vAlign w:val="center"/>
          </w:tcPr>
          <w:p w14:paraId="3B7F4078" w14:textId="348B9B76" w:rsidR="0064732A" w:rsidRPr="00B4171E" w:rsidRDefault="00594FD6" w:rsidP="00EA6655">
            <w:pPr>
              <w:jc w:val="center"/>
              <w:rPr>
                <w:rFonts w:ascii="Arial" w:eastAsia="Times New Roman" w:hAnsi="Arial" w:cs="Arial"/>
                <w:color w:val="000000"/>
                <w:sz w:val="18"/>
                <w:szCs w:val="18"/>
                <w:lang w:eastAsia="en-GB"/>
              </w:rPr>
            </w:pPr>
            <w:r w:rsidRPr="00B4171E">
              <w:rPr>
                <w:rFonts w:ascii="Arial" w:eastAsia="Times New Roman" w:hAnsi="Arial" w:cs="Arial"/>
                <w:color w:val="000000"/>
                <w:sz w:val="18"/>
                <w:szCs w:val="18"/>
                <w:lang w:eastAsia="en-GB"/>
              </w:rPr>
              <w:t xml:space="preserve"> 2.9</w:t>
            </w:r>
          </w:p>
        </w:tc>
      </w:tr>
      <w:tr w:rsidR="00A956CC" w:rsidRPr="00B4171E" w14:paraId="0C9DC885" w14:textId="77777777" w:rsidTr="0064732A">
        <w:trPr>
          <w:trHeight w:val="232"/>
        </w:trPr>
        <w:tc>
          <w:tcPr>
            <w:tcW w:w="8586" w:type="dxa"/>
            <w:gridSpan w:val="10"/>
            <w:tcBorders>
              <w:top w:val="single" w:sz="12" w:space="0" w:color="auto"/>
              <w:left w:val="nil"/>
              <w:bottom w:val="nil"/>
              <w:right w:val="nil"/>
            </w:tcBorders>
            <w:noWrap/>
            <w:vAlign w:val="center"/>
          </w:tcPr>
          <w:p w14:paraId="73B32280" w14:textId="69A3EBDB" w:rsidR="00A956CC" w:rsidRPr="00B4171E" w:rsidRDefault="00A956CC" w:rsidP="00EA6655">
            <w:pPr>
              <w:rPr>
                <w:rFonts w:ascii="Arial" w:eastAsia="Times New Roman" w:hAnsi="Arial" w:cs="Arial"/>
                <w:i/>
                <w:iCs/>
                <w:color w:val="262626" w:themeColor="text1" w:themeTint="D9"/>
                <w:sz w:val="20"/>
                <w:szCs w:val="20"/>
                <w:lang w:eastAsia="en-GB"/>
              </w:rPr>
            </w:pPr>
            <w:r w:rsidRPr="00B4171E">
              <w:rPr>
                <w:rFonts w:ascii="Arial" w:eastAsia="Times New Roman" w:hAnsi="Arial" w:cs="Arial"/>
                <w:i/>
                <w:iCs/>
                <w:color w:val="262626" w:themeColor="text1" w:themeTint="D9"/>
                <w:sz w:val="20"/>
                <w:szCs w:val="20"/>
                <w:lang w:eastAsia="en-GB"/>
              </w:rPr>
              <w:t>Table 4. Summary statistics</w:t>
            </w:r>
          </w:p>
          <w:p w14:paraId="3A3F7A64" w14:textId="77777777" w:rsidR="00A956CC" w:rsidRPr="00B4171E" w:rsidRDefault="00A956CC" w:rsidP="00EA6655">
            <w:pPr>
              <w:jc w:val="center"/>
              <w:rPr>
                <w:rFonts w:ascii="Arial" w:eastAsia="Times New Roman" w:hAnsi="Arial" w:cs="Arial"/>
                <w:i/>
                <w:iCs/>
                <w:color w:val="404040" w:themeColor="text1" w:themeTint="BF"/>
                <w:sz w:val="8"/>
                <w:szCs w:val="8"/>
                <w:lang w:eastAsia="en-GB"/>
              </w:rPr>
            </w:pPr>
          </w:p>
          <w:p w14:paraId="30472BC4" w14:textId="50EF026A" w:rsidR="00A956CC" w:rsidRPr="00B4171E" w:rsidRDefault="0064732A" w:rsidP="00EA6655">
            <w:pPr>
              <w:rPr>
                <w:rFonts w:ascii="Arial" w:eastAsia="Times New Roman" w:hAnsi="Arial" w:cs="Arial"/>
                <w:i/>
                <w:iCs/>
                <w:color w:val="767171" w:themeColor="background2" w:themeShade="80"/>
                <w:sz w:val="17"/>
                <w:szCs w:val="17"/>
                <w:lang w:eastAsia="en-GB"/>
              </w:rPr>
            </w:pPr>
            <w:r w:rsidRPr="00B4171E">
              <w:rPr>
                <w:rFonts w:ascii="Arial" w:eastAsia="Times New Roman" w:hAnsi="Arial" w:cs="Arial"/>
                <w:i/>
                <w:iCs/>
                <w:color w:val="767171" w:themeColor="background2" w:themeShade="80"/>
                <w:sz w:val="17"/>
                <w:szCs w:val="17"/>
                <w:lang w:eastAsia="en-GB"/>
              </w:rPr>
              <w:t>CAG</w:t>
            </w:r>
            <w:r w:rsidR="00942F9B" w:rsidRPr="00B4171E">
              <w:rPr>
                <w:rFonts w:ascii="Arial" w:eastAsia="Times New Roman" w:hAnsi="Arial" w:cs="Arial"/>
                <w:i/>
                <w:iCs/>
                <w:color w:val="767171" w:themeColor="background2" w:themeShade="80"/>
                <w:sz w:val="17"/>
                <w:szCs w:val="17"/>
                <w:lang w:eastAsia="en-GB"/>
              </w:rPr>
              <w:t xml:space="preserve"> – CAG repeat length,</w:t>
            </w:r>
            <w:r w:rsidR="00A956CC" w:rsidRPr="00B4171E">
              <w:rPr>
                <w:rFonts w:ascii="Arial" w:eastAsia="Times New Roman" w:hAnsi="Arial" w:cs="Arial"/>
                <w:i/>
                <w:iCs/>
                <w:color w:val="767171" w:themeColor="background2" w:themeShade="80"/>
                <w:sz w:val="17"/>
                <w:szCs w:val="17"/>
                <w:lang w:eastAsia="en-GB"/>
              </w:rPr>
              <w:t xml:space="preserve"> </w:t>
            </w:r>
            <w:r w:rsidRPr="00B4171E">
              <w:rPr>
                <w:rFonts w:ascii="Arial" w:eastAsia="Times New Roman" w:hAnsi="Arial" w:cs="Arial"/>
                <w:i/>
                <w:iCs/>
                <w:color w:val="767171" w:themeColor="background2" w:themeShade="80"/>
                <w:sz w:val="17"/>
                <w:szCs w:val="17"/>
                <w:lang w:eastAsia="en-GB"/>
              </w:rPr>
              <w:t xml:space="preserve">SDMT – symbol digit modalities test score, </w:t>
            </w:r>
            <w:r w:rsidR="00A956CC" w:rsidRPr="00B4171E">
              <w:rPr>
                <w:rFonts w:ascii="Arial" w:eastAsia="Times New Roman" w:hAnsi="Arial" w:cs="Arial"/>
                <w:i/>
                <w:iCs/>
                <w:color w:val="767171" w:themeColor="background2" w:themeShade="80"/>
                <w:sz w:val="17"/>
                <w:szCs w:val="17"/>
                <w:lang w:eastAsia="en-GB"/>
              </w:rPr>
              <w:t>Std Dev – Standard Deviation</w:t>
            </w:r>
          </w:p>
          <w:p w14:paraId="7C3C8B53" w14:textId="3C449875" w:rsidR="00594FD6" w:rsidRPr="00B4171E" w:rsidRDefault="00594FD6" w:rsidP="00EA6655">
            <w:pPr>
              <w:rPr>
                <w:rFonts w:ascii="Arial" w:eastAsia="Times New Roman" w:hAnsi="Arial" w:cs="Arial"/>
                <w:i/>
                <w:iCs/>
                <w:color w:val="767171" w:themeColor="background2" w:themeShade="80"/>
                <w:sz w:val="17"/>
                <w:szCs w:val="17"/>
                <w:lang w:eastAsia="en-GB"/>
              </w:rPr>
            </w:pPr>
            <w:r w:rsidRPr="00B4171E">
              <w:rPr>
                <w:rFonts w:ascii="Arial" w:eastAsia="Times New Roman" w:hAnsi="Arial" w:cs="Arial"/>
                <w:i/>
                <w:iCs/>
                <w:color w:val="767171" w:themeColor="background2" w:themeShade="80"/>
                <w:sz w:val="17"/>
                <w:szCs w:val="17"/>
                <w:lang w:eastAsia="en-GB"/>
              </w:rPr>
              <w:t>CAG repeat length not recorded in healthy controls</w:t>
            </w:r>
          </w:p>
          <w:p w14:paraId="5E5822C9" w14:textId="0D267ADC" w:rsidR="00942F9B" w:rsidRPr="00B4171E" w:rsidRDefault="00942F9B" w:rsidP="00EA6655">
            <w:pPr>
              <w:rPr>
                <w:rFonts w:ascii="Arial" w:eastAsia="Times New Roman" w:hAnsi="Arial" w:cs="Arial"/>
                <w:i/>
                <w:iCs/>
                <w:color w:val="767171" w:themeColor="background2" w:themeShade="80"/>
                <w:sz w:val="17"/>
                <w:szCs w:val="17"/>
                <w:lang w:eastAsia="en-GB"/>
              </w:rPr>
            </w:pPr>
            <w:r w:rsidRPr="00B4171E">
              <w:rPr>
                <w:rFonts w:ascii="Arial" w:eastAsia="Times New Roman" w:hAnsi="Arial" w:cs="Arial"/>
                <w:i/>
                <w:iCs/>
                <w:color w:val="767171" w:themeColor="background2" w:themeShade="80"/>
                <w:sz w:val="17"/>
                <w:szCs w:val="17"/>
                <w:lang w:eastAsia="en-GB"/>
              </w:rPr>
              <w:t>Group size (N) shown at top of table columns</w:t>
            </w:r>
          </w:p>
          <w:p w14:paraId="1CB2A62D" w14:textId="77777777" w:rsidR="00A956CC" w:rsidRPr="00B4171E" w:rsidRDefault="00A956CC" w:rsidP="00942F9B">
            <w:pPr>
              <w:rPr>
                <w:rFonts w:ascii="Arial" w:eastAsia="Times New Roman" w:hAnsi="Arial" w:cs="Arial"/>
                <w:color w:val="000000"/>
                <w:sz w:val="2"/>
                <w:szCs w:val="2"/>
                <w:lang w:eastAsia="en-GB"/>
              </w:rPr>
            </w:pPr>
          </w:p>
        </w:tc>
      </w:tr>
    </w:tbl>
    <w:p w14:paraId="39AE64CA" w14:textId="6AD7C186" w:rsidR="00A956CC" w:rsidRPr="00B4171E" w:rsidRDefault="00A956CC" w:rsidP="005F4670">
      <w:pPr>
        <w:rPr>
          <w:rFonts w:ascii="Arial" w:hAnsi="Arial" w:cs="Arial"/>
        </w:rPr>
      </w:pPr>
    </w:p>
    <w:p w14:paraId="722832B4" w14:textId="2D73D706" w:rsidR="00594FD6" w:rsidRPr="00B4171E" w:rsidRDefault="00594FD6" w:rsidP="005F4670">
      <w:pPr>
        <w:rPr>
          <w:rFonts w:ascii="Arial" w:hAnsi="Arial" w:cs="Arial"/>
        </w:rPr>
      </w:pPr>
      <w:r w:rsidRPr="00B4171E">
        <w:rPr>
          <w:rFonts w:ascii="Arial" w:hAnsi="Arial" w:cs="Arial"/>
        </w:rPr>
        <w:t xml:space="preserve">The distribution of SDMT scores </w:t>
      </w:r>
      <w:proofErr w:type="gramStart"/>
      <w:r w:rsidRPr="00B4171E">
        <w:rPr>
          <w:rFonts w:ascii="Arial" w:hAnsi="Arial" w:cs="Arial"/>
        </w:rPr>
        <w:t>are</w:t>
      </w:r>
      <w:proofErr w:type="gramEnd"/>
      <w:r w:rsidRPr="00B4171E">
        <w:rPr>
          <w:rFonts w:ascii="Arial" w:hAnsi="Arial" w:cs="Arial"/>
        </w:rPr>
        <w:t xml:space="preserve"> similar across the three groups. Splitting CAG repeat length at 42 has </w:t>
      </w:r>
      <w:r w:rsidR="00444681" w:rsidRPr="00B4171E">
        <w:rPr>
          <w:rFonts w:ascii="Arial" w:hAnsi="Arial" w:cs="Arial"/>
        </w:rPr>
        <w:t>roughly split the pre-manifest HD group into a younger (CAG &gt; 42) and older group. The distribution of CAG repeat length differs in groups 2 and 3. Group 3 has a much larger spread of CAG repeat lengths compared to group 2.</w:t>
      </w:r>
    </w:p>
    <w:p w14:paraId="2D98173B" w14:textId="6509537E" w:rsidR="00CC699D" w:rsidRPr="00B4171E" w:rsidRDefault="00CC699D" w:rsidP="005F4670">
      <w:pPr>
        <w:rPr>
          <w:rFonts w:ascii="Arial" w:hAnsi="Arial" w:cs="Arial"/>
        </w:rPr>
      </w:pPr>
      <w:r w:rsidRPr="00B4171E">
        <w:rPr>
          <w:rFonts w:ascii="Arial" w:hAnsi="Arial" w:cs="Arial"/>
        </w:rPr>
        <w:t xml:space="preserve">A one-way ANOVA found no significant difference between the mean SDMT scores in the three groups. </w:t>
      </w:r>
      <w:r w:rsidRPr="00B4171E">
        <w:rPr>
          <w:rFonts w:ascii="Arial" w:hAnsi="Arial" w:cs="Arial"/>
        </w:rPr>
        <w:br/>
        <w:t>As we saw in the previous section, age and CAG repeat length are confounders and need to be adjusted for in any comparisons across groups. Adjusting for age using ANCOVA shows that there is a significant difference</w:t>
      </w:r>
      <w:r w:rsidR="00AB389C" w:rsidRPr="00B4171E">
        <w:rPr>
          <w:rFonts w:ascii="Arial" w:hAnsi="Arial" w:cs="Arial"/>
        </w:rPr>
        <w:t xml:space="preserve"> in SDMT </w:t>
      </w:r>
      <w:r w:rsidRPr="00B4171E">
        <w:rPr>
          <w:rFonts w:ascii="Arial" w:hAnsi="Arial" w:cs="Arial"/>
        </w:rPr>
        <w:t>– the mean SDMT score in healthy controls is significantly higher compared to group 3.</w:t>
      </w:r>
      <w:r w:rsidR="00AB389C" w:rsidRPr="00B4171E">
        <w:rPr>
          <w:rFonts w:ascii="Arial" w:hAnsi="Arial" w:cs="Arial"/>
        </w:rPr>
        <w:t xml:space="preserve"> After adjusting for age, the mean SDMT score in group 3 is 4.3 units lower than group 1 (95% CI for the difference: [-7.5, -1.2]).</w:t>
      </w:r>
    </w:p>
    <w:p w14:paraId="1219AA20" w14:textId="4157C902" w:rsidR="00AB389C" w:rsidRPr="00B4171E" w:rsidRDefault="00AB389C" w:rsidP="005F4670">
      <w:pPr>
        <w:rPr>
          <w:rFonts w:ascii="Arial" w:hAnsi="Arial" w:cs="Arial"/>
        </w:rPr>
      </w:pPr>
      <w:r w:rsidRPr="00B4171E">
        <w:rPr>
          <w:rFonts w:ascii="Arial" w:hAnsi="Arial" w:cs="Arial"/>
        </w:rPr>
        <w:t xml:space="preserve">Residual plots show no large violations of the assumptions for these models. The QQ-plot for the ANCOVA model shows that the residuals more closely follow a normal distribution compared to the ANOVA model, suggesting that the results from the ANCOVA model are </w:t>
      </w:r>
      <w:r w:rsidRPr="00B4171E">
        <w:rPr>
          <w:rFonts w:ascii="Arial" w:hAnsi="Arial" w:cs="Arial"/>
        </w:rPr>
        <w:lastRenderedPageBreak/>
        <w:t>more robust. There is some evidence that the constant variance assumption does not hold in both models, but this is very minor with almost no pattern in the residuals.</w:t>
      </w:r>
    </w:p>
    <w:p w14:paraId="3443C1CF" w14:textId="3F692FB3" w:rsidR="00AB389C" w:rsidRPr="00B4171E" w:rsidRDefault="006E5B0F" w:rsidP="005F4670">
      <w:pPr>
        <w:rPr>
          <w:rFonts w:ascii="Arial" w:hAnsi="Arial" w:cs="Arial"/>
        </w:rPr>
      </w:pPr>
      <w:r w:rsidRPr="00B4171E">
        <w:rPr>
          <w:rFonts w:ascii="Arial" w:hAnsi="Arial" w:cs="Arial"/>
        </w:rPr>
        <w:t xml:space="preserve">The chart </w:t>
      </w:r>
      <w:r w:rsidR="008617FF" w:rsidRPr="00B4171E">
        <w:rPr>
          <w:rFonts w:ascii="Arial" w:hAnsi="Arial" w:cs="Arial"/>
        </w:rPr>
        <w:t>shows the predictions from the ANCOVA model, along with the actual values</w:t>
      </w:r>
      <w:r w:rsidRPr="00B4171E">
        <w:rPr>
          <w:rFonts w:ascii="Arial" w:hAnsi="Arial" w:cs="Arial"/>
        </w:rPr>
        <w:t>. Model estimates for each group, including the age adjusted SDMT scores, are also shown:</w:t>
      </w:r>
    </w:p>
    <w:p w14:paraId="347EF480" w14:textId="30B75CD3" w:rsidR="008617FF" w:rsidRPr="00B4171E" w:rsidRDefault="006E5B0F" w:rsidP="005F4670">
      <w:pPr>
        <w:rPr>
          <w:rFonts w:ascii="Arial" w:hAnsi="Arial" w:cs="Arial"/>
        </w:rPr>
      </w:pPr>
      <w:r w:rsidRPr="00B4171E">
        <w:rPr>
          <w:rFonts w:ascii="Arial" w:hAnsi="Arial" w:cs="Arial"/>
          <w:noProof/>
        </w:rPr>
        <w:drawing>
          <wp:inline distT="0" distB="0" distL="0" distR="0" wp14:anchorId="2983C581" wp14:editId="5512F666">
            <wp:extent cx="5731510" cy="26981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98115"/>
                    </a:xfrm>
                    <a:prstGeom prst="rect">
                      <a:avLst/>
                    </a:prstGeom>
                    <a:noFill/>
                    <a:ln>
                      <a:noFill/>
                    </a:ln>
                  </pic:spPr>
                </pic:pic>
              </a:graphicData>
            </a:graphic>
          </wp:inline>
        </w:drawing>
      </w:r>
    </w:p>
    <w:p w14:paraId="38772EEF" w14:textId="738643A0" w:rsidR="006E5B0F" w:rsidRPr="00B4171E" w:rsidRDefault="006E5B0F" w:rsidP="006E5B0F">
      <w:pPr>
        <w:pStyle w:val="Heading1"/>
        <w:rPr>
          <w:rFonts w:ascii="Arial" w:hAnsi="Arial" w:cs="Arial"/>
        </w:rPr>
      </w:pPr>
      <w:r w:rsidRPr="00B4171E">
        <w:rPr>
          <w:rFonts w:ascii="Arial" w:hAnsi="Arial" w:cs="Arial"/>
        </w:rPr>
        <w:t>Discussion</w:t>
      </w:r>
    </w:p>
    <w:p w14:paraId="00DD3EE6" w14:textId="61A9D64A" w:rsidR="006E5B0F" w:rsidRPr="00B4171E" w:rsidRDefault="00212A90" w:rsidP="006E5B0F">
      <w:pPr>
        <w:rPr>
          <w:rFonts w:ascii="Arial" w:hAnsi="Arial" w:cs="Arial"/>
        </w:rPr>
      </w:pPr>
      <w:r w:rsidRPr="00B4171E">
        <w:rPr>
          <w:rFonts w:ascii="Arial" w:hAnsi="Arial" w:cs="Arial"/>
        </w:rPr>
        <w:t xml:space="preserve">This report examined the relationship between SDMT score, age, and CAG repeat length. </w:t>
      </w:r>
      <w:r w:rsidR="0023616A" w:rsidRPr="00B4171E">
        <w:rPr>
          <w:rFonts w:ascii="Arial" w:hAnsi="Arial" w:cs="Arial"/>
        </w:rPr>
        <w:t xml:space="preserve">CAG repeat length is only recorded in the pre-manifest HD group. There are negative correlations between age and SDMT score, between CAG repeat length and SDMT score, and between age and CAG repeat length. These correlations mean that age is a confounder and should be adjusted for when comparing SDMT scores across groups. Adjusting for age shown that health controls have a higher mean SDMT score compared to the pre-manifest HD group. </w:t>
      </w:r>
      <w:r w:rsidR="00E45E6A" w:rsidRPr="00B4171E">
        <w:rPr>
          <w:rFonts w:ascii="Arial" w:hAnsi="Arial" w:cs="Arial"/>
        </w:rPr>
        <w:t xml:space="preserve">Further analysis shown that </w:t>
      </w:r>
      <w:r w:rsidR="0086524A">
        <w:rPr>
          <w:rFonts w:ascii="Arial" w:hAnsi="Arial" w:cs="Arial"/>
        </w:rPr>
        <w:t>people with a high value of CAG repeat length</w:t>
      </w:r>
      <w:r w:rsidR="00E45E6A" w:rsidRPr="00B4171E">
        <w:rPr>
          <w:rFonts w:ascii="Arial" w:hAnsi="Arial" w:cs="Arial"/>
        </w:rPr>
        <w:t xml:space="preserve"> (above 42 in our analysis)</w:t>
      </w:r>
      <w:r w:rsidR="0086524A">
        <w:rPr>
          <w:rFonts w:ascii="Arial" w:hAnsi="Arial" w:cs="Arial"/>
        </w:rPr>
        <w:t xml:space="preserve"> have a significantly lower mean SDMT score compared to health controls</w:t>
      </w:r>
      <w:r w:rsidR="00E45E6A" w:rsidRPr="00B4171E">
        <w:rPr>
          <w:rFonts w:ascii="Arial" w:hAnsi="Arial" w:cs="Arial"/>
        </w:rPr>
        <w:t>.</w:t>
      </w:r>
      <w:r w:rsidR="00A1457D">
        <w:rPr>
          <w:rFonts w:ascii="Arial" w:hAnsi="Arial" w:cs="Arial"/>
        </w:rPr>
        <w:t xml:space="preserve"> </w:t>
      </w:r>
      <w:r w:rsidR="0023616A" w:rsidRPr="00B4171E">
        <w:rPr>
          <w:rFonts w:ascii="Arial" w:hAnsi="Arial" w:cs="Arial"/>
        </w:rPr>
        <w:t xml:space="preserve">This suggests that the symbol digits modalities test may be a useful clinical tool in identifying Huntington’s disease. The test may be useful for screening, for example by developing a reference range of typical </w:t>
      </w:r>
      <w:r w:rsidR="00B156E6" w:rsidRPr="00B4171E">
        <w:rPr>
          <w:rFonts w:ascii="Arial" w:hAnsi="Arial" w:cs="Arial"/>
        </w:rPr>
        <w:t>scores for each year of age. If a person who is suspected to be at risk of Huntington’s disease scores below this range, then the clinician may decide to send the patient for follow up genetic tests to confirm or rule-out the diagnosis. Whether this screening tool has any clinical benefit would depend on many factors – such as the costs of developing the tool, the potential benefits in earlier diagnosis, and the potential harms of false positives (</w:t>
      </w:r>
      <w:proofErr w:type="gramStart"/>
      <w:r w:rsidR="00B156E6" w:rsidRPr="00B4171E">
        <w:rPr>
          <w:rFonts w:ascii="Arial" w:hAnsi="Arial" w:cs="Arial"/>
        </w:rPr>
        <w:t>e.g.</w:t>
      </w:r>
      <w:proofErr w:type="gramEnd"/>
      <w:r w:rsidR="00B156E6" w:rsidRPr="00B4171E">
        <w:rPr>
          <w:rFonts w:ascii="Arial" w:hAnsi="Arial" w:cs="Arial"/>
        </w:rPr>
        <w:t xml:space="preserve"> emotional stress from a positive screening test) and false negatives (e.g. delays in treatment caused by delayed diagnosis). Exploring these topics is not possible with the current data.</w:t>
      </w:r>
    </w:p>
    <w:p w14:paraId="656B011E" w14:textId="658D157A" w:rsidR="00B156E6" w:rsidRPr="00B4171E" w:rsidRDefault="00B156E6" w:rsidP="006E5B0F">
      <w:pPr>
        <w:rPr>
          <w:rFonts w:ascii="Arial" w:hAnsi="Arial" w:cs="Arial"/>
        </w:rPr>
      </w:pPr>
      <w:r w:rsidRPr="00B4171E">
        <w:rPr>
          <w:rFonts w:ascii="Arial" w:hAnsi="Arial" w:cs="Arial"/>
        </w:rPr>
        <w:t xml:space="preserve">The models considered in this report could be improved. </w:t>
      </w:r>
      <w:r w:rsidR="00E45E6A" w:rsidRPr="00B4171E">
        <w:rPr>
          <w:rFonts w:ascii="Arial" w:hAnsi="Arial" w:cs="Arial"/>
        </w:rPr>
        <w:t>The final model shown some evidence that the constant variance assumption did not hold. This could potentially be improved by collecting additional data on other variables, such as sex or familial risk factors. More complex models may be considered as well. For example, Table 3 shown that there are associations between age, CAG repeat length, and SDMT score, so a model which included interactions between age &amp; CAG repeat length may have been insightful.</w:t>
      </w:r>
      <w:r w:rsidR="00FE6A93" w:rsidRPr="00B4171E">
        <w:rPr>
          <w:rFonts w:ascii="Arial" w:hAnsi="Arial" w:cs="Arial"/>
        </w:rPr>
        <w:t xml:space="preserve"> The final model categorised CAG repeat length, from a continuous variable into a discrete variable. Other models such as splines may have better captured the relationships explored in this model.</w:t>
      </w:r>
    </w:p>
    <w:p w14:paraId="41C7A1A3" w14:textId="38C51473" w:rsidR="00FE6A93" w:rsidRPr="00B4171E" w:rsidRDefault="00FE6A93" w:rsidP="00FE6A93">
      <w:pPr>
        <w:pStyle w:val="Heading1"/>
        <w:rPr>
          <w:rFonts w:ascii="Arial" w:hAnsi="Arial" w:cs="Arial"/>
        </w:rPr>
      </w:pPr>
      <w:r w:rsidRPr="00B4171E">
        <w:rPr>
          <w:rFonts w:ascii="Arial" w:hAnsi="Arial" w:cs="Arial"/>
        </w:rPr>
        <w:lastRenderedPageBreak/>
        <w:t>Appendix – model formula</w:t>
      </w:r>
    </w:p>
    <w:p w14:paraId="7BAE4888" w14:textId="66EE81FD" w:rsidR="00FE6A93" w:rsidRPr="00B4171E" w:rsidRDefault="00FE6A93" w:rsidP="00FE6A93">
      <w:pPr>
        <w:rPr>
          <w:rFonts w:ascii="Arial" w:hAnsi="Arial" w:cs="Arial"/>
        </w:rPr>
      </w:pPr>
      <w:r w:rsidRPr="00B4171E">
        <w:rPr>
          <w:rFonts w:ascii="Arial" w:hAnsi="Arial" w:cs="Arial"/>
        </w:rPr>
        <w:t xml:space="preserve"> The model in (4c) is</w:t>
      </w:r>
    </w:p>
    <w:p w14:paraId="66FDB175" w14:textId="67DAA998" w:rsidR="00FE6A93" w:rsidRPr="00B4171E" w:rsidRDefault="009834DF" w:rsidP="00FE6A93">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 =</m:t>
          </m:r>
          <m:r>
            <m:rPr>
              <m:sty m:val="p"/>
            </m:rPr>
            <w:rPr>
              <w:rFonts w:ascii="Cambria Math" w:hAnsi="Cambria Math" w:cs="Arial"/>
            </w:rPr>
            <m:t>α</m:t>
          </m:r>
          <m:r>
            <w:rPr>
              <w:rFonts w:ascii="Cambria Math" w:hAnsi="Cambria Math" w:cs="Arial"/>
            </w:rPr>
            <m:t>+</m:t>
          </m:r>
          <m:sSub>
            <m:sSubPr>
              <m:ctrlPr>
                <w:rPr>
                  <w:rFonts w:ascii="Cambria Math" w:hAnsi="Cambria Math" w:cs="Arial"/>
                  <w:iCs/>
                </w:rPr>
              </m:ctrlPr>
            </m:sSubPr>
            <m:e>
              <m:r>
                <m:rPr>
                  <m:sty m:val="p"/>
                </m:rPr>
                <w:rPr>
                  <w:rFonts w:ascii="Cambria Math" w:hAnsi="Cambria Math" w:cs="Arial"/>
                </w:rPr>
                <m:t>β</m:t>
              </m:r>
              <m:ctrlPr>
                <w:rPr>
                  <w:rFonts w:ascii="Cambria Math" w:hAnsi="Cambria Math" w:cs="Arial"/>
                  <w:i/>
                </w:rPr>
              </m:ctrlPr>
            </m:e>
            <m:sub>
              <m:r>
                <w:rPr>
                  <w:rFonts w:ascii="Cambria Math" w:hAnsi="Cambria Math" w:cs="Arial"/>
                </w:rPr>
                <m:t>1</m:t>
              </m:r>
            </m:sub>
          </m:sSub>
          <m:sSub>
            <m:sSubPr>
              <m:ctrlPr>
                <w:rPr>
                  <w:rFonts w:ascii="Cambria Math" w:hAnsi="Cambria Math" w:cs="Arial"/>
                  <w:i/>
                </w:rPr>
              </m:ctrlPr>
            </m:sSubPr>
            <m:e>
              <m:r>
                <w:rPr>
                  <w:rFonts w:ascii="Cambria Math" w:hAnsi="Cambria Math" w:cs="Arial"/>
                </w:rPr>
                <m:t>G</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β</m:t>
              </m:r>
            </m:e>
            <m:sub>
              <m:r>
                <w:rPr>
                  <w:rFonts w:ascii="Cambria Math" w:hAnsi="Cambria Math" w:cs="Arial"/>
                </w:rPr>
                <m:t>2</m:t>
              </m:r>
            </m:sub>
          </m:sSub>
          <m:sSub>
            <m:sSubPr>
              <m:ctrlPr>
                <w:rPr>
                  <w:rFonts w:ascii="Cambria Math" w:hAnsi="Cambria Math" w:cs="Arial"/>
                </w:rPr>
              </m:ctrlPr>
            </m:sSubPr>
            <m:e>
              <m:r>
                <m:rPr>
                  <m:nor/>
                </m:rPr>
                <w:rPr>
                  <w:rFonts w:ascii="Cambria Math" w:hAnsi="Cambria Math" w:cs="Arial"/>
                </w:rPr>
                <m:t>H</m:t>
              </m:r>
            </m:e>
            <m:sub>
              <w:proofErr w:type="spellStart"/>
              <m:r>
                <m:rPr>
                  <m:nor/>
                </m:rPr>
                <w:rPr>
                  <w:rFonts w:ascii="Cambria Math" w:hAnsi="Cambria Math" w:cs="Arial"/>
                </w:rPr>
                <m:t>i</m:t>
              </m:r>
              <w:proofErr w:type="spellEnd"/>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β</m:t>
              </m:r>
            </m:e>
            <m:sub>
              <m:r>
                <w:rPr>
                  <w:rFonts w:ascii="Cambria Math" w:hAnsi="Cambria Math" w:cs="Arial"/>
                </w:rPr>
                <m:t>3</m:t>
              </m:r>
            </m:sub>
          </m:sSub>
          <m:sSub>
            <m:sSubPr>
              <m:ctrlPr>
                <w:rPr>
                  <w:rFonts w:ascii="Cambria Math" w:hAnsi="Cambria Math" w:cs="Arial"/>
                  <w:i/>
                </w:rPr>
              </m:ctrlPr>
            </m:sSubPr>
            <m:e>
              <m:r>
                <m:rPr>
                  <m:nor/>
                </m:rPr>
                <w:rPr>
                  <w:rFonts w:ascii="Cambria Math" w:hAnsi="Cambria Math" w:cs="Arial"/>
                </w:rPr>
                <m:t>age</m:t>
              </m:r>
              <m:ctrlPr>
                <w:rPr>
                  <w:rFonts w:ascii="Cambria Math" w:hAnsi="Cambria Math" w:cs="Arial"/>
                </w:rPr>
              </m:ctrlP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ϵ</m:t>
              </m:r>
            </m:e>
            <m:sub>
              <m:r>
                <w:rPr>
                  <w:rFonts w:ascii="Cambria Math" w:hAnsi="Cambria Math" w:cs="Arial"/>
                </w:rPr>
                <m:t>i</m:t>
              </m:r>
            </m:sub>
          </m:sSub>
        </m:oMath>
      </m:oMathPara>
    </w:p>
    <w:p w14:paraId="29286DEF" w14:textId="09F7D981" w:rsidR="00FE6A93" w:rsidRPr="00B4171E" w:rsidRDefault="00FE6A93" w:rsidP="00FE6A93">
      <w:pPr>
        <w:rPr>
          <w:rFonts w:ascii="Arial" w:eastAsiaTheme="minorEastAsia" w:hAnsi="Arial" w:cs="Arial"/>
        </w:rPr>
      </w:pPr>
      <w:proofErr w:type="gramStart"/>
      <w:r w:rsidRPr="00B4171E">
        <w:rPr>
          <w:rFonts w:ascii="Arial" w:eastAsiaTheme="minorEastAsia" w:hAnsi="Arial" w:cs="Arial"/>
        </w:rPr>
        <w:t>Where</w:t>
      </w:r>
      <w:proofErr w:type="gramEnd"/>
    </w:p>
    <w:p w14:paraId="045FDB05" w14:textId="7B37694C" w:rsidR="00FE6A93" w:rsidRPr="00B4171E" w:rsidRDefault="009834DF" w:rsidP="00B4171E">
      <w:pPr>
        <w:pStyle w:val="ListParagraph"/>
        <w:numPr>
          <w:ilvl w:val="0"/>
          <w:numId w:val="1"/>
        </w:numPr>
        <w:ind w:left="714" w:hanging="357"/>
        <w:contextualSpacing w:val="0"/>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oMath>
      <w:r w:rsidR="00FE6A93" w:rsidRPr="00B4171E">
        <w:rPr>
          <w:rFonts w:ascii="Arial" w:eastAsiaTheme="minorEastAsia" w:hAnsi="Arial" w:cs="Arial"/>
        </w:rPr>
        <w:t xml:space="preserve">= </w:t>
      </w:r>
      <w:r>
        <w:rPr>
          <w:rFonts w:ascii="Arial" w:eastAsiaTheme="minorEastAsia" w:hAnsi="Arial" w:cs="Arial"/>
        </w:rPr>
        <w:t xml:space="preserve">Predicted </w:t>
      </w:r>
      <w:r w:rsidR="00FE6A93" w:rsidRPr="00B4171E">
        <w:rPr>
          <w:rFonts w:ascii="Arial" w:eastAsiaTheme="minorEastAsia" w:hAnsi="Arial" w:cs="Arial"/>
        </w:rPr>
        <w:t xml:space="preserve">SDMT score for the person </w:t>
      </w:r>
      <w:proofErr w:type="spellStart"/>
      <w:r w:rsidR="00FE6A93" w:rsidRPr="00B4171E">
        <w:rPr>
          <w:rFonts w:ascii="Arial" w:eastAsiaTheme="minorEastAsia" w:hAnsi="Arial" w:cs="Arial"/>
        </w:rPr>
        <w:t>i</w:t>
      </w:r>
      <w:proofErr w:type="spellEnd"/>
      <w:r w:rsidR="00FE6A93" w:rsidRPr="00B4171E">
        <w:rPr>
          <w:rFonts w:ascii="Arial" w:eastAsiaTheme="minorEastAsia" w:hAnsi="Arial" w:cs="Arial"/>
        </w:rPr>
        <w:t xml:space="preserve"> in the data</w:t>
      </w:r>
    </w:p>
    <w:p w14:paraId="2FC18B6E" w14:textId="3BFD311D" w:rsidR="00FE6A93" w:rsidRPr="00B4171E" w:rsidRDefault="00B4171E" w:rsidP="00B4171E">
      <w:pPr>
        <w:pStyle w:val="ListParagraph"/>
        <w:numPr>
          <w:ilvl w:val="0"/>
          <w:numId w:val="1"/>
        </w:numPr>
        <w:ind w:left="714" w:hanging="357"/>
        <w:contextualSpacing w:val="0"/>
        <w:rPr>
          <w:rFonts w:ascii="Arial" w:eastAsiaTheme="minorEastAsia" w:hAnsi="Arial" w:cs="Arial"/>
        </w:rPr>
      </w:pPr>
      <m:oMath>
        <m:r>
          <w:rPr>
            <w:rFonts w:ascii="Cambria Math" w:hAnsi="Cambria Math" w:cs="Arial"/>
          </w:rPr>
          <m:t>α</m:t>
        </m:r>
      </m:oMath>
      <w:r w:rsidR="00FE6A93" w:rsidRPr="00B4171E">
        <w:rPr>
          <w:rFonts w:ascii="Arial" w:eastAsiaTheme="minorEastAsia" w:hAnsi="Arial" w:cs="Arial"/>
        </w:rPr>
        <w:t xml:space="preserve"> = Mean SDMT score in</w:t>
      </w:r>
      <w:r w:rsidR="0096146C">
        <w:rPr>
          <w:rFonts w:ascii="Arial" w:eastAsiaTheme="minorEastAsia" w:hAnsi="Arial" w:cs="Arial"/>
        </w:rPr>
        <w:t xml:space="preserve"> group 1 (</w:t>
      </w:r>
      <w:r w:rsidR="00FE6A93" w:rsidRPr="00B4171E">
        <w:rPr>
          <w:rFonts w:ascii="Arial" w:eastAsiaTheme="minorEastAsia" w:hAnsi="Arial" w:cs="Arial"/>
        </w:rPr>
        <w:t>healthy controls</w:t>
      </w:r>
      <w:r w:rsidR="0096146C">
        <w:rPr>
          <w:rFonts w:ascii="Arial" w:eastAsiaTheme="minorEastAsia" w:hAnsi="Arial" w:cs="Arial"/>
        </w:rPr>
        <w:t>)</w:t>
      </w:r>
    </w:p>
    <w:p w14:paraId="234EB7FF" w14:textId="730FDFD4" w:rsidR="00F20055" w:rsidRPr="00B4171E" w:rsidRDefault="00000000" w:rsidP="00B4171E">
      <w:pPr>
        <w:pStyle w:val="ListParagraph"/>
        <w:numPr>
          <w:ilvl w:val="0"/>
          <w:numId w:val="1"/>
        </w:numPr>
        <w:ind w:left="714" w:hanging="357"/>
        <w:contextualSpacing w:val="0"/>
        <w:rPr>
          <w:rFonts w:ascii="Arial" w:eastAsiaTheme="minorEastAsia" w:hAnsi="Arial" w:cs="Arial"/>
        </w:rPr>
      </w:pPr>
      <m:oMath>
        <m:sSub>
          <m:sSubPr>
            <m:ctrlPr>
              <w:rPr>
                <w:rFonts w:ascii="Cambria Math" w:hAnsi="Cambria Math" w:cs="Arial"/>
                <w:i/>
              </w:rPr>
            </m:ctrlPr>
          </m:sSubPr>
          <m:e>
            <m:r>
              <w:rPr>
                <w:rFonts w:ascii="Cambria Math" w:hAnsi="Cambria Math" w:cs="Arial"/>
              </w:rPr>
              <m:t>β</m:t>
            </m:r>
            <m:ctrlPr>
              <w:rPr>
                <w:rFonts w:ascii="Cambria Math" w:hAnsi="Cambria Math" w:cs="Arial"/>
              </w:rPr>
            </m:ctrlPr>
          </m:e>
          <m:sub>
            <m:r>
              <w:rPr>
                <w:rFonts w:ascii="Cambria Math" w:hAnsi="Cambria Math" w:cs="Arial"/>
              </w:rPr>
              <m:t>1</m:t>
            </m:r>
          </m:sub>
        </m:sSub>
      </m:oMath>
      <w:r w:rsidR="00F20055" w:rsidRPr="00B4171E">
        <w:rPr>
          <w:rFonts w:ascii="Arial" w:eastAsiaTheme="minorEastAsia" w:hAnsi="Arial" w:cs="Arial"/>
        </w:rPr>
        <w:t xml:space="preserve"> = Difference in mean SDMT score between healthy controls and group 2 (people with CAG repeat length ≤ 42)</w:t>
      </w:r>
    </w:p>
    <w:p w14:paraId="6D0F8633" w14:textId="52941244" w:rsidR="00F20055" w:rsidRPr="00B4171E" w:rsidRDefault="00000000" w:rsidP="00B4171E">
      <w:pPr>
        <w:pStyle w:val="ListParagraph"/>
        <w:numPr>
          <w:ilvl w:val="0"/>
          <w:numId w:val="1"/>
        </w:numPr>
        <w:ind w:left="714" w:hanging="357"/>
        <w:contextualSpacing w:val="0"/>
        <w:rPr>
          <w:rFonts w:ascii="Arial" w:eastAsiaTheme="minorEastAsia" w:hAnsi="Arial" w:cs="Arial"/>
        </w:rPr>
      </w:pPr>
      <m:oMath>
        <m:sSub>
          <m:sSubPr>
            <m:ctrlPr>
              <w:rPr>
                <w:rFonts w:ascii="Cambria Math" w:hAnsi="Cambria Math" w:cs="Arial"/>
                <w:i/>
              </w:rPr>
            </m:ctrlPr>
          </m:sSubPr>
          <m:e>
            <m:r>
              <w:rPr>
                <w:rFonts w:ascii="Cambria Math" w:hAnsi="Cambria Math" w:cs="Arial"/>
              </w:rPr>
              <m:t>G</m:t>
            </m:r>
          </m:e>
          <m:sub>
            <m:r>
              <w:rPr>
                <w:rFonts w:ascii="Cambria Math" w:hAnsi="Cambria Math" w:cs="Arial"/>
              </w:rPr>
              <m:t>i</m:t>
            </m:r>
          </m:sub>
        </m:sSub>
      </m:oMath>
      <w:r w:rsidR="00F20055" w:rsidRPr="00B4171E">
        <w:rPr>
          <w:rFonts w:ascii="Arial" w:eastAsiaTheme="minorEastAsia" w:hAnsi="Arial" w:cs="Arial"/>
        </w:rPr>
        <w:t xml:space="preserve"> = Indicator variable, 1 if person </w:t>
      </w:r>
      <w:proofErr w:type="spellStart"/>
      <w:r w:rsidR="00F20055" w:rsidRPr="00B4171E">
        <w:rPr>
          <w:rFonts w:ascii="Arial" w:eastAsiaTheme="minorEastAsia" w:hAnsi="Arial" w:cs="Arial"/>
        </w:rPr>
        <w:t>i</w:t>
      </w:r>
      <w:proofErr w:type="spellEnd"/>
      <w:r w:rsidR="00F20055" w:rsidRPr="00B4171E">
        <w:rPr>
          <w:rFonts w:ascii="Arial" w:eastAsiaTheme="minorEastAsia" w:hAnsi="Arial" w:cs="Arial"/>
        </w:rPr>
        <w:t xml:space="preserve"> is in group 2 and 0 otherwise</w:t>
      </w:r>
    </w:p>
    <w:p w14:paraId="55589BDD" w14:textId="53DE3EC6" w:rsidR="00F20055" w:rsidRPr="00B4171E" w:rsidRDefault="00000000" w:rsidP="00B4171E">
      <w:pPr>
        <w:pStyle w:val="ListParagraph"/>
        <w:numPr>
          <w:ilvl w:val="0"/>
          <w:numId w:val="1"/>
        </w:numPr>
        <w:ind w:left="714" w:hanging="357"/>
        <w:contextualSpacing w:val="0"/>
        <w:rPr>
          <w:rFonts w:ascii="Arial" w:eastAsiaTheme="minorEastAsia" w:hAnsi="Arial" w:cs="Arial"/>
        </w:rPr>
      </w:pPr>
      <m:oMath>
        <m:sSub>
          <m:sSubPr>
            <m:ctrlPr>
              <w:rPr>
                <w:rFonts w:ascii="Cambria Math" w:hAnsi="Cambria Math" w:cs="Arial"/>
                <w:i/>
              </w:rPr>
            </m:ctrlPr>
          </m:sSubPr>
          <m:e>
            <m:r>
              <w:rPr>
                <w:rFonts w:ascii="Cambria Math" w:hAnsi="Cambria Math" w:cs="Arial"/>
              </w:rPr>
              <m:t>β</m:t>
            </m:r>
            <m:ctrlPr>
              <w:rPr>
                <w:rFonts w:ascii="Cambria Math" w:hAnsi="Cambria Math" w:cs="Arial"/>
              </w:rPr>
            </m:ctrlPr>
          </m:e>
          <m:sub>
            <m:r>
              <w:rPr>
                <w:rFonts w:ascii="Cambria Math" w:hAnsi="Cambria Math" w:cs="Arial"/>
              </w:rPr>
              <m:t>2</m:t>
            </m:r>
          </m:sub>
        </m:sSub>
      </m:oMath>
      <w:r w:rsidR="00F20055" w:rsidRPr="00B4171E">
        <w:rPr>
          <w:rFonts w:ascii="Arial" w:eastAsiaTheme="minorEastAsia" w:hAnsi="Arial" w:cs="Arial"/>
        </w:rPr>
        <w:t xml:space="preserve"> = Difference in mean SDMT score between healthy controls and group 3 (people with CAG repeat length &gt; 42)</w:t>
      </w:r>
    </w:p>
    <w:p w14:paraId="43604EC4" w14:textId="3CC62AAF" w:rsidR="00F20055" w:rsidRPr="00B4171E" w:rsidRDefault="00000000" w:rsidP="00B4171E">
      <w:pPr>
        <w:pStyle w:val="ListParagraph"/>
        <w:numPr>
          <w:ilvl w:val="0"/>
          <w:numId w:val="1"/>
        </w:numPr>
        <w:ind w:left="714" w:hanging="357"/>
        <w:contextualSpacing w:val="0"/>
        <w:rPr>
          <w:rFonts w:ascii="Arial" w:eastAsiaTheme="minorEastAsia" w:hAnsi="Arial" w:cs="Arial"/>
        </w:rPr>
      </w:pPr>
      <m:oMath>
        <m:sSub>
          <m:sSubPr>
            <m:ctrlPr>
              <w:rPr>
                <w:rFonts w:ascii="Cambria Math" w:hAnsi="Cambria Math" w:cs="Arial"/>
                <w:i/>
              </w:rPr>
            </m:ctrlPr>
          </m:sSubPr>
          <m:e>
            <m:r>
              <w:rPr>
                <w:rFonts w:ascii="Cambria Math" w:hAnsi="Cambria Math" w:cs="Arial"/>
              </w:rPr>
              <m:t>H</m:t>
            </m:r>
          </m:e>
          <m:sub>
            <m:r>
              <w:rPr>
                <w:rFonts w:ascii="Cambria Math" w:hAnsi="Cambria Math" w:cs="Arial"/>
              </w:rPr>
              <m:t>i</m:t>
            </m:r>
          </m:sub>
        </m:sSub>
      </m:oMath>
      <w:r w:rsidR="00F20055" w:rsidRPr="00B4171E">
        <w:rPr>
          <w:rFonts w:ascii="Arial" w:eastAsiaTheme="minorEastAsia" w:hAnsi="Arial" w:cs="Arial"/>
        </w:rPr>
        <w:t xml:space="preserve"> = Indicator variable, 1 if person </w:t>
      </w:r>
      <w:proofErr w:type="spellStart"/>
      <w:r w:rsidR="00F20055" w:rsidRPr="00B4171E">
        <w:rPr>
          <w:rFonts w:ascii="Arial" w:eastAsiaTheme="minorEastAsia" w:hAnsi="Arial" w:cs="Arial"/>
        </w:rPr>
        <w:t>i</w:t>
      </w:r>
      <w:proofErr w:type="spellEnd"/>
      <w:r w:rsidR="00F20055" w:rsidRPr="00B4171E">
        <w:rPr>
          <w:rFonts w:ascii="Arial" w:eastAsiaTheme="minorEastAsia" w:hAnsi="Arial" w:cs="Arial"/>
        </w:rPr>
        <w:t xml:space="preserve"> is in group 3 and 0 otherwise</w:t>
      </w:r>
    </w:p>
    <w:p w14:paraId="7B079B40" w14:textId="5A9B0DFE" w:rsidR="00F20055" w:rsidRPr="00B4171E" w:rsidRDefault="00000000" w:rsidP="00B4171E">
      <w:pPr>
        <w:pStyle w:val="ListParagraph"/>
        <w:numPr>
          <w:ilvl w:val="0"/>
          <w:numId w:val="1"/>
        </w:numPr>
        <w:ind w:left="714" w:hanging="357"/>
        <w:contextualSpacing w:val="0"/>
        <w:rPr>
          <w:rFonts w:ascii="Arial" w:eastAsiaTheme="minorEastAsia" w:hAnsi="Arial" w:cs="Arial"/>
        </w:rPr>
      </w:pPr>
      <m:oMath>
        <m:sSub>
          <m:sSubPr>
            <m:ctrlPr>
              <w:rPr>
                <w:rFonts w:ascii="Cambria Math" w:hAnsi="Cambria Math" w:cs="Arial"/>
                <w:i/>
              </w:rPr>
            </m:ctrlPr>
          </m:sSubPr>
          <m:e>
            <m:r>
              <w:rPr>
                <w:rFonts w:ascii="Cambria Math" w:hAnsi="Cambria Math" w:cs="Arial"/>
              </w:rPr>
              <m:t>β</m:t>
            </m:r>
            <m:ctrlPr>
              <w:rPr>
                <w:rFonts w:ascii="Cambria Math" w:hAnsi="Cambria Math" w:cs="Arial"/>
              </w:rPr>
            </m:ctrlPr>
          </m:e>
          <m:sub>
            <m:r>
              <w:rPr>
                <w:rFonts w:ascii="Cambria Math" w:hAnsi="Cambria Math" w:cs="Arial"/>
              </w:rPr>
              <m:t>3</m:t>
            </m:r>
          </m:sub>
        </m:sSub>
      </m:oMath>
      <w:r w:rsidR="00F20055" w:rsidRPr="00B4171E">
        <w:rPr>
          <w:rFonts w:ascii="Arial" w:eastAsiaTheme="minorEastAsia" w:hAnsi="Arial" w:cs="Arial"/>
        </w:rPr>
        <w:t xml:space="preserve"> = The expected change in mean SDMT score for a 1 unit increase in age</w:t>
      </w:r>
      <w:r w:rsidR="00B4171E" w:rsidRPr="00B4171E">
        <w:rPr>
          <w:rFonts w:ascii="Arial" w:eastAsiaTheme="minorEastAsia" w:hAnsi="Arial" w:cs="Arial"/>
        </w:rPr>
        <w:t xml:space="preserve">, </w:t>
      </w:r>
      <w:r w:rsidR="0096146C">
        <w:rPr>
          <w:rFonts w:ascii="Arial" w:eastAsiaTheme="minorEastAsia" w:hAnsi="Arial" w:cs="Arial"/>
        </w:rPr>
        <w:t>holding all other variables constant</w:t>
      </w:r>
    </w:p>
    <w:p w14:paraId="6DDBDDD5" w14:textId="0DE25E19" w:rsidR="00F20055" w:rsidRPr="00B4171E" w:rsidRDefault="00000000" w:rsidP="00B4171E">
      <w:pPr>
        <w:pStyle w:val="ListParagraph"/>
        <w:numPr>
          <w:ilvl w:val="0"/>
          <w:numId w:val="1"/>
        </w:numPr>
        <w:ind w:left="714" w:hanging="357"/>
        <w:contextualSpacing w:val="0"/>
        <w:rPr>
          <w:rFonts w:ascii="Arial" w:eastAsiaTheme="minorEastAsia" w:hAnsi="Arial" w:cs="Arial"/>
        </w:rPr>
      </w:pPr>
      <m:oMath>
        <m:sSub>
          <m:sSubPr>
            <m:ctrlPr>
              <w:rPr>
                <w:rFonts w:ascii="Cambria Math" w:eastAsiaTheme="minorEastAsia" w:hAnsi="Cambria Math" w:cs="Arial"/>
                <w:i/>
              </w:rPr>
            </m:ctrlPr>
          </m:sSubPr>
          <m:e>
            <m:r>
              <m:rPr>
                <m:nor/>
              </m:rPr>
              <w:rPr>
                <w:rFonts w:ascii="Cambria Math" w:eastAsiaTheme="minorEastAsia" w:hAnsi="Cambria Math" w:cs="Arial"/>
              </w:rPr>
              <m:t>age</m:t>
            </m:r>
            <m:ctrlPr>
              <w:rPr>
                <w:rFonts w:ascii="Cambria Math" w:eastAsiaTheme="minorEastAsia" w:hAnsi="Cambria Math" w:cs="Arial"/>
              </w:rPr>
            </m:ctrlPr>
          </m:e>
          <m:sub>
            <m:r>
              <w:rPr>
                <w:rFonts w:ascii="Cambria Math" w:eastAsiaTheme="minorEastAsia" w:hAnsi="Cambria Math" w:cs="Arial"/>
              </w:rPr>
              <m:t>i</m:t>
            </m:r>
          </m:sub>
        </m:sSub>
      </m:oMath>
      <w:r w:rsidR="00F20055" w:rsidRPr="00B4171E">
        <w:rPr>
          <w:rFonts w:ascii="Arial" w:eastAsiaTheme="minorEastAsia" w:hAnsi="Arial" w:cs="Arial"/>
        </w:rPr>
        <w:t xml:space="preserve"> = </w:t>
      </w:r>
      <w:r w:rsidR="00B4171E" w:rsidRPr="00B4171E">
        <w:rPr>
          <w:rFonts w:ascii="Arial" w:eastAsiaTheme="minorEastAsia" w:hAnsi="Arial" w:cs="Arial"/>
        </w:rPr>
        <w:t xml:space="preserve">The age of person </w:t>
      </w:r>
      <w:proofErr w:type="spellStart"/>
      <w:r w:rsidR="00B4171E" w:rsidRPr="00B4171E">
        <w:rPr>
          <w:rFonts w:ascii="Arial" w:eastAsiaTheme="minorEastAsia" w:hAnsi="Arial" w:cs="Arial"/>
        </w:rPr>
        <w:t>i</w:t>
      </w:r>
      <w:proofErr w:type="spellEnd"/>
      <w:r w:rsidR="00B4171E" w:rsidRPr="00B4171E">
        <w:rPr>
          <w:rFonts w:ascii="Arial" w:eastAsiaTheme="minorEastAsia" w:hAnsi="Arial" w:cs="Arial"/>
        </w:rPr>
        <w:t xml:space="preserve"> in the data</w:t>
      </w:r>
    </w:p>
    <w:p w14:paraId="34E9FC88" w14:textId="43CFE4F6" w:rsidR="00B4171E" w:rsidRPr="00B4171E" w:rsidRDefault="00000000" w:rsidP="00B4171E">
      <w:pPr>
        <w:pStyle w:val="ListParagraph"/>
        <w:numPr>
          <w:ilvl w:val="0"/>
          <w:numId w:val="1"/>
        </w:numPr>
        <w:ind w:left="714" w:hanging="357"/>
        <w:contextualSpacing w:val="0"/>
        <w:rPr>
          <w:rFonts w:ascii="Arial" w:eastAsiaTheme="minorEastAsia" w:hAnsi="Arial" w:cs="Arial"/>
        </w:rPr>
      </w:pPr>
      <m:oMath>
        <m:sSub>
          <m:sSubPr>
            <m:ctrlPr>
              <w:rPr>
                <w:rFonts w:ascii="Cambria Math" w:hAnsi="Cambria Math" w:cs="Arial"/>
                <w:i/>
              </w:rPr>
            </m:ctrlPr>
          </m:sSubPr>
          <m:e>
            <m:r>
              <w:rPr>
                <w:rFonts w:ascii="Cambria Math" w:hAnsi="Cambria Math" w:cs="Arial"/>
              </w:rPr>
              <m:t>ϵ</m:t>
            </m:r>
            <m:ctrlPr>
              <w:rPr>
                <w:rFonts w:ascii="Cambria Math" w:hAnsi="Cambria Math" w:cs="Arial"/>
              </w:rPr>
            </m:ctrlPr>
          </m:e>
          <m:sub>
            <m:r>
              <w:rPr>
                <w:rFonts w:ascii="Cambria Math" w:hAnsi="Cambria Math" w:cs="Arial"/>
              </w:rPr>
              <m:t>i</m:t>
            </m:r>
          </m:sub>
        </m:sSub>
      </m:oMath>
      <w:r w:rsidR="00B4171E" w:rsidRPr="00B4171E">
        <w:rPr>
          <w:rFonts w:ascii="Arial" w:eastAsiaTheme="minorEastAsia" w:hAnsi="Arial" w:cs="Arial"/>
        </w:rPr>
        <w:t xml:space="preserve"> = Error term, assumed to be normally distributed with mean zero and constant variance</w:t>
      </w:r>
    </w:p>
    <w:p w14:paraId="5FD9A003" w14:textId="6FA9D8CA" w:rsidR="00B4171E" w:rsidRPr="00B4171E" w:rsidRDefault="00B4171E" w:rsidP="00F20055">
      <w:pPr>
        <w:rPr>
          <w:rFonts w:ascii="Arial" w:eastAsiaTheme="minorEastAsia" w:hAnsi="Arial" w:cs="Arial"/>
        </w:rPr>
      </w:pPr>
      <w:r w:rsidRPr="00B4171E">
        <w:rPr>
          <w:rFonts w:ascii="Arial" w:eastAsiaTheme="minorEastAsia" w:hAnsi="Arial" w:cs="Arial"/>
        </w:rPr>
        <w:t xml:space="preserve">Age was </w:t>
      </w:r>
      <w:proofErr w:type="spellStart"/>
      <w:r w:rsidRPr="00B4171E">
        <w:rPr>
          <w:rFonts w:ascii="Arial" w:eastAsiaTheme="minorEastAsia" w:hAnsi="Arial" w:cs="Arial"/>
        </w:rPr>
        <w:t>centered</w:t>
      </w:r>
      <w:proofErr w:type="spellEnd"/>
      <w:r w:rsidRPr="00B4171E">
        <w:rPr>
          <w:rFonts w:ascii="Arial" w:eastAsiaTheme="minorEastAsia" w:hAnsi="Arial" w:cs="Arial"/>
        </w:rPr>
        <w:t xml:space="preserve"> before fitting the model, so all the means mentioned above are when age is equal to its mean value (43.5).</w:t>
      </w:r>
    </w:p>
    <w:p w14:paraId="34FF0463" w14:textId="77777777" w:rsidR="00F20055" w:rsidRPr="00B4171E" w:rsidRDefault="00F20055" w:rsidP="00F20055">
      <w:pPr>
        <w:rPr>
          <w:rFonts w:ascii="Arial" w:eastAsiaTheme="minorEastAsia" w:hAnsi="Arial" w:cs="Arial"/>
        </w:rPr>
      </w:pPr>
    </w:p>
    <w:p w14:paraId="0A0B0FA1" w14:textId="77777777" w:rsidR="00F20055" w:rsidRPr="00B4171E" w:rsidRDefault="00F20055" w:rsidP="00FE6A93">
      <w:pPr>
        <w:rPr>
          <w:rFonts w:ascii="Arial" w:hAnsi="Arial" w:cs="Arial"/>
        </w:rPr>
      </w:pPr>
    </w:p>
    <w:sectPr w:rsidR="00F20055" w:rsidRPr="00B4171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B5FAE" w14:textId="77777777" w:rsidR="00B263ED" w:rsidRDefault="00B263ED" w:rsidP="00A1457D">
      <w:pPr>
        <w:spacing w:after="0" w:line="240" w:lineRule="auto"/>
      </w:pPr>
      <w:r>
        <w:separator/>
      </w:r>
    </w:p>
  </w:endnote>
  <w:endnote w:type="continuationSeparator" w:id="0">
    <w:p w14:paraId="740AD6D9" w14:textId="77777777" w:rsidR="00B263ED" w:rsidRDefault="00B263ED" w:rsidP="00A1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14552"/>
      <w:docPartObj>
        <w:docPartGallery w:val="Page Numbers (Bottom of Page)"/>
        <w:docPartUnique/>
      </w:docPartObj>
    </w:sdtPr>
    <w:sdtContent>
      <w:sdt>
        <w:sdtPr>
          <w:id w:val="-1769616900"/>
          <w:docPartObj>
            <w:docPartGallery w:val="Page Numbers (Top of Page)"/>
            <w:docPartUnique/>
          </w:docPartObj>
        </w:sdtPr>
        <w:sdtContent>
          <w:p w14:paraId="03993646" w14:textId="77715822" w:rsidR="00A1457D" w:rsidRDefault="00A1457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Pr>
                <w:b/>
                <w:bCs/>
                <w:sz w:val="24"/>
                <w:szCs w:val="24"/>
              </w:rPr>
              <w:t xml:space="preserve"> </w:t>
            </w:r>
            <w:r w:rsidRPr="00A1457D">
              <w:rPr>
                <w:sz w:val="24"/>
                <w:szCs w:val="24"/>
              </w:rPr>
              <w:t>(including appendix)</w:t>
            </w:r>
          </w:p>
        </w:sdtContent>
      </w:sdt>
    </w:sdtContent>
  </w:sdt>
  <w:p w14:paraId="67F4A511" w14:textId="77777777" w:rsidR="00A1457D" w:rsidRDefault="00A14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EBE5D" w14:textId="77777777" w:rsidR="00B263ED" w:rsidRDefault="00B263ED" w:rsidP="00A1457D">
      <w:pPr>
        <w:spacing w:after="0" w:line="240" w:lineRule="auto"/>
      </w:pPr>
      <w:r>
        <w:separator/>
      </w:r>
    </w:p>
  </w:footnote>
  <w:footnote w:type="continuationSeparator" w:id="0">
    <w:p w14:paraId="4ADEB22E" w14:textId="77777777" w:rsidR="00B263ED" w:rsidRDefault="00B263ED" w:rsidP="00A14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F3051"/>
    <w:multiLevelType w:val="hybridMultilevel"/>
    <w:tmpl w:val="BBA0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0257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70"/>
    <w:rsid w:val="00037326"/>
    <w:rsid w:val="00056AC1"/>
    <w:rsid w:val="000828BB"/>
    <w:rsid w:val="000E4F0E"/>
    <w:rsid w:val="000E78DC"/>
    <w:rsid w:val="00127007"/>
    <w:rsid w:val="001620DE"/>
    <w:rsid w:val="00212A90"/>
    <w:rsid w:val="0023616A"/>
    <w:rsid w:val="00243D93"/>
    <w:rsid w:val="002C6C29"/>
    <w:rsid w:val="002C6C3A"/>
    <w:rsid w:val="002E4AFA"/>
    <w:rsid w:val="002F6698"/>
    <w:rsid w:val="00307FC4"/>
    <w:rsid w:val="003900EB"/>
    <w:rsid w:val="003B14AA"/>
    <w:rsid w:val="00404052"/>
    <w:rsid w:val="00444681"/>
    <w:rsid w:val="00446230"/>
    <w:rsid w:val="004A46C6"/>
    <w:rsid w:val="00594FD6"/>
    <w:rsid w:val="005F4670"/>
    <w:rsid w:val="00635190"/>
    <w:rsid w:val="0064732A"/>
    <w:rsid w:val="00656E97"/>
    <w:rsid w:val="00667B21"/>
    <w:rsid w:val="00682DDA"/>
    <w:rsid w:val="006A155A"/>
    <w:rsid w:val="006A4032"/>
    <w:rsid w:val="006B46CC"/>
    <w:rsid w:val="006E5B0F"/>
    <w:rsid w:val="007956CC"/>
    <w:rsid w:val="007E20B2"/>
    <w:rsid w:val="00821C68"/>
    <w:rsid w:val="0083178D"/>
    <w:rsid w:val="008617FF"/>
    <w:rsid w:val="0086524A"/>
    <w:rsid w:val="008A6E30"/>
    <w:rsid w:val="008C7378"/>
    <w:rsid w:val="008D2C6F"/>
    <w:rsid w:val="008F0F8F"/>
    <w:rsid w:val="008F6B2E"/>
    <w:rsid w:val="00942F9B"/>
    <w:rsid w:val="0096146C"/>
    <w:rsid w:val="00981AF6"/>
    <w:rsid w:val="009834DF"/>
    <w:rsid w:val="009D3EAC"/>
    <w:rsid w:val="00A1457D"/>
    <w:rsid w:val="00A3366F"/>
    <w:rsid w:val="00A956CC"/>
    <w:rsid w:val="00AB389C"/>
    <w:rsid w:val="00B156E6"/>
    <w:rsid w:val="00B2603B"/>
    <w:rsid w:val="00B263ED"/>
    <w:rsid w:val="00B4171E"/>
    <w:rsid w:val="00B85CD9"/>
    <w:rsid w:val="00C37997"/>
    <w:rsid w:val="00C52C85"/>
    <w:rsid w:val="00C5581C"/>
    <w:rsid w:val="00C60A6D"/>
    <w:rsid w:val="00CC699D"/>
    <w:rsid w:val="00D5071F"/>
    <w:rsid w:val="00D550FA"/>
    <w:rsid w:val="00DF4E13"/>
    <w:rsid w:val="00E45E6A"/>
    <w:rsid w:val="00E661A7"/>
    <w:rsid w:val="00ED56D7"/>
    <w:rsid w:val="00F20055"/>
    <w:rsid w:val="00F53FC2"/>
    <w:rsid w:val="00F85F29"/>
    <w:rsid w:val="00FE13ED"/>
    <w:rsid w:val="00FE6A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69B5"/>
  <w15:chartTrackingRefBased/>
  <w15:docId w15:val="{4168942D-B663-4635-97A4-B8AD00C1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6E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67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F4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6E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6E9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E6A93"/>
    <w:rPr>
      <w:color w:val="808080"/>
    </w:rPr>
  </w:style>
  <w:style w:type="paragraph" w:styleId="ListParagraph">
    <w:name w:val="List Paragraph"/>
    <w:basedOn w:val="Normal"/>
    <w:uiPriority w:val="34"/>
    <w:qFormat/>
    <w:rsid w:val="00B4171E"/>
    <w:pPr>
      <w:ind w:left="720"/>
      <w:contextualSpacing/>
    </w:pPr>
  </w:style>
  <w:style w:type="paragraph" w:styleId="Header">
    <w:name w:val="header"/>
    <w:basedOn w:val="Normal"/>
    <w:link w:val="HeaderChar"/>
    <w:uiPriority w:val="99"/>
    <w:unhideWhenUsed/>
    <w:rsid w:val="00A14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57D"/>
  </w:style>
  <w:style w:type="paragraph" w:styleId="Footer">
    <w:name w:val="footer"/>
    <w:basedOn w:val="Normal"/>
    <w:link w:val="FooterChar"/>
    <w:uiPriority w:val="99"/>
    <w:unhideWhenUsed/>
    <w:rsid w:val="00A14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03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2310E-ACE3-47B9-8D9C-53CAA0B17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5</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Maguire</dc:creator>
  <cp:keywords/>
  <dc:description/>
  <cp:lastModifiedBy>Sean Maguire</cp:lastModifiedBy>
  <cp:revision>9</cp:revision>
  <cp:lastPrinted>2022-12-12T19:00:00Z</cp:lastPrinted>
  <dcterms:created xsi:type="dcterms:W3CDTF">2022-12-05T15:34:00Z</dcterms:created>
  <dcterms:modified xsi:type="dcterms:W3CDTF">2022-12-12T19:07:00Z</dcterms:modified>
</cp:coreProperties>
</file>