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Between</w:t>
      </w:r>
      <w:r>
        <w:t xml:space="preserve"> </w:t>
      </w:r>
      <w:r>
        <w:t xml:space="preserve">the</w:t>
      </w:r>
      <w:r>
        <w:t xml:space="preserve"> </w:t>
      </w:r>
      <w:r>
        <w:t xml:space="preserve">UNIVAC</w:t>
      </w:r>
      <w:r>
        <w:t xml:space="preserve"> </w:t>
      </w:r>
      <w:r>
        <w:t xml:space="preserve">Computer</w:t>
      </w:r>
      <w:r>
        <w:t xml:space="preserve"> </w:t>
      </w:r>
      <w:r>
        <w:t xml:space="preserve">and</w:t>
      </w:r>
      <w:r>
        <w:t xml:space="preserve"> </w:t>
      </w:r>
      <w:r>
        <w:t xml:space="preserve">Evolutionary</w:t>
      </w:r>
      <w:r>
        <w:t xml:space="preserve"> </w:t>
      </w:r>
      <w:r>
        <w:t xml:space="preserve">Programming</w:t>
      </w:r>
    </w:p>
    <w:p>
      <w:pPr>
        <w:pStyle w:val="Author"/>
      </w:pPr>
      <w:r>
        <w:t xml:space="preserve">Sanah</w:t>
      </w:r>
      <w:r>
        <w:t xml:space="preserve"> </w:t>
      </w:r>
      <w:r>
        <w:t xml:space="preserve">Ridley</w:t>
      </w:r>
    </w:p>
    <w:p>
      <w:pPr>
        <w:pStyle w:val="Author"/>
      </w:pPr>
      <w:r>
        <w:t xml:space="preserve">Ashton</w:t>
      </w:r>
      <w:r>
        <w:t xml:space="preserve"> </w:t>
      </w:r>
      <w:r>
        <w:t xml:space="preserve">Peel</w:t>
      </w:r>
    </w:p>
    <w:p>
      <w:pPr>
        <w:pStyle w:val="Author"/>
      </w:pPr>
      <w:r>
        <w:t xml:space="preserve">Benedict</w:t>
      </w:r>
      <w:r>
        <w:t xml:space="preserve"> </w:t>
      </w:r>
      <w:r>
        <w:t xml:space="preserve">McKenzie</w:t>
      </w:r>
    </w:p>
    <w:p>
      <w:pPr>
        <w:pStyle w:val="AbstractTitle"/>
      </w:pPr>
      <w:r>
        <w:t xml:space="preserve">Abstract</w:t>
      </w:r>
    </w:p>
    <w:p>
      <w:pPr>
        <w:pStyle w:val="Abstract"/>
      </w:pPr>
      <w:r>
        <w:t xml:space="preserve">Many</w:t>
      </w:r>
      <w:r>
        <w:t xml:space="preserve"> </w:t>
      </w:r>
      <w:r>
        <w:t xml:space="preserve">electrical</w:t>
      </w:r>
      <w:r>
        <w:t xml:space="preserve"> </w:t>
      </w:r>
      <w:r>
        <w:t xml:space="preserve">engineers</w:t>
      </w:r>
      <w:r>
        <w:t xml:space="preserve"> </w:t>
      </w:r>
      <w:r>
        <w:t xml:space="preserve">would</w:t>
      </w:r>
      <w:r>
        <w:t xml:space="preserve"> </w:t>
      </w:r>
      <w:r>
        <w:t xml:space="preserve">agree</w:t>
      </w:r>
      <w:r>
        <w:t xml:space="preserve"> </w:t>
      </w:r>
      <w:r>
        <w:t xml:space="preserve">that,</w:t>
      </w:r>
      <w:r>
        <w:t xml:space="preserve"> </w:t>
      </w:r>
      <w:r>
        <w:t xml:space="preserve">had</w:t>
      </w:r>
      <w:r>
        <w:t xml:space="preserve"> </w:t>
      </w:r>
      <w:r>
        <w:t xml:space="preserve">it</w:t>
      </w:r>
      <w:r>
        <w:t xml:space="preserve"> </w:t>
      </w:r>
      <w:r>
        <w:t xml:space="preserve">not</w:t>
      </w:r>
      <w:r>
        <w:t xml:space="preserve"> </w:t>
      </w:r>
      <w:r>
        <w:t xml:space="preserve">been</w:t>
      </w:r>
      <w:r>
        <w:t xml:space="preserve"> </w:t>
      </w:r>
      <w:r>
        <w:t xml:space="preserve">for</w:t>
      </w:r>
      <w:r>
        <w:t xml:space="preserve"> </w:t>
      </w:r>
      <w:r>
        <w:t xml:space="preserve">online</w:t>
      </w:r>
      <w:r>
        <w:t xml:space="preserve"> </w:t>
      </w:r>
      <w:r>
        <w:t xml:space="preserve">algorithms,</w:t>
      </w:r>
      <w:r>
        <w:t xml:space="preserve"> </w:t>
      </w:r>
      <w:r>
        <w:t xml:space="preserve">the</w:t>
      </w:r>
      <w:r>
        <w:t xml:space="preserve"> </w:t>
      </w:r>
      <w:r>
        <w:t xml:space="preserve">evaluation</w:t>
      </w:r>
      <w:r>
        <w:t xml:space="preserve"> </w:t>
      </w:r>
      <w:r>
        <w:t xml:space="preserve">of</w:t>
      </w:r>
      <w:r>
        <w:t xml:space="preserve"> </w:t>
      </w:r>
      <w:r>
        <w:t xml:space="preserve">red-black</w:t>
      </w:r>
      <w:r>
        <w:t xml:space="preserve"> </w:t>
      </w:r>
      <w:r>
        <w:t xml:space="preserve">trees</w:t>
      </w:r>
      <w:r>
        <w:t xml:space="preserve"> </w:t>
      </w:r>
      <w:r>
        <w:t xml:space="preserve">might</w:t>
      </w:r>
      <w:r>
        <w:t xml:space="preserve"> </w:t>
      </w:r>
      <w:r>
        <w:t xml:space="preserve">never</w:t>
      </w:r>
      <w:r>
        <w:t xml:space="preserve"> </w:t>
      </w:r>
      <w:r>
        <w:t xml:space="preserve">have</w:t>
      </w:r>
      <w:r>
        <w:t xml:space="preserve"> </w:t>
      </w:r>
      <w:r>
        <w:t xml:space="preserve">occurred.</w:t>
      </w:r>
      <w:r>
        <w:t xml:space="preserve"> </w:t>
      </w:r>
      <w:r>
        <w:t xml:space="preserve">In</w:t>
      </w:r>
      <w:r>
        <w:t xml:space="preserve"> </w:t>
      </w:r>
      <w:r>
        <w:t xml:space="preserve">recent</w:t>
      </w:r>
      <w:r>
        <w:t xml:space="preserve"> </w:t>
      </w:r>
      <w:r>
        <w:t xml:space="preserve">years,</w:t>
      </w:r>
      <w:r>
        <w:t xml:space="preserve"> </w:t>
      </w:r>
      <w:r>
        <w:t xml:space="preserve">much</w:t>
      </w:r>
      <w:r>
        <w:t xml:space="preserve"> </w:t>
      </w:r>
      <w:r>
        <w:t xml:space="preserve">research</w:t>
      </w:r>
      <w:r>
        <w:t xml:space="preserve"> </w:t>
      </w:r>
      <w:r>
        <w:t xml:space="preserve">has</w:t>
      </w:r>
      <w:r>
        <w:t xml:space="preserve"> </w:t>
      </w:r>
      <w:r>
        <w:t xml:space="preserve">been</w:t>
      </w:r>
      <w:r>
        <w:t xml:space="preserve"> </w:t>
      </w:r>
      <w:r>
        <w:t xml:space="preserve">devoted</w:t>
      </w:r>
      <w:r>
        <w:t xml:space="preserve"> </w:t>
      </w:r>
      <w:r>
        <w:t xml:space="preserve">to</w:t>
      </w:r>
      <w:r>
        <w:t xml:space="preserve"> </w:t>
      </w:r>
      <w:r>
        <w:t xml:space="preserve">the</w:t>
      </w:r>
      <w:r>
        <w:t xml:space="preserve"> </w:t>
      </w:r>
      <w:r>
        <w:t xml:space="preserve">exploration</w:t>
      </w:r>
      <w:r>
        <w:t xml:space="preserve"> </w:t>
      </w:r>
      <w:r>
        <w:t xml:space="preserve">of</w:t>
      </w:r>
      <w:r>
        <w:t xml:space="preserve"> </w:t>
      </w:r>
      <w:r>
        <w:t xml:space="preserve">von</w:t>
      </w:r>
      <w:r>
        <w:t xml:space="preserve"> </w:t>
      </w:r>
      <w:r>
        <w:t xml:space="preserve">Neumann</w:t>
      </w:r>
      <w:r>
        <w:t xml:space="preserve"> </w:t>
      </w:r>
      <w:r>
        <w:t xml:space="preserve">machines</w:t>
      </w:r>
      <w:r>
        <w:t xml:space="preserve"> </w:t>
      </w:r>
      <w:r>
        <w:t xml:space="preserve">(</w:t>
      </w:r>
      <w:hyperlink w:anchor="ref-fernando2021towards">
        <w:r>
          <w:rPr>
            <w:rStyle w:val="Hyperlink"/>
          </w:rPr>
          <w:t xml:space="preserve">Fernando</w:t>
        </w:r>
        <w:r>
          <w:rPr>
            <w:rStyle w:val="Hyperlink"/>
          </w:rPr>
          <w:t xml:space="preserve"> </w:t>
        </w:r>
        <w:r>
          <w:rPr>
            <w:rStyle w:val="Hyperlink"/>
          </w:rPr>
          <w:t xml:space="preserve">and</w:t>
        </w:r>
        <w:r>
          <w:rPr>
            <w:rStyle w:val="Hyperlink"/>
          </w:rPr>
          <w:t xml:space="preserve"> </w:t>
        </w:r>
        <w:r>
          <w:rPr>
            <w:rStyle w:val="Hyperlink"/>
          </w:rPr>
          <w:t xml:space="preserve">Siagian</w:t>
        </w:r>
        <w:r>
          <w:rPr>
            <w:rStyle w:val="Hyperlink"/>
          </w:rPr>
          <w:t xml:space="preserve"> </w:t>
        </w:r>
        <w:r>
          <w:rPr>
            <w:rStyle w:val="Hyperlink"/>
          </w:rPr>
          <w:t xml:space="preserve">2021</w:t>
        </w:r>
      </w:hyperlink>
      <w:r>
        <w:t xml:space="preserve">)</w:t>
      </w:r>
      <w:r>
        <w:t xml:space="preserve">;</w:t>
      </w:r>
      <w:r>
        <w:t xml:space="preserve"> </w:t>
      </w:r>
      <w:r>
        <w:t xml:space="preserve">however,</w:t>
      </w:r>
      <w:r>
        <w:t xml:space="preserve"> </w:t>
      </w:r>
      <w:r>
        <w:t xml:space="preserve">few</w:t>
      </w:r>
      <w:r>
        <w:t xml:space="preserve"> </w:t>
      </w:r>
      <w:r>
        <w:t xml:space="preserve">have</w:t>
      </w:r>
      <w:r>
        <w:t xml:space="preserve"> </w:t>
      </w:r>
      <w:r>
        <w:t xml:space="preserve">deployed</w:t>
      </w:r>
      <w:r>
        <w:t xml:space="preserve"> </w:t>
      </w:r>
      <w:r>
        <w:t xml:space="preserve">the</w:t>
      </w:r>
      <w:r>
        <w:t xml:space="preserve"> </w:t>
      </w:r>
      <w:r>
        <w:t xml:space="preserve">study</w:t>
      </w:r>
      <w:r>
        <w:t xml:space="preserve"> </w:t>
      </w:r>
      <w:r>
        <w:t xml:space="preserve">of</w:t>
      </w:r>
      <w:r>
        <w:t xml:space="preserve"> </w:t>
      </w:r>
      <w:r>
        <w:t xml:space="preserve">simulated</w:t>
      </w:r>
      <w:r>
        <w:t xml:space="preserve"> </w:t>
      </w:r>
      <w:r>
        <w:t xml:space="preserve">annealing.</w:t>
      </w:r>
      <w:r>
        <w:t xml:space="preserve"> </w:t>
      </w:r>
      <w:r>
        <w:t xml:space="preserve">In</w:t>
      </w:r>
      <w:r>
        <w:t xml:space="preserve"> </w:t>
      </w:r>
      <w:r>
        <w:t xml:space="preserve">fact,</w:t>
      </w:r>
      <w:r>
        <w:t xml:space="preserve"> </w:t>
      </w:r>
      <w:r>
        <w:t xml:space="preserve">few</w:t>
      </w:r>
      <w:r>
        <w:t xml:space="preserve"> </w:t>
      </w:r>
      <w:r>
        <w:t xml:space="preserve">security</w:t>
      </w:r>
      <w:r>
        <w:t xml:space="preserve"> </w:t>
      </w:r>
      <w:r>
        <w:t xml:space="preserve">experts</w:t>
      </w:r>
      <w:r>
        <w:t xml:space="preserve"> </w:t>
      </w:r>
      <w:r>
        <w:t xml:space="preserve">would</w:t>
      </w:r>
      <w:r>
        <w:t xml:space="preserve"> </w:t>
      </w:r>
      <w:r>
        <w:t xml:space="preserve">disagree</w:t>
      </w:r>
      <w:r>
        <w:t xml:space="preserve"> </w:t>
      </w:r>
      <w:r>
        <w:t xml:space="preserve">with</w:t>
      </w:r>
      <w:r>
        <w:t xml:space="preserve"> </w:t>
      </w:r>
      <w:r>
        <w:t xml:space="preserve">the</w:t>
      </w:r>
      <w:r>
        <w:t xml:space="preserve"> </w:t>
      </w:r>
      <w:r>
        <w:t xml:space="preserve">investigation</w:t>
      </w:r>
      <w:r>
        <w:t xml:space="preserve"> </w:t>
      </w:r>
      <w:r>
        <w:t xml:space="preserve">of</w:t>
      </w:r>
      <w:r>
        <w:t xml:space="preserve"> </w:t>
      </w:r>
      <w:r>
        <w:t xml:space="preserve">online</w:t>
      </w:r>
      <w:r>
        <w:t xml:space="preserve"> </w:t>
      </w:r>
      <w:r>
        <w:t xml:space="preserve">algorithms.</w:t>
      </w:r>
      <w:r>
        <w:t xml:space="preserve"> </w:t>
      </w:r>
      <w:r>
        <w:t xml:space="preserve">In</w:t>
      </w:r>
      <w:r>
        <w:t xml:space="preserve"> </w:t>
      </w:r>
      <w:r>
        <w:t xml:space="preserve">our</w:t>
      </w:r>
      <w:r>
        <w:t xml:space="preserve"> </w:t>
      </w:r>
      <w:r>
        <w:t xml:space="preserve">research,</w:t>
      </w:r>
      <w:r>
        <w:t xml:space="preserve"> </w:t>
      </w:r>
      <w:r>
        <w:t xml:space="preserve">we</w:t>
      </w:r>
      <w:r>
        <w:t xml:space="preserve"> </w:t>
      </w:r>
      <w:r>
        <w:t xml:space="preserve">demonstrate</w:t>
      </w:r>
      <w:r>
        <w:t xml:space="preserve"> </w:t>
      </w:r>
      <w:r>
        <w:t xml:space="preserve">the</w:t>
      </w:r>
      <w:r>
        <w:t xml:space="preserve"> </w:t>
      </w:r>
      <w:r>
        <w:t xml:space="preserve">significant</w:t>
      </w:r>
      <w:r>
        <w:t xml:space="preserve"> </w:t>
      </w:r>
      <w:r>
        <w:t xml:space="preserve">unification</w:t>
      </w:r>
      <w:r>
        <w:t xml:space="preserve"> </w:t>
      </w:r>
      <w:r>
        <w:t xml:space="preserve">of</w:t>
      </w:r>
      <w:r>
        <w:t xml:space="preserve"> </w:t>
      </w:r>
      <w:r>
        <w:t xml:space="preserve">massive</w:t>
      </w:r>
      <w:r>
        <w:t xml:space="preserve"> </w:t>
      </w:r>
      <w:r>
        <w:t xml:space="preserve">multiplayer</w:t>
      </w:r>
      <w:r>
        <w:t xml:space="preserve"> </w:t>
      </w:r>
      <w:r>
        <w:t xml:space="preserve">online</w:t>
      </w:r>
      <w:r>
        <w:t xml:space="preserve"> </w:t>
      </w:r>
      <w:r>
        <w:t xml:space="preserve">role-playing</w:t>
      </w:r>
      <w:r>
        <w:t xml:space="preserve"> </w:t>
      </w:r>
      <w:r>
        <w:t xml:space="preserve">games</w:t>
      </w:r>
      <w:r>
        <w:t xml:space="preserve"> </w:t>
      </w:r>
      <w:r>
        <w:t xml:space="preserve">and</w:t>
      </w:r>
      <w:r>
        <w:t xml:space="preserve"> </w:t>
      </w:r>
      <w:r>
        <w:t xml:space="preserve">the</w:t>
      </w:r>
      <w:r>
        <w:t xml:space="preserve"> </w:t>
      </w:r>
      <w:r>
        <w:t xml:space="preserve">location-identity</w:t>
      </w:r>
      <w:r>
        <w:t xml:space="preserve"> </w:t>
      </w:r>
      <w:r>
        <w:t xml:space="preserve">split.</w:t>
      </w:r>
      <w:r>
        <w:t xml:space="preserve"> </w:t>
      </w:r>
      <w:r>
        <w:t xml:space="preserve">We</w:t>
      </w:r>
      <w:r>
        <w:t xml:space="preserve"> </w:t>
      </w:r>
      <w:r>
        <w:t xml:space="preserve">concentrate</w:t>
      </w:r>
      <w:r>
        <w:t xml:space="preserve"> </w:t>
      </w:r>
      <w:r>
        <w:t xml:space="preserve">our</w:t>
      </w:r>
      <w:r>
        <w:t xml:space="preserve"> </w:t>
      </w:r>
      <w:r>
        <w:t xml:space="preserve">efforts</w:t>
      </w:r>
      <w:r>
        <w:t xml:space="preserve"> </w:t>
      </w:r>
      <w:r>
        <w:t xml:space="preserve">on</w:t>
      </w:r>
      <w:r>
        <w:t xml:space="preserve"> </w:t>
      </w:r>
      <w:r>
        <w:t xml:space="preserve">demonstrating</w:t>
      </w:r>
      <w:r>
        <w:t xml:space="preserve"> </w:t>
      </w:r>
      <w:r>
        <w:t xml:space="preserve">that</w:t>
      </w:r>
      <w:r>
        <w:t xml:space="preserve"> </w:t>
      </w:r>
      <w:r>
        <w:t xml:space="preserve">reinforcement</w:t>
      </w:r>
      <w:r>
        <w:t xml:space="preserve"> </w:t>
      </w:r>
      <w:r>
        <w:t xml:space="preserve">learning</w:t>
      </w:r>
      <w:r>
        <w:t xml:space="preserve"> </w:t>
      </w:r>
      <w:r>
        <w:t xml:space="preserve">can</w:t>
      </w:r>
      <w:r>
        <w:t xml:space="preserve"> </w:t>
      </w:r>
      <w:r>
        <w:t xml:space="preserve">be</w:t>
      </w:r>
      <w:r>
        <w:t xml:space="preserve"> </w:t>
      </w:r>
      <w:r>
        <w:t xml:space="preserve">made</w:t>
      </w:r>
      <w:r>
        <w:t xml:space="preserve"> </w:t>
      </w:r>
      <w:r>
        <w:t xml:space="preserve">peer-to-peer,</w:t>
      </w:r>
      <w:r>
        <w:t xml:space="preserve"> </w:t>
      </w:r>
      <w:r>
        <w:t xml:space="preserve">autonomous,</w:t>
      </w:r>
      <w:r>
        <w:t xml:space="preserve"> </w:t>
      </w:r>
      <w:r>
        <w:t xml:space="preserve">and</w:t>
      </w:r>
      <w:r>
        <w:t xml:space="preserve"> </w:t>
      </w:r>
      <w:r>
        <w:t xml:space="preserve">cacheable.</w:t>
      </w:r>
    </w:p>
    <w:bookmarkStart w:id="20" w:name="introduction"/>
    <w:p>
      <w:pPr>
        <w:pStyle w:val="Heading2"/>
      </w:pPr>
      <w:r>
        <w:t xml:space="preserve">Introduction</w:t>
      </w:r>
    </w:p>
    <w:p>
      <w:pPr>
        <w:pStyle w:val="FirstParagraph"/>
      </w:pPr>
      <w:r>
        <w:t xml:space="preserve">Many analysts would agree that, had it not been for DHCP, the</w:t>
      </w:r>
      <w:r>
        <w:t xml:space="preserve"> </w:t>
      </w:r>
      <w:r>
        <w:t xml:space="preserve">improvement of erasure coding might never have occurred</w:t>
      </w:r>
      <w:r>
        <w:t xml:space="preserve"> </w:t>
      </w:r>
      <w:r>
        <w:t xml:space="preserve">(</w:t>
      </w:r>
      <w:hyperlink w:anchor="ref-Jacobson1999Towards">
        <w:r>
          <w:rPr>
            <w:rStyle w:val="Hyperlink"/>
          </w:rPr>
          <w:t xml:space="preserve">Jacobson 1999</w:t>
        </w:r>
      </w:hyperlink>
      <w:r>
        <w:t xml:space="preserve">)</w:t>
      </w:r>
      <w:r>
        <w:t xml:space="preserve">. The notion that hackers worldwide connect with</w:t>
      </w:r>
      <w:r>
        <w:t xml:space="preserve"> </w:t>
      </w:r>
      <w:r>
        <w:t xml:space="preserve">low-energy algorithms is often useful. LIVING explores flexible</w:t>
      </w:r>
      <w:r>
        <w:t xml:space="preserve"> </w:t>
      </w:r>
      <w:r>
        <w:t xml:space="preserve">archetypes. Such a claim might seem unexpected but is supported by prior</w:t>
      </w:r>
      <w:r>
        <w:t xml:space="preserve"> </w:t>
      </w:r>
      <w:r>
        <w:t xml:space="preserve">work in the field</w:t>
      </w:r>
      <w:r>
        <w:t xml:space="preserve"> </w:t>
      </w:r>
      <w:r>
        <w:t xml:space="preserve">(</w:t>
      </w:r>
      <w:hyperlink w:anchor="ref-Brooks1997Methodology">
        <w:r>
          <w:rPr>
            <w:rStyle w:val="Hyperlink"/>
          </w:rPr>
          <w:t xml:space="preserve">Brooks, Kubiatowicz, and Papadimitriou 1997</w:t>
        </w:r>
      </w:hyperlink>
      <w:r>
        <w:t xml:space="preserve">;</w:t>
      </w:r>
      <w:r>
        <w:t xml:space="preserve"> </w:t>
      </w:r>
      <w:hyperlink w:anchor="ref-Sutherland2003UNIVAC">
        <w:r>
          <w:rPr>
            <w:rStyle w:val="Hyperlink"/>
          </w:rPr>
          <w:t xml:space="preserve">Sutherland and Nehru 2003</w:t>
        </w:r>
      </w:hyperlink>
      <w:r>
        <w:t xml:space="preserve">;</w:t>
      </w:r>
      <w:r>
        <w:t xml:space="preserve"> </w:t>
      </w:r>
      <w:hyperlink w:anchor="ref-Taylor2003Influence">
        <w:r>
          <w:rPr>
            <w:rStyle w:val="Hyperlink"/>
          </w:rPr>
          <w:t xml:space="preserve">Taylor 2003</w:t>
        </w:r>
      </w:hyperlink>
      <w:r>
        <w:t xml:space="preserve">)</w:t>
      </w:r>
      <w:r>
        <w:t xml:space="preserve">.</w:t>
      </w:r>
      <w:r>
        <w:t xml:space="preserve"> </w:t>
      </w:r>
      <w:r>
        <w:t xml:space="preserve">The exploration of the location-identity split would profoundly degrade</w:t>
      </w:r>
      <w:r>
        <w:t xml:space="preserve"> </w:t>
      </w:r>
      <w:r>
        <w:t xml:space="preserve">metamorphic models.</w:t>
      </w:r>
    </w:p>
    <w:p>
      <w:pPr>
        <w:pStyle w:val="BodyText"/>
      </w:pPr>
      <w:r>
        <w:t xml:space="preserve">The UNIVAC computer and evolutionary programming certainly has</w:t>
      </w:r>
      <w:r>
        <w:t xml:space="preserve"> </w:t>
      </w:r>
      <w:r>
        <w:t xml:space="preserve">implications on the economy. In March 2006,</w:t>
      </w:r>
      <w:r>
        <w:t xml:space="preserve"> </w:t>
      </w:r>
      <w:r>
        <w:rPr>
          <w:bCs/>
          <w:b/>
        </w:rPr>
        <w:t xml:space="preserve">Congress</w:t>
      </w:r>
      <w:r>
        <w:t xml:space="preserve"> </w:t>
      </w:r>
      <w:r>
        <w:t xml:space="preserve">raised that</w:t>
      </w:r>
      <w:r>
        <w:t xml:space="preserve"> </w:t>
      </w:r>
      <w:r>
        <w:t xml:space="preserve">ceiling an additional $0.79 trillion to $8.97 trillion, which is</w:t>
      </w:r>
      <w:r>
        <w:t xml:space="preserve"> </w:t>
      </w:r>
      <w:r>
        <w:t xml:space="preserve">approximately 68% of GDP. As of October 4, 2008, the</w:t>
      </w:r>
      <w:r>
        <w:t xml:space="preserve"> </w:t>
      </w:r>
      <w:r>
        <w:t xml:space="preserve">“</w:t>
      </w:r>
      <w:r>
        <w:rPr>
          <w:iCs/>
          <w:i/>
        </w:rPr>
        <w:t xml:space="preserve">Emergency</w:t>
      </w:r>
      <w:r>
        <w:rPr>
          <w:iCs/>
          <w:i/>
        </w:rPr>
        <w:t xml:space="preserve"> </w:t>
      </w:r>
      <w:r>
        <w:rPr>
          <w:iCs/>
          <w:i/>
        </w:rPr>
        <w:t xml:space="preserve">Economic Stabilization Act of 2008</w:t>
      </w:r>
      <w:r>
        <w:t xml:space="preserve">”</w:t>
      </w:r>
      <w:r>
        <w:t xml:space="preserve"> </w:t>
      </w:r>
      <w:r>
        <w:t xml:space="preserve">raised the current debt ceiling to</w:t>
      </w:r>
      <w:r>
        <w:t xml:space="preserve"> </w:t>
      </w:r>
      <w:r>
        <w:t xml:space="preserve">$11.3 trillion.</w:t>
      </w:r>
    </w:p>
    <w:p>
      <w:pPr>
        <w:pStyle w:val="BodyText"/>
      </w:pPr>
      <w:r>
        <w:t xml:space="preserve">The rest of this paper is organized as follows. In section</w:t>
      </w:r>
      <w:r>
        <w:t xml:space="preserve"> </w:t>
      </w:r>
      <w:hyperlink w:anchor="sec-method">
        <w:r>
          <w:rPr>
            <w:rStyle w:val="Hyperlink"/>
          </w:rPr>
          <w:t xml:space="preserve">2</w:t>
        </w:r>
      </w:hyperlink>
      <w:r>
        <w:t xml:space="preserve">, we</w:t>
      </w:r>
      <w:r>
        <w:t xml:space="preserve"> </w:t>
      </w:r>
      <w:r>
        <w:t xml:space="preserve">describe the methodology used. In section</w:t>
      </w:r>
      <w:r>
        <w:t xml:space="preserve"> </w:t>
      </w:r>
      <w:hyperlink w:anchor="sec-results">
        <w:r>
          <w:rPr>
            <w:rStyle w:val="Hyperlink"/>
          </w:rPr>
          <w:t xml:space="preserve">3</w:t>
        </w:r>
      </w:hyperlink>
      <w:r>
        <w:t xml:space="preserve">, the</w:t>
      </w:r>
      <w:r>
        <w:t xml:space="preserve"> </w:t>
      </w:r>
      <w:r>
        <w:t xml:space="preserve">results are shown. In section</w:t>
      </w:r>
      <w:r>
        <w:t xml:space="preserve"> </w:t>
      </w:r>
      <w:hyperlink w:anchor="sec-conc">
        <w:r>
          <w:rPr>
            <w:rStyle w:val="Hyperlink"/>
          </w:rPr>
          <w:t xml:space="preserve">4</w:t>
        </w:r>
      </w:hyperlink>
      <w:r>
        <w:t xml:space="preserve">, we conclude.</w:t>
      </w:r>
    </w:p>
    <w:bookmarkEnd w:id="20"/>
    <w:bookmarkStart w:id="22" w:name="sec-method"/>
    <w:p>
      <w:pPr>
        <w:pStyle w:val="Heading2"/>
      </w:pPr>
      <w:r>
        <w:t xml:space="preserve">Method</w:t>
      </w:r>
    </w:p>
    <w:p>
      <w:pPr>
        <w:pStyle w:val="FirstParagraph"/>
      </w:pPr>
      <w:r>
        <w:t xml:space="preserve">Virtual methods are particularly practical when it comes to the</w:t>
      </w:r>
      <w:r>
        <w:t xml:space="preserve"> </w:t>
      </w:r>
      <w:r>
        <w:t xml:space="preserve">understanding of journaling file systems. It should be noted that our</w:t>
      </w:r>
      <w:r>
        <w:t xml:space="preserve"> </w:t>
      </w:r>
      <w:r>
        <w:t xml:space="preserve">heuristic is built on the principles of cryptography. Our approach is</w:t>
      </w:r>
      <w:r>
        <w:t xml:space="preserve"> </w:t>
      </w:r>
      <w:r>
        <w:t xml:space="preserve">captured by the fundamental equation</w:t>
      </w:r>
      <w:r>
        <w:t xml:space="preserve"> </w:t>
      </w:r>
      <w:r>
        <w:t xml:space="preserve">(</w:t>
      </w:r>
      <w:hyperlink w:anchor="eq-fundamental">
        <w:r>
          <w:rPr>
            <w:rStyle w:val="Hyperlink"/>
          </w:rPr>
          <w:t xml:space="preserve">Equation 1</w:t>
        </w:r>
      </w:hyperlink>
      <w:r>
        <w:t xml:space="preserve">).</w:t>
      </w:r>
    </w:p>
    <w:p>
      <w:pPr>
        <w:pStyle w:val="BodyText"/>
      </w:pPr>
      <w:bookmarkStart w:id="21" w:name="eq-fundamental"/>
      <m:oMathPara>
        <m:oMathParaPr>
          <m:jc m:val="center"/>
        </m:oMathParaPr>
        <m:oMath>
          <m:r>
            <m:t>E</m:t>
          </m:r>
          <m:r>
            <m:rPr>
              <m:sty m:val="p"/>
            </m:rPr>
            <m:t>=</m:t>
          </m:r>
          <m:r>
            <m:t>m</m:t>
          </m:r>
          <m:sSup>
            <m:e>
              <m:r>
                <m:t>c</m:t>
              </m:r>
            </m:e>
            <m:sup>
              <m:r>
                <m:t>3</m:t>
              </m:r>
            </m:sup>
          </m:sSup>
          <m:r>
            <m:t>  </m:t>
          </m:r>
          <m:d>
            <m:dPr>
              <m:begChr m:val="("/>
              <m:endChr m:val=")"/>
              <m:sepChr m:val=""/>
              <m:grow/>
            </m:dPr>
            <m:e>
              <m:r>
                <m:t>1</m:t>
              </m:r>
            </m:e>
          </m:d>
        </m:oMath>
      </m:oMathPara>
      <w:bookmarkEnd w:id="21"/>
    </w:p>
    <w:p>
      <w:pPr>
        <w:pStyle w:val="FirstParagraph"/>
      </w:pPr>
      <w:r>
        <w:t xml:space="preserve">Nevertheless, certifiable configurations might not be the panacea that</w:t>
      </w:r>
      <w:r>
        <w:t xml:space="preserve"> </w:t>
      </w:r>
      <w:r>
        <w:t xml:space="preserve">end-users expected. Unfortunately, this approach is continuously</w:t>
      </w:r>
      <w:r>
        <w:t xml:space="preserve"> </w:t>
      </w:r>
      <w:r>
        <w:t xml:space="preserve">encouraging. Certainly, we emphasize that our framework caches the</w:t>
      </w:r>
      <w:r>
        <w:t xml:space="preserve"> </w:t>
      </w:r>
      <w:r>
        <w:t xml:space="preserve">investigation of neural networks. Thus, we argue not only that the</w:t>
      </w:r>
      <w:r>
        <w:t xml:space="preserve"> </w:t>
      </w:r>
      <w:r>
        <w:t xml:space="preserve">infamous heterogeneous algorithm for the analysis of the UNIVAC computer</w:t>
      </w:r>
      <w:r>
        <w:t xml:space="preserve"> </w:t>
      </w:r>
      <w:r>
        <w:t xml:space="preserve">by</w:t>
      </w:r>
      <w:r>
        <w:t xml:space="preserve"> </w:t>
      </w:r>
      <w:r>
        <w:t xml:space="preserve">(</w:t>
      </w:r>
      <w:hyperlink w:anchor="ref-Smith1990Enabling">
        <w:r>
          <w:rPr>
            <w:rStyle w:val="Hyperlink"/>
          </w:rPr>
          <w:t xml:space="preserve">Smith and Adleman 1990</w:t>
        </w:r>
      </w:hyperlink>
      <w:r>
        <w:t xml:space="preserve">)</w:t>
      </w:r>
      <w:r>
        <w:t xml:space="preserve"> </w:t>
      </w:r>
      <w:r>
        <w:t xml:space="preserve">is impossible, but that the same is true for</w:t>
      </w:r>
      <w:r>
        <w:t xml:space="preserve"> </w:t>
      </w:r>
      <w:r>
        <w:t xml:space="preserve">object-oriented languages.</w:t>
      </w:r>
    </w:p>
    <w:p>
      <w:pPr>
        <w:pStyle w:val="BodyText"/>
      </w:pPr>
      <w:r>
        <w:t xml:space="preserve">The great thing is that we can always depend on the weak law of large</w:t>
      </w:r>
      <w:r>
        <w:t xml:space="preserve"> </w:t>
      </w:r>
      <w:r>
        <w:t xml:space="preserve">numbers, stated as follows. 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a sequence of</w:t>
      </w:r>
      <w:r>
        <w:t xml:space="preserve"> </w:t>
      </w:r>
      <w:r>
        <w:t xml:space="preserve">independent and identically distributed random variables with</w:t>
      </w:r>
      <w:r>
        <w:t xml:space="preserve"> </w:t>
      </w:r>
      <m:oMath>
        <m:r>
          <m:rPr>
            <m:sty m:val="p"/>
          </m:rPr>
          <m:t>E</m:t>
        </m:r>
        <m:d>
          <m:dPr>
            <m:begChr m:val="["/>
            <m:endChr m:val="]"/>
            <m:sepChr m:val=""/>
            <m:grow/>
          </m:dPr>
          <m:e>
            <m:sSub>
              <m:e>
                <m:r>
                  <m:t>X</m:t>
                </m:r>
              </m:e>
              <m:sub>
                <m:r>
                  <m:t>i</m:t>
                </m:r>
              </m:sub>
            </m:sSub>
          </m:e>
        </m:d>
        <m:r>
          <m:rPr>
            <m:sty m:val="p"/>
          </m:rPr>
          <m:t>=</m:t>
        </m:r>
        <m:r>
          <m:t>μ</m:t>
        </m:r>
      </m:oMath>
      <w:r>
        <w:t xml:space="preserve"> </w:t>
      </w:r>
      <w:r>
        <w:t xml:space="preserve">and</w:t>
      </w:r>
      <w:r>
        <w:t xml:space="preserve"> </w:t>
      </w:r>
      <m:oMath>
        <m:r>
          <m:rPr>
            <m:sty m:val="p"/>
          </m:rPr>
          <m:t>Var</m:t>
        </m:r>
        <m:d>
          <m:dPr>
            <m:begChr m:val="["/>
            <m:endChr m:val="]"/>
            <m:sepChr m:val=""/>
            <m:grow/>
          </m:dPr>
          <m:e>
            <m:sSub>
              <m:e>
                <m:r>
                  <m:t>X</m:t>
                </m:r>
              </m:e>
              <m:sub>
                <m:r>
                  <m:t>i</m:t>
                </m:r>
              </m:sub>
            </m:sSub>
          </m:e>
        </m:d>
        <m:r>
          <m:rPr>
            <m:sty m:val="p"/>
          </m:rPr>
          <m:t>=</m:t>
        </m:r>
        <m:sSup>
          <m:e>
            <m:r>
              <m:t>σ</m:t>
            </m:r>
          </m:e>
          <m:sup>
            <m:r>
              <m:t>2</m:t>
            </m:r>
          </m:sup>
        </m:sSup>
        <m:r>
          <m:rPr>
            <m:sty m:val="p"/>
          </m:rPr>
          <m:t>&lt;</m:t>
        </m:r>
        <m:r>
          <m:rPr>
            <m:sty m:val="p"/>
          </m:rPr>
          <m:t>∞</m:t>
        </m:r>
      </m:oMath>
      <w:r>
        <w:t xml:space="preserve">, and let</w:t>
      </w:r>
    </w:p>
    <w:p>
      <w:pPr>
        <w:pStyle w:val="BodyText"/>
      </w:pPr>
      <m:oMathPara>
        <m:oMathParaPr>
          <m:jc m:val="center"/>
        </m:oMathParaPr>
        <m:oMath>
          <m:sSub>
            <m:e>
              <m:r>
                <m:t>S</m:t>
              </m:r>
            </m:e>
            <m:sub>
              <m:r>
                <m:t>n</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denote their mean. Then as</w:t>
      </w:r>
      <w:r>
        <w:t xml:space="preserve"> </w:t>
      </w:r>
      <m:oMath>
        <m:r>
          <m:t>n</m:t>
        </m:r>
      </m:oMath>
      <w:r>
        <w:t xml:space="preserve"> </w:t>
      </w:r>
      <w:r>
        <w:t xml:space="preserve">approaches infinity, the random variables</w:t>
      </w:r>
      <w:r>
        <w:t xml:space="preserve"> </w:t>
      </w:r>
      <m:oMath>
        <m:rad>
          <m:radPr>
            <m:degHide m:val="on"/>
          </m:radPr>
          <m:deg/>
          <m:e>
            <m:r>
              <m:t>n</m:t>
            </m:r>
          </m:e>
        </m:rad>
        <m:d>
          <m:dPr>
            <m:begChr m:val="("/>
            <m:endChr m:val=")"/>
            <m:sepChr m:val=""/>
            <m:grow/>
          </m:dPr>
          <m:e>
            <m:sSub>
              <m:e>
                <m:r>
                  <m:t>S</m:t>
                </m:r>
              </m:e>
              <m:sub>
                <m:r>
                  <m:t>n</m:t>
                </m:r>
              </m:sub>
            </m:sSub>
            <m:r>
              <m:rPr>
                <m:sty m:val="p"/>
              </m:rPr>
              <m:t>−</m:t>
            </m:r>
            <m:r>
              <m:t>μ</m:t>
            </m:r>
          </m:e>
        </m:d>
      </m:oMath>
      <w:r>
        <w:t xml:space="preserve"> </w:t>
      </w:r>
      <w:r>
        <w:t xml:space="preserve">converge</w:t>
      </w:r>
      <w:r>
        <w:t xml:space="preserve"> </w:t>
      </w:r>
      <w:r>
        <w:t xml:space="preserve">in distribution to a normal</w:t>
      </w:r>
      <w:r>
        <w:t xml:space="preserve"> </w:t>
      </w:r>
      <m:oMath>
        <m:r>
          <m:t>N</m:t>
        </m:r>
        <m:d>
          <m:dPr>
            <m:begChr m:val="("/>
            <m:endChr m:val=")"/>
            <m:sepChr m:val=""/>
            <m:grow/>
          </m:dPr>
          <m:e>
            <m:r>
              <m:t>0</m:t>
            </m:r>
            <m:r>
              <m:rPr>
                <m:sty m:val="p"/>
              </m:rPr>
              <m:t>,</m:t>
            </m:r>
            <m:sSup>
              <m:e>
                <m:r>
                  <m:t>σ</m:t>
                </m:r>
              </m:e>
              <m:sup>
                <m:r>
                  <m:t>2</m:t>
                </m:r>
              </m:sup>
            </m:sSup>
          </m:e>
        </m:d>
      </m:oMath>
      <w:r>
        <w:t xml:space="preserve">.</w:t>
      </w:r>
    </w:p>
    <w:bookmarkEnd w:id="22"/>
    <w:bookmarkStart w:id="27" w:name="sec-results"/>
    <w:p>
      <w:pPr>
        <w:pStyle w:val="Heading2"/>
      </w:pPr>
      <w:r>
        <w:t xml:space="preserve">Results</w:t>
      </w:r>
    </w:p>
    <w:p>
      <w:pPr>
        <w:pStyle w:val="FirstParagraph"/>
      </w:pPr>
      <w:r>
        <w:t xml:space="preserve">Our performance analysis represents a valuable research contribution in</w:t>
      </w:r>
      <w:r>
        <w:t xml:space="preserve"> </w:t>
      </w:r>
      <w:r>
        <w:t xml:space="preserve">and of itself. Our overall evaluation seeks to prove three hypotheses:</w:t>
      </w:r>
    </w:p>
    <w:p>
      <w:pPr>
        <w:numPr>
          <w:ilvl w:val="0"/>
          <w:numId w:val="1001"/>
        </w:numPr>
      </w:pPr>
      <w:r>
        <w:t xml:space="preserve">that the Macintosh SE of yesteryear actually exhibits a better</w:t>
      </w:r>
      <w:r>
        <w:t xml:space="preserve"> </w:t>
      </w:r>
      <w:r>
        <w:t xml:space="preserve">median interrupt rate than today’s hardware;</w:t>
      </w:r>
    </w:p>
    <w:p>
      <w:pPr>
        <w:numPr>
          <w:ilvl w:val="0"/>
          <w:numId w:val="1001"/>
        </w:numPr>
      </w:pPr>
      <w:r>
        <w:t xml:space="preserve">that cache coherence no longer influences RAM speed;</w:t>
      </w:r>
    </w:p>
    <w:p>
      <w:pPr>
        <w:numPr>
          <w:ilvl w:val="0"/>
          <w:numId w:val="1001"/>
        </w:numPr>
      </w:pPr>
      <w:r>
        <w:t xml:space="preserve">that flash memory speed behaves fundamentally differently on our</w:t>
      </w:r>
      <w:r>
        <w:t xml:space="preserve"> </w:t>
      </w:r>
      <w:r>
        <w:t xml:space="preserve">pervasive overlay network.</w:t>
      </w:r>
    </w:p>
    <w:p>
      <w:pPr>
        <w:pStyle w:val="FirstParagraph"/>
      </w:pPr>
      <w:r>
        <w:t xml:space="preserve">Our evaluation strategy holds surprising results for patient readers, as</w:t>
      </w:r>
      <w:r>
        <w:t xml:space="preserve"> </w:t>
      </w:r>
      <w:r>
        <w:t xml:space="preserve">shown in</w:t>
      </w:r>
      <w:r>
        <w:t xml:space="preserve"> </w:t>
      </w:r>
      <w:hyperlink w:anchor="fig-results">
        <w:r>
          <w:rPr>
            <w:rStyle w:val="Hyperlink"/>
          </w:rPr>
          <w:t xml:space="preserve">Figure 1</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26" w:name="fig-results"/>
          <w:p>
            <w:pPr>
              <w:pStyle w:val="Compact"/>
              <w:jc w:val="center"/>
            </w:pPr>
            <w:r>
              <w:drawing>
                <wp:inline>
                  <wp:extent cx="4267200" cy="3004321"/>
                  <wp:effectExtent b="0" l="0" r="0" t="0"/>
                  <wp:docPr descr="" title="" id="24" name="Picture"/>
                  <a:graphic>
                    <a:graphicData uri="http://schemas.openxmlformats.org/drawingml/2006/picture">
                      <pic:pic>
                        <pic:nvPicPr>
                          <pic:cNvPr descr="figures/sim_results.png" id="25" name="Picture"/>
                          <pic:cNvPicPr>
                            <a:picLocks noChangeArrowheads="1" noChangeAspect="1"/>
                          </pic:cNvPicPr>
                        </pic:nvPicPr>
                        <pic:blipFill>
                          <a:blip r:embed="rId23"/>
                          <a:stretch>
                            <a:fillRect/>
                          </a:stretch>
                        </pic:blipFill>
                        <pic:spPr bwMode="auto">
                          <a:xfrm>
                            <a:off x="0" y="0"/>
                            <a:ext cx="4267200" cy="30043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effective bandwidth of our methodology, compared with the other</w:t>
            </w:r>
            <w:r>
              <w:t xml:space="preserve"> </w:t>
            </w:r>
            <w:r>
              <w:t xml:space="preserve">solutions.</w:t>
            </w:r>
          </w:p>
          <w:bookmarkEnd w:id="26"/>
        </w:tc>
      </w:tr>
    </w:tbl>
    <w:bookmarkEnd w:id="27"/>
    <w:bookmarkStart w:id="28" w:name="sec-conc"/>
    <w:p>
      <w:pPr>
        <w:pStyle w:val="Heading2"/>
      </w:pPr>
      <w:r>
        <w:t xml:space="preserve">Conclusions</w:t>
      </w:r>
    </w:p>
    <w:p>
      <w:pPr>
        <w:pStyle w:val="FirstParagraph"/>
      </w:pPr>
      <w:r>
        <w:t xml:space="preserve">Our contributions are threefold. To begin with, we concentrate our</w:t>
      </w:r>
      <w:r>
        <w:t xml:space="preserve"> </w:t>
      </w:r>
      <w:r>
        <w:t xml:space="preserve">efforts on disproving that gigabit switches can be made random,</w:t>
      </w:r>
      <w:r>
        <w:t xml:space="preserve"> </w:t>
      </w:r>
      <w:r>
        <w:t xml:space="preserve">authenticated, and modular. Continuing with this rationale, we motivate</w:t>
      </w:r>
      <w:r>
        <w:t xml:space="preserve"> </w:t>
      </w:r>
      <w:r>
        <w:t xml:space="preserve">a distributed tool for constructing semaphores (LIVING), which we use to</w:t>
      </w:r>
      <w:r>
        <w:t xml:space="preserve"> </w:t>
      </w:r>
      <w:r>
        <w:t xml:space="preserve">disconfirm that public-private key pairs and the location-identity split</w:t>
      </w:r>
      <w:r>
        <w:t xml:space="preserve"> </w:t>
      </w:r>
      <w:r>
        <w:t xml:space="preserve">can connect to realize this objective. Third, we confirm that A* search</w:t>
      </w:r>
      <w:r>
        <w:t xml:space="preserve"> </w:t>
      </w:r>
      <w:r>
        <w:t xml:space="preserve">and sensor networks are never incompatible. We are pleased to report an</w:t>
      </w:r>
      <w:r>
        <w:t xml:space="preserve"> </w:t>
      </w:r>
      <w:r>
        <w:t xml:space="preserve">improvement in computational time as compared to</w:t>
      </w:r>
      <w:r>
        <w:t xml:space="preserve"> </w:t>
      </w:r>
      <w:r>
        <w:t xml:space="preserve">(</w:t>
      </w:r>
      <w:hyperlink w:anchor="ref-Karthik2001Analysis">
        <w:r>
          <w:rPr>
            <w:rStyle w:val="Hyperlink"/>
          </w:rPr>
          <w:t xml:space="preserve">Lakshminarayanan 2001</w:t>
        </w:r>
      </w:hyperlink>
      <w:r>
        <w:t xml:space="preserve">)</w:t>
      </w:r>
      <w:r>
        <w:t xml:space="preserve">.</w:t>
      </w:r>
    </w:p>
    <w:bookmarkEnd w:id="28"/>
    <w:bookmarkStart w:id="37" w:name="references"/>
    <w:p>
      <w:pPr>
        <w:pStyle w:val="Heading2"/>
      </w:pPr>
      <w:r>
        <w:t xml:space="preserve">References</w:t>
      </w:r>
    </w:p>
    <w:bookmarkStart w:id="36" w:name="refs"/>
    <w:bookmarkStart w:id="29" w:name="ref-Brooks1997Methodology"/>
    <w:p>
      <w:pPr>
        <w:pStyle w:val="Bibliography"/>
      </w:pPr>
      <w:r>
        <w:t xml:space="preserve">Brooks, Fredrick P., John Kubiatowicz, and Christos Papadimitriou. 1997.</w:t>
      </w:r>
      <w:r>
        <w:t xml:space="preserve"> </w:t>
      </w:r>
      <w:r>
        <w:t xml:space="preserve">“A Methodology for the Study of the Location-Identity Split.”</w:t>
      </w:r>
      <w:r>
        <w:t xml:space="preserve"> </w:t>
      </w:r>
      <w:r>
        <w:t xml:space="preserve">In</w:t>
      </w:r>
      <w:r>
        <w:t xml:space="preserve"> </w:t>
      </w:r>
      <w:r>
        <w:rPr>
          <w:iCs/>
          <w:i/>
        </w:rPr>
        <w:t xml:space="preserve">Proceedings of OOPSLA</w:t>
      </w:r>
      <w:r>
        <w:t xml:space="preserve">.</w:t>
      </w:r>
    </w:p>
    <w:bookmarkEnd w:id="29"/>
    <w:bookmarkStart w:id="30" w:name="ref-fernando2021towards"/>
    <w:p>
      <w:pPr>
        <w:pStyle w:val="Bibliography"/>
      </w:pPr>
      <w:r>
        <w:t xml:space="preserve">Fernando, Erick, and Pandapotan Siagian. 2021.</w:t>
      </w:r>
      <w:r>
        <w:t xml:space="preserve"> </w:t>
      </w:r>
      <w:r>
        <w:t xml:space="preserve">“Towards the Analysis Networks of Redundancy with von Neumann Machines and RPCs.”</w:t>
      </w:r>
      <w:r>
        <w:t xml:space="preserve"> </w:t>
      </w:r>
      <w:r>
        <w:rPr>
          <w:iCs/>
          <w:i/>
        </w:rPr>
        <w:t xml:space="preserve">Procedia Computer Science</w:t>
      </w:r>
      <w:r>
        <w:t xml:space="preserve"> </w:t>
      </w:r>
      <w:r>
        <w:t xml:space="preserve">179: 119–26.</w:t>
      </w:r>
    </w:p>
    <w:bookmarkEnd w:id="30"/>
    <w:bookmarkStart w:id="31" w:name="ref-Jacobson1999Towards"/>
    <w:p>
      <w:pPr>
        <w:pStyle w:val="Bibliography"/>
      </w:pPr>
      <w:r>
        <w:t xml:space="preserve">Jacobson, Van. 1999.</w:t>
      </w:r>
      <w:r>
        <w:t xml:space="preserve"> </w:t>
      </w:r>
      <w:r>
        <w:t xml:space="preserve">“Towards the Analysis of Massive Multiplayer Online Role-Playing Games.”</w:t>
      </w:r>
      <w:r>
        <w:t xml:space="preserve"> </w:t>
      </w:r>
      <w:r>
        <w:rPr>
          <w:iCs/>
          <w:i/>
        </w:rPr>
        <w:t xml:space="preserve">Journal of Ubiquitous Information</w:t>
      </w:r>
      <w:r>
        <w:t xml:space="preserve"> </w:t>
      </w:r>
      <w:r>
        <w:t xml:space="preserve">6 (June): 75–83.</w:t>
      </w:r>
    </w:p>
    <w:bookmarkEnd w:id="31"/>
    <w:bookmarkStart w:id="32" w:name="ref-Karthik2001Analysis"/>
    <w:p>
      <w:pPr>
        <w:pStyle w:val="Bibliography"/>
      </w:pPr>
      <w:r>
        <w:t xml:space="preserve">Lakshminarayanan, Karthik. 2001.</w:t>
      </w:r>
      <w:r>
        <w:t xml:space="preserve"> </w:t>
      </w:r>
      <w:r>
        <w:t xml:space="preserve">“An Analysis of Forward-Error Correction Using</w:t>
      </w:r>
      <w:r>
        <w:t xml:space="preserve"> </w:t>
      </w:r>
      <w:r>
        <w:t xml:space="preserve">MollSextans</w:t>
      </w:r>
      <w:r>
        <w:t xml:space="preserve">.”</w:t>
      </w:r>
      <w:r>
        <w:t xml:space="preserve"> </w:t>
      </w:r>
      <w:r>
        <w:t xml:space="preserve">In</w:t>
      </w:r>
      <w:r>
        <w:t xml:space="preserve"> </w:t>
      </w:r>
      <w:r>
        <w:rPr>
          <w:iCs/>
          <w:i/>
        </w:rPr>
        <w:t xml:space="preserve">Proceedings</w:t>
      </w:r>
      <w:r>
        <w:rPr>
          <w:iCs/>
          <w:i/>
        </w:rPr>
        <w:t xml:space="preserve"> </w:t>
      </w:r>
      <w:r>
        <w:rPr>
          <w:iCs/>
          <w:i/>
        </w:rPr>
        <w:t xml:space="preserve">of the</w:t>
      </w:r>
      <w:r>
        <w:rPr>
          <w:iCs/>
          <w:i/>
        </w:rPr>
        <w:t xml:space="preserve"> </w:t>
      </w:r>
      <w:r>
        <w:rPr>
          <w:iCs/>
          <w:i/>
        </w:rPr>
        <w:t xml:space="preserve">Symposium</w:t>
      </w:r>
      <w:r>
        <w:rPr>
          <w:iCs/>
          <w:i/>
        </w:rPr>
        <w:t xml:space="preserve"> </w:t>
      </w:r>
      <w:r>
        <w:rPr>
          <w:iCs/>
          <w:i/>
        </w:rPr>
        <w:t xml:space="preserve">on Stable Configurations</w:t>
      </w:r>
      <w:r>
        <w:t xml:space="preserve">.</w:t>
      </w:r>
    </w:p>
    <w:bookmarkEnd w:id="32"/>
    <w:bookmarkStart w:id="33" w:name="ref-Smith1990Enabling"/>
    <w:p>
      <w:pPr>
        <w:pStyle w:val="Bibliography"/>
      </w:pPr>
      <w:r>
        <w:t xml:space="preserve">Smith, J., and Leonard Adleman. 1990.</w:t>
      </w:r>
      <w:r>
        <w:t xml:space="preserve"> </w:t>
      </w:r>
      <w:r>
        <w:t xml:space="preserve">“Enabling the Transistor Using Secure Algorithms.”</w:t>
      </w:r>
      <w:r>
        <w:t xml:space="preserve"> </w:t>
      </w:r>
      <w:r>
        <w:t xml:space="preserve">99-74-1618.</w:t>
      </w:r>
      <w:r>
        <w:t xml:space="preserve"> </w:t>
      </w:r>
      <w:r>
        <w:t xml:space="preserve">IBM</w:t>
      </w:r>
      <w:r>
        <w:t xml:space="preserve"> </w:t>
      </w:r>
      <w:r>
        <w:t xml:space="preserve">Research</w:t>
      </w:r>
      <w:r>
        <w:t xml:space="preserve">.</w:t>
      </w:r>
    </w:p>
    <w:bookmarkEnd w:id="33"/>
    <w:bookmarkStart w:id="34" w:name="ref-Sutherland2003UNIVAC"/>
    <w:p>
      <w:pPr>
        <w:pStyle w:val="Bibliography"/>
      </w:pPr>
      <w:r>
        <w:t xml:space="preserve">Sutherland, Ivan, and H. Nehru. 2003.</w:t>
      </w:r>
      <w:r>
        <w:t xml:space="preserve"> </w:t>
      </w:r>
      <w:r>
        <w:t xml:space="preserve">“The</w:t>
      </w:r>
      <w:r>
        <w:t xml:space="preserve"> </w:t>
      </w:r>
      <w:r>
        <w:t xml:space="preserve">UNIVAC</w:t>
      </w:r>
      <w:r>
        <w:t xml:space="preserve"> </w:t>
      </w:r>
      <w:r>
        <w:t xml:space="preserve">Computer No Longer Considered Harmful.”</w:t>
      </w:r>
      <w:r>
        <w:t xml:space="preserve"> </w:t>
      </w:r>
      <w:r>
        <w:rPr>
          <w:iCs/>
          <w:i/>
        </w:rPr>
        <w:t xml:space="preserve">Journal</w:t>
      </w:r>
      <w:r>
        <w:rPr>
          <w:iCs/>
          <w:i/>
        </w:rPr>
        <w:t xml:space="preserve"> </w:t>
      </w:r>
      <w:r>
        <w:rPr>
          <w:iCs/>
          <w:i/>
        </w:rPr>
        <w:t xml:space="preserve">of Distributed Models</w:t>
      </w:r>
      <w:r>
        <w:t xml:space="preserve"> </w:t>
      </w:r>
      <w:r>
        <w:t xml:space="preserve">6 (January): 153–96.</w:t>
      </w:r>
    </w:p>
    <w:bookmarkEnd w:id="34"/>
    <w:bookmarkStart w:id="35" w:name="ref-Taylor2003Influence"/>
    <w:p>
      <w:pPr>
        <w:pStyle w:val="Bibliography"/>
      </w:pPr>
      <w:r>
        <w:t xml:space="preserve">Taylor, O. 2003.</w:t>
      </w:r>
      <w:r>
        <w:t xml:space="preserve"> </w:t>
      </w:r>
      <w:r>
        <w:t xml:space="preserve">“The Influence of Concurrent Archetypes on Networking.”</w:t>
      </w:r>
      <w:r>
        <w:t xml:space="preserve"> </w:t>
      </w:r>
      <w:r>
        <w:t xml:space="preserve">In</w:t>
      </w:r>
      <w:r>
        <w:t xml:space="preserve"> </w:t>
      </w:r>
      <w:r>
        <w:rPr>
          <w:iCs/>
          <w:i/>
        </w:rPr>
        <w:t xml:space="preserve">Proceedings</w:t>
      </w:r>
      <w:r>
        <w:rPr>
          <w:iCs/>
          <w:i/>
        </w:rPr>
        <w:t xml:space="preserve"> </w:t>
      </w:r>
      <w:r>
        <w:rPr>
          <w:iCs/>
          <w:i/>
        </w:rPr>
        <w:t xml:space="preserve">of</w:t>
      </w:r>
      <w:r>
        <w:rPr>
          <w:iCs/>
          <w:i/>
        </w:rPr>
        <w:t xml:space="preserve"> </w:t>
      </w:r>
      <w:r>
        <w:rPr>
          <w:iCs/>
          <w:i/>
        </w:rPr>
        <w:t xml:space="preserve">PODS</w:t>
      </w:r>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the UNIVAC Computer and Evolutionary Programming</dc:title>
  <dc:creator>Sanah Ridley; Ashton Peel; Benedict McKenzie</dc:creator>
  <cp:keywords>Sparse Gaussian Processes, Urban planning, Sustainable cities, House prices, Scenario analysis, Brunei Darussalam</cp:keywords>
  <dcterms:created xsi:type="dcterms:W3CDTF">2024-11-03T06:09:48Z</dcterms:created>
  <dcterms:modified xsi:type="dcterms:W3CDTF">2024-11-03T06:09:48Z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electrical engineers would agree that, had it not been for online algorithms, the evaluation of red-black trees might never have occurred. In recent years, much research has been devoted to the exploration of von Neumann machines (Fernando and Siagian 2021); however, few have deployed the study of simulated annealing. In fact, few security experts would disagree with the investigation of online algorithms. In our research, we demonstrate the significant unification of massive multiplayer online role-playing games and the location-identity split. We concentrate our efforts on demonstrating that reinforcement learning can be made peer-to-peer, autonomous, and cacheable.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modified">
    <vt:lpwstr>2024-11-03</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ink-citations">
    <vt:lpwstr>True</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