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58BD3" w14:textId="77777777" w:rsidR="00E3533D" w:rsidRDefault="00000000">
      <w:pPr>
        <w:pStyle w:val="Title"/>
        <w:jc w:val="center"/>
      </w:pPr>
      <w:r>
        <w:t>DES2001 Enterprise UX</w:t>
      </w:r>
      <w:r>
        <w:br/>
        <w:t>Work Requirement 1</w:t>
      </w:r>
    </w:p>
    <w:p w14:paraId="1D51C3CB" w14:textId="77777777" w:rsidR="00E3533D" w:rsidRDefault="00000000">
      <w:pPr>
        <w:jc w:val="center"/>
      </w:pPr>
      <w:r>
        <w:rPr>
          <w:b/>
          <w:sz w:val="24"/>
        </w:rPr>
        <w:t>Investigating an Incomplete Enterprise Context</w:t>
      </w:r>
      <w:r>
        <w:rPr>
          <w:b/>
          <w:sz w:val="24"/>
        </w:rPr>
        <w:br/>
        <w:t>Assumptions and Questions Log - Qybele Case</w:t>
      </w:r>
    </w:p>
    <w:p w14:paraId="64D107AE" w14:textId="6081F049" w:rsidR="00E3533D" w:rsidRDefault="00000000">
      <w:r>
        <w:t xml:space="preserve">Student name: </w:t>
      </w:r>
      <w:r w:rsidR="00C20FA7" w:rsidRPr="00C20FA7">
        <w:rPr>
          <w:b/>
          <w:bCs/>
        </w:rPr>
        <w:t>Samir Ahmad Mustafa</w:t>
      </w:r>
    </w:p>
    <w:p w14:paraId="42207C3F" w14:textId="39A7FC79" w:rsidR="00E3533D" w:rsidRDefault="00000000">
      <w:r>
        <w:t>Date: ______</w:t>
      </w:r>
      <w:r w:rsidR="00C20FA7">
        <w:t>10/06/2026</w:t>
      </w:r>
      <w:r>
        <w:t>______________</w:t>
      </w:r>
    </w:p>
    <w:p w14:paraId="734B5526" w14:textId="77777777" w:rsidR="00E3533D" w:rsidRDefault="00000000">
      <w:r>
        <w:rPr>
          <w:b/>
        </w:rPr>
        <w:t xml:space="preserve">Purpose of this document. </w:t>
      </w:r>
      <w:r>
        <w:t>This working draft is based only on the provided Qybele case material. Before submission, review every entry against the course material, revise the wording so it reflects your own investigation and judgement, and add or remove entries where needed.</w:t>
      </w:r>
    </w:p>
    <w:p w14:paraId="2C0E91F6" w14:textId="77777777" w:rsidR="00E3533D" w:rsidRDefault="00000000">
      <w:pPr>
        <w:pStyle w:val="Heading1"/>
      </w:pPr>
      <w:r>
        <w:t>1. Project Context</w:t>
      </w:r>
    </w:p>
    <w:p w14:paraId="46024749" w14:textId="77777777" w:rsidR="00E3533D" w:rsidRDefault="00000000">
      <w:r>
        <w:rPr>
          <w:b/>
        </w:rPr>
        <w:t xml:space="preserve">Selected context: </w:t>
      </w:r>
      <w:r>
        <w:t>Qybele examination, assessment and grading environment at Oslo Nye Fagskole.</w:t>
      </w:r>
    </w:p>
    <w:p w14:paraId="607588D8" w14:textId="77777777" w:rsidR="00E3533D" w:rsidRDefault="00000000">
      <w:r>
        <w:rPr>
          <w:b/>
        </w:rPr>
        <w:t xml:space="preserve">Main enterprise roles considered: </w:t>
      </w:r>
      <w:r>
        <w:t>Teacher, Examiner, Exam Office, Exam Office Misconduct Coordinator, Student, and Appeals Committee (Klagenemnda).</w:t>
      </w:r>
    </w:p>
    <w:p w14:paraId="180FB1B2" w14:textId="77777777" w:rsidR="00E3533D" w:rsidRDefault="00000000">
      <w:r>
        <w:rPr>
          <w:b/>
        </w:rPr>
        <w:t xml:space="preserve">Focus of investigation: </w:t>
      </w:r>
      <w:r>
        <w:t>How examination work moves through assessment, grading, approval and related exception paths, with attention to roles, handovers, permissions, system states, anonymity, traceability and incomplete information.</w:t>
      </w:r>
    </w:p>
    <w:p w14:paraId="2D20AA5E" w14:textId="77777777" w:rsidR="00E3533D" w:rsidRDefault="00000000">
      <w:pPr>
        <w:pStyle w:val="Heading1"/>
      </w:pPr>
      <w:r>
        <w:t>2. Assumptions and Questions Log</w:t>
      </w:r>
    </w:p>
    <w:p w14:paraId="5934B489" w14:textId="77777777" w:rsidR="00E3533D" w:rsidRDefault="00E3533D">
      <w:pPr>
        <w:sectPr w:rsidR="00E3533D">
          <w:footerReference w:type="default" r:id="rId8"/>
          <w:pgSz w:w="12240" w:h="15840"/>
          <w:pgMar w:top="936" w:right="792" w:bottom="936" w:left="792" w:header="720" w:footer="720" w:gutter="0"/>
          <w:cols w:space="720"/>
          <w:docGrid w:linePitch="360"/>
        </w:sectPr>
      </w:pPr>
    </w:p>
    <w:tbl>
      <w:tblPr>
        <w:tblStyle w:val="GridTable1Light"/>
        <w:tblW w:w="0" w:type="auto"/>
        <w:tblLook w:val="04A0" w:firstRow="1" w:lastRow="0" w:firstColumn="1" w:lastColumn="0" w:noHBand="0" w:noVBand="1"/>
      </w:tblPr>
      <w:tblGrid>
        <w:gridCol w:w="2474"/>
        <w:gridCol w:w="3995"/>
        <w:gridCol w:w="2710"/>
        <w:gridCol w:w="2492"/>
        <w:gridCol w:w="3151"/>
      </w:tblGrid>
      <w:tr w:rsidR="00E3533D" w14:paraId="1FC87F35" w14:textId="77777777" w:rsidTr="00551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55FEC42F" w14:textId="77777777" w:rsidR="00E3533D" w:rsidRDefault="00000000">
            <w:r>
              <w:rPr>
                <w:sz w:val="16"/>
              </w:rPr>
              <w:lastRenderedPageBreak/>
              <w:t>Type</w:t>
            </w:r>
          </w:p>
        </w:tc>
        <w:tc>
          <w:tcPr>
            <w:tcW w:w="2966" w:type="dxa"/>
          </w:tcPr>
          <w:p w14:paraId="29B925CD" w14:textId="77777777" w:rsidR="00E3533D" w:rsidRDefault="00000000">
            <w:pPr>
              <w:cnfStyle w:val="100000000000" w:firstRow="1" w:lastRow="0" w:firstColumn="0" w:lastColumn="0" w:oddVBand="0" w:evenVBand="0" w:oddHBand="0" w:evenHBand="0" w:firstRowFirstColumn="0" w:firstRowLastColumn="0" w:lastRowFirstColumn="0" w:lastRowLastColumn="0"/>
            </w:pPr>
            <w:r>
              <w:rPr>
                <w:sz w:val="16"/>
              </w:rPr>
              <w:t>What You Know, Assume or Need to Ask</w:t>
            </w:r>
          </w:p>
        </w:tc>
        <w:tc>
          <w:tcPr>
            <w:tcW w:w="2966" w:type="dxa"/>
          </w:tcPr>
          <w:p w14:paraId="3EEC0470" w14:textId="77777777" w:rsidR="00E3533D" w:rsidRDefault="00000000">
            <w:pPr>
              <w:cnfStyle w:val="100000000000" w:firstRow="1" w:lastRow="0" w:firstColumn="0" w:lastColumn="0" w:oddVBand="0" w:evenVBand="0" w:oddHBand="0" w:evenHBand="0" w:firstRowFirstColumn="0" w:firstRowLastColumn="0" w:lastRowFirstColumn="0" w:lastRowLastColumn="0"/>
            </w:pPr>
            <w:r>
              <w:rPr>
                <w:sz w:val="16"/>
              </w:rPr>
              <w:t>Evidence or Source</w:t>
            </w:r>
          </w:p>
        </w:tc>
        <w:tc>
          <w:tcPr>
            <w:tcW w:w="2966" w:type="dxa"/>
          </w:tcPr>
          <w:p w14:paraId="7F7303CA" w14:textId="77777777" w:rsidR="00E3533D" w:rsidRDefault="00000000">
            <w:pPr>
              <w:cnfStyle w:val="100000000000" w:firstRow="1" w:lastRow="0" w:firstColumn="0" w:lastColumn="0" w:oddVBand="0" w:evenVBand="0" w:oddHBand="0" w:evenHBand="0" w:firstRowFirstColumn="0" w:firstRowLastColumn="0" w:lastRowFirstColumn="0" w:lastRowLastColumn="0"/>
            </w:pPr>
            <w:r>
              <w:rPr>
                <w:sz w:val="16"/>
              </w:rPr>
              <w:t>Relevant Person, Role or Source</w:t>
            </w:r>
          </w:p>
        </w:tc>
        <w:tc>
          <w:tcPr>
            <w:tcW w:w="2966" w:type="dxa"/>
          </w:tcPr>
          <w:p w14:paraId="7A656B0B" w14:textId="77777777" w:rsidR="00E3533D" w:rsidRDefault="00000000">
            <w:pPr>
              <w:cnfStyle w:val="100000000000" w:firstRow="1" w:lastRow="0" w:firstColumn="0" w:lastColumn="0" w:oddVBand="0" w:evenVBand="0" w:oddHBand="0" w:evenHBand="0" w:firstRowFirstColumn="0" w:firstRowLastColumn="0" w:lastRowFirstColumn="0" w:lastRowLastColumn="0"/>
            </w:pPr>
            <w:r>
              <w:rPr>
                <w:sz w:val="16"/>
              </w:rPr>
              <w:t>Why It Matters</w:t>
            </w:r>
          </w:p>
        </w:tc>
      </w:tr>
      <w:tr w:rsidR="00E3533D" w14:paraId="5C0AB0C6"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69C4D19E" w14:textId="77777777" w:rsidR="00E3533D" w:rsidRDefault="00000000">
            <w:r>
              <w:rPr>
                <w:sz w:val="15"/>
              </w:rPr>
              <w:t>Known</w:t>
            </w:r>
          </w:p>
        </w:tc>
        <w:tc>
          <w:tcPr>
            <w:tcW w:w="4968" w:type="dxa"/>
          </w:tcPr>
          <w:p w14:paraId="3EAA918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Students normally need to have passed 3 of 4 Work Requirements to be registered for the examination.</w:t>
            </w:r>
          </w:p>
        </w:tc>
        <w:tc>
          <w:tcPr>
            <w:tcW w:w="3096" w:type="dxa"/>
          </w:tcPr>
          <w:p w14:paraId="309E074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Student Eligibility and Registration, p. 23</w:t>
            </w:r>
          </w:p>
        </w:tc>
        <w:tc>
          <w:tcPr>
            <w:tcW w:w="2376" w:type="dxa"/>
          </w:tcPr>
          <w:p w14:paraId="3989950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course administration</w:t>
            </w:r>
          </w:p>
        </w:tc>
        <w:tc>
          <w:tcPr>
            <w:tcW w:w="3816" w:type="dxa"/>
          </w:tcPr>
          <w:p w14:paraId="6E26A81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is an important business rule that affects exam eligibility and registration.</w:t>
            </w:r>
          </w:p>
        </w:tc>
      </w:tr>
      <w:tr w:rsidR="00E3533D" w14:paraId="6C545611"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212C8E0C" w14:textId="77777777" w:rsidR="00E3533D" w:rsidRDefault="00000000">
            <w:r>
              <w:rPr>
                <w:sz w:val="15"/>
              </w:rPr>
              <w:t>Known</w:t>
            </w:r>
          </w:p>
        </w:tc>
        <w:tc>
          <w:tcPr>
            <w:tcW w:w="4968" w:type="dxa"/>
          </w:tcPr>
          <w:p w14:paraId="45522E5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examination workflow involves several roles, including teachers, examiners, the Exam Office, students and, in some cases, the Appeals Committee.</w:t>
            </w:r>
          </w:p>
        </w:tc>
        <w:tc>
          <w:tcPr>
            <w:tcW w:w="3096" w:type="dxa"/>
          </w:tcPr>
          <w:p w14:paraId="7CC87A1F"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Roles, pp. 20-22</w:t>
            </w:r>
          </w:p>
        </w:tc>
        <w:tc>
          <w:tcPr>
            <w:tcW w:w="2376" w:type="dxa"/>
          </w:tcPr>
          <w:p w14:paraId="3201F22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Qybele case material</w:t>
            </w:r>
          </w:p>
        </w:tc>
        <w:tc>
          <w:tcPr>
            <w:tcW w:w="3816" w:type="dxa"/>
          </w:tcPr>
          <w:p w14:paraId="0FB34B1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number of roles creates handovers, permissions and coordination needs that must be understood before proposing changes.</w:t>
            </w:r>
          </w:p>
        </w:tc>
      </w:tr>
      <w:tr w:rsidR="00E3533D" w14:paraId="439C3A31"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7A76CA86" w14:textId="77777777" w:rsidR="00E3533D" w:rsidRDefault="00000000">
            <w:r>
              <w:rPr>
                <w:sz w:val="15"/>
              </w:rPr>
              <w:t>Known</w:t>
            </w:r>
          </w:p>
        </w:tc>
        <w:tc>
          <w:tcPr>
            <w:tcW w:w="4968" w:type="dxa"/>
          </w:tcPr>
          <w:p w14:paraId="3A447CBA"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During assessment, students are represented by candidate numbers to support anonymous assessment.</w:t>
            </w:r>
          </w:p>
        </w:tc>
        <w:tc>
          <w:tcPr>
            <w:tcW w:w="3096" w:type="dxa"/>
          </w:tcPr>
          <w:p w14:paraId="7071C3C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Anonymous Assessment and Candidate Numbers, p. 23</w:t>
            </w:r>
          </w:p>
        </w:tc>
        <w:tc>
          <w:tcPr>
            <w:tcW w:w="2376" w:type="dxa"/>
          </w:tcPr>
          <w:p w14:paraId="576FE1A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Qybele system</w:t>
            </w:r>
          </w:p>
        </w:tc>
        <w:tc>
          <w:tcPr>
            <w:tcW w:w="3816" w:type="dxa"/>
          </w:tcPr>
          <w:p w14:paraId="7A30F7B8"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Any UX change in assessment must protect the principle of candidate anonymity.</w:t>
            </w:r>
          </w:p>
        </w:tc>
      </w:tr>
      <w:tr w:rsidR="00E3533D" w14:paraId="0A0E044E"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5B713673" w14:textId="77777777" w:rsidR="00E3533D" w:rsidRDefault="00000000">
            <w:r>
              <w:rPr>
                <w:sz w:val="15"/>
              </w:rPr>
              <w:t>Known</w:t>
            </w:r>
          </w:p>
        </w:tc>
        <w:tc>
          <w:tcPr>
            <w:tcW w:w="4968" w:type="dxa"/>
          </w:tcPr>
          <w:p w14:paraId="2142D30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An examiner accesses assigned examinations through Grading Responsibility (Sensoransvar) and then opens the candidate overview.</w:t>
            </w:r>
          </w:p>
        </w:tc>
        <w:tc>
          <w:tcPr>
            <w:tcW w:w="3096" w:type="dxa"/>
          </w:tcPr>
          <w:p w14:paraId="1BA5EFE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Examiner Work, p. 24</w:t>
            </w:r>
          </w:p>
        </w:tc>
        <w:tc>
          <w:tcPr>
            <w:tcW w:w="2376" w:type="dxa"/>
          </w:tcPr>
          <w:p w14:paraId="47F08A1E"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interface</w:t>
            </w:r>
          </w:p>
        </w:tc>
        <w:tc>
          <w:tcPr>
            <w:tcW w:w="3816" w:type="dxa"/>
          </w:tcPr>
          <w:p w14:paraId="71EF72A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identifies the examiner entry point into the assessment workflow.</w:t>
            </w:r>
          </w:p>
        </w:tc>
      </w:tr>
      <w:tr w:rsidR="00E3533D" w14:paraId="23252408"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56C7C83A" w14:textId="77777777" w:rsidR="00E3533D" w:rsidRDefault="00000000">
            <w:r>
              <w:rPr>
                <w:sz w:val="15"/>
              </w:rPr>
              <w:t>Known</w:t>
            </w:r>
          </w:p>
        </w:tc>
        <w:tc>
          <w:tcPr>
            <w:tcW w:w="4968" w:type="dxa"/>
          </w:tcPr>
          <w:p w14:paraId="4959332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candidate overview may show candidate number, examiner initials, assessment status, grade, points, percentage, comments, submitted file and plagiarism information.</w:t>
            </w:r>
          </w:p>
        </w:tc>
        <w:tc>
          <w:tcPr>
            <w:tcW w:w="3096" w:type="dxa"/>
          </w:tcPr>
          <w:p w14:paraId="7E0B85E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Candidate Overview, p. 24</w:t>
            </w:r>
          </w:p>
        </w:tc>
        <w:tc>
          <w:tcPr>
            <w:tcW w:w="2376" w:type="dxa"/>
          </w:tcPr>
          <w:p w14:paraId="1B1DC87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interface</w:t>
            </w:r>
          </w:p>
        </w:tc>
        <w:tc>
          <w:tcPr>
            <w:tcW w:w="3816" w:type="dxa"/>
          </w:tcPr>
          <w:p w14:paraId="60A132C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screen contains several information types and is likely important for navigation and decision-making.</w:t>
            </w:r>
          </w:p>
        </w:tc>
      </w:tr>
      <w:tr w:rsidR="00E3533D" w14:paraId="5C7E626C"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62E3FB6E" w14:textId="77777777" w:rsidR="00E3533D" w:rsidRDefault="00000000">
            <w:r>
              <w:rPr>
                <w:sz w:val="15"/>
              </w:rPr>
              <w:t>Known</w:t>
            </w:r>
          </w:p>
        </w:tc>
        <w:tc>
          <w:tcPr>
            <w:tcW w:w="4968" w:type="dxa"/>
          </w:tcPr>
          <w:p w14:paraId="5F31917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Comment (Kommentar) is an internal examiner comment and is not intended to be visible to the student.</w:t>
            </w:r>
          </w:p>
        </w:tc>
        <w:tc>
          <w:tcPr>
            <w:tcW w:w="3096" w:type="dxa"/>
          </w:tcPr>
          <w:p w14:paraId="0BA6484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Comments and Assessment Information, p. 25</w:t>
            </w:r>
          </w:p>
        </w:tc>
        <w:tc>
          <w:tcPr>
            <w:tcW w:w="2376" w:type="dxa"/>
          </w:tcPr>
          <w:p w14:paraId="0530125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help text</w:t>
            </w:r>
          </w:p>
        </w:tc>
        <w:tc>
          <w:tcPr>
            <w:tcW w:w="3816" w:type="dxa"/>
          </w:tcPr>
          <w:p w14:paraId="203CEDE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Comment visibility is a privacy and communication constraint that affects field labels and information architecture.</w:t>
            </w:r>
          </w:p>
        </w:tc>
      </w:tr>
      <w:tr w:rsidR="00E3533D" w14:paraId="3537BC5D"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77929DFA" w14:textId="77777777" w:rsidR="00E3533D" w:rsidRDefault="00000000">
            <w:r>
              <w:rPr>
                <w:sz w:val="15"/>
              </w:rPr>
              <w:t>Known</w:t>
            </w:r>
          </w:p>
        </w:tc>
        <w:tc>
          <w:tcPr>
            <w:tcW w:w="4968" w:type="dxa"/>
          </w:tcPr>
          <w:p w14:paraId="4EC36A5E"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Justification (Begrunnelse) can be used as part of grade justification and is visible to the student.</w:t>
            </w:r>
          </w:p>
        </w:tc>
        <w:tc>
          <w:tcPr>
            <w:tcW w:w="3096" w:type="dxa"/>
          </w:tcPr>
          <w:p w14:paraId="39D47D6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Comments and Assessment Information, p. 25</w:t>
            </w:r>
          </w:p>
        </w:tc>
        <w:tc>
          <w:tcPr>
            <w:tcW w:w="2376" w:type="dxa"/>
          </w:tcPr>
          <w:p w14:paraId="27DAB4E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help text</w:t>
            </w:r>
          </w:p>
        </w:tc>
        <w:tc>
          <w:tcPr>
            <w:tcW w:w="3816" w:type="dxa"/>
          </w:tcPr>
          <w:p w14:paraId="0C5BB4E7"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distinction between internal comments and student-visible justification must be clear to prevent disclosure mistakes.</w:t>
            </w:r>
          </w:p>
        </w:tc>
      </w:tr>
      <w:tr w:rsidR="00E3533D" w14:paraId="11A89D7A"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36420956" w14:textId="77777777" w:rsidR="00E3533D" w:rsidRDefault="00000000">
            <w:r>
              <w:rPr>
                <w:sz w:val="15"/>
              </w:rPr>
              <w:t>Known</w:t>
            </w:r>
          </w:p>
        </w:tc>
        <w:tc>
          <w:tcPr>
            <w:tcW w:w="4968" w:type="dxa"/>
          </w:tcPr>
          <w:p w14:paraId="1E6D020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When assessment is finished, the examiner sets the grade, completes relevant comments or justification, and changes Work Status to Completed (Ferdig).</w:t>
            </w:r>
          </w:p>
        </w:tc>
        <w:tc>
          <w:tcPr>
            <w:tcW w:w="3096" w:type="dxa"/>
          </w:tcPr>
          <w:p w14:paraId="56F2D16E"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Completing an Assessment, p. 26</w:t>
            </w:r>
          </w:p>
        </w:tc>
        <w:tc>
          <w:tcPr>
            <w:tcW w:w="2376" w:type="dxa"/>
          </w:tcPr>
          <w:p w14:paraId="3C59467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workflow</w:t>
            </w:r>
          </w:p>
        </w:tc>
        <w:tc>
          <w:tcPr>
            <w:tcW w:w="3816" w:type="dxa"/>
          </w:tcPr>
          <w:p w14:paraId="47F15DCF"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is a high-consequence state transition that should be clearly communicated in the interface.</w:t>
            </w:r>
          </w:p>
        </w:tc>
      </w:tr>
      <w:tr w:rsidR="00E3533D" w14:paraId="6897BB71"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0CAE0B8B" w14:textId="77777777" w:rsidR="00E3533D" w:rsidRDefault="00000000">
            <w:r>
              <w:rPr>
                <w:sz w:val="15"/>
              </w:rPr>
              <w:t>Known</w:t>
            </w:r>
          </w:p>
        </w:tc>
        <w:tc>
          <w:tcPr>
            <w:tcW w:w="4968" w:type="dxa"/>
          </w:tcPr>
          <w:p w14:paraId="0BFD8C2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When Work Status is Completed, the grade cannot normally be edited directly, but the assessment can be returned to In Progress and then changed.</w:t>
            </w:r>
          </w:p>
        </w:tc>
        <w:tc>
          <w:tcPr>
            <w:tcW w:w="3096" w:type="dxa"/>
          </w:tcPr>
          <w:p w14:paraId="18F6273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Completing an Assessment, p. 26</w:t>
            </w:r>
          </w:p>
        </w:tc>
        <w:tc>
          <w:tcPr>
            <w:tcW w:w="2376" w:type="dxa"/>
          </w:tcPr>
          <w:p w14:paraId="364AE5D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workflow</w:t>
            </w:r>
          </w:p>
        </w:tc>
        <w:tc>
          <w:tcPr>
            <w:tcW w:w="3816" w:type="dxa"/>
          </w:tcPr>
          <w:p w14:paraId="7260047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rule affects editing permissions, error recovery and the design of confirmation or warning states.</w:t>
            </w:r>
          </w:p>
        </w:tc>
      </w:tr>
      <w:tr w:rsidR="00E3533D" w14:paraId="226CFF64"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1FFECE12" w14:textId="77777777" w:rsidR="00E3533D" w:rsidRDefault="00000000">
            <w:r>
              <w:rPr>
                <w:sz w:val="15"/>
              </w:rPr>
              <w:t>Known</w:t>
            </w:r>
          </w:p>
        </w:tc>
        <w:tc>
          <w:tcPr>
            <w:tcW w:w="4968" w:type="dxa"/>
          </w:tcPr>
          <w:p w14:paraId="0D34513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After all relevant candidates are assessed, the examiner completes an Examiner Report and sends the results for approval.</w:t>
            </w:r>
          </w:p>
        </w:tc>
        <w:tc>
          <w:tcPr>
            <w:tcW w:w="3096" w:type="dxa"/>
          </w:tcPr>
          <w:p w14:paraId="2B1CB287"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Completing an Assessment, p. 26</w:t>
            </w:r>
          </w:p>
        </w:tc>
        <w:tc>
          <w:tcPr>
            <w:tcW w:w="2376" w:type="dxa"/>
          </w:tcPr>
          <w:p w14:paraId="06F9AF1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Exam Office</w:t>
            </w:r>
          </w:p>
        </w:tc>
        <w:tc>
          <w:tcPr>
            <w:tcW w:w="3816" w:type="dxa"/>
          </w:tcPr>
          <w:p w14:paraId="33BE311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is an important handover from examiner work to administrative approval.</w:t>
            </w:r>
          </w:p>
        </w:tc>
      </w:tr>
      <w:tr w:rsidR="00E3533D" w14:paraId="302B1937"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4A8E6B3B" w14:textId="77777777" w:rsidR="00E3533D" w:rsidRDefault="00000000">
            <w:r>
              <w:rPr>
                <w:sz w:val="15"/>
              </w:rPr>
              <w:t>Known</w:t>
            </w:r>
          </w:p>
        </w:tc>
        <w:tc>
          <w:tcPr>
            <w:tcW w:w="4968" w:type="dxa"/>
          </w:tcPr>
          <w:p w14:paraId="54B4905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Exam Office reviews the submitted assessment and can edit assessment information before approval.</w:t>
            </w:r>
          </w:p>
        </w:tc>
        <w:tc>
          <w:tcPr>
            <w:tcW w:w="3096" w:type="dxa"/>
          </w:tcPr>
          <w:p w14:paraId="2E127EF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Approval and Publication, pp. 26-27</w:t>
            </w:r>
          </w:p>
        </w:tc>
        <w:tc>
          <w:tcPr>
            <w:tcW w:w="2376" w:type="dxa"/>
          </w:tcPr>
          <w:p w14:paraId="169DEBBA"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w:t>
            </w:r>
          </w:p>
        </w:tc>
        <w:tc>
          <w:tcPr>
            <w:tcW w:w="3816" w:type="dxa"/>
          </w:tcPr>
          <w:p w14:paraId="43690D2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indicates a second role with editing authority and creates a need for traceability and clear ownership.</w:t>
            </w:r>
          </w:p>
        </w:tc>
      </w:tr>
      <w:tr w:rsidR="00E3533D" w14:paraId="427D8BD3"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007330B8" w14:textId="77777777" w:rsidR="00E3533D" w:rsidRDefault="00000000">
            <w:r>
              <w:rPr>
                <w:sz w:val="15"/>
              </w:rPr>
              <w:t>Known</w:t>
            </w:r>
          </w:p>
        </w:tc>
        <w:tc>
          <w:tcPr>
            <w:tcW w:w="4968" w:type="dxa"/>
          </w:tcPr>
          <w:p w14:paraId="5E20BF3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After approval, results move to a manual publication queue and the Exam Office actively publishes them; publication is not automatic when the examiner finishes.</w:t>
            </w:r>
          </w:p>
        </w:tc>
        <w:tc>
          <w:tcPr>
            <w:tcW w:w="3096" w:type="dxa"/>
          </w:tcPr>
          <w:p w14:paraId="29554A1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Approval and Publication, p. 27</w:t>
            </w:r>
          </w:p>
        </w:tc>
        <w:tc>
          <w:tcPr>
            <w:tcW w:w="2376" w:type="dxa"/>
          </w:tcPr>
          <w:p w14:paraId="480781B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Student</w:t>
            </w:r>
          </w:p>
        </w:tc>
        <w:tc>
          <w:tcPr>
            <w:tcW w:w="3816" w:type="dxa"/>
          </w:tcPr>
          <w:p w14:paraId="6307EF8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shows that completed, approved and published are different states that should not be confused.</w:t>
            </w:r>
          </w:p>
        </w:tc>
      </w:tr>
      <w:tr w:rsidR="00E3533D" w14:paraId="2C319F6B"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6569FFCE" w14:textId="77777777" w:rsidR="00E3533D" w:rsidRDefault="00000000">
            <w:r>
              <w:rPr>
                <w:sz w:val="15"/>
              </w:rPr>
              <w:t>Known</w:t>
            </w:r>
          </w:p>
        </w:tc>
        <w:tc>
          <w:tcPr>
            <w:tcW w:w="4968" w:type="dxa"/>
          </w:tcPr>
          <w:p w14:paraId="2E878017"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In examinations with multiple examiners, each examiner assesses independently and cannot see the other examiner's grading while their own assessment is in progress.</w:t>
            </w:r>
          </w:p>
        </w:tc>
        <w:tc>
          <w:tcPr>
            <w:tcW w:w="3096" w:type="dxa"/>
          </w:tcPr>
          <w:p w14:paraId="1F49CEA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Multiple Examiners, p. 27</w:t>
            </w:r>
          </w:p>
        </w:tc>
        <w:tc>
          <w:tcPr>
            <w:tcW w:w="2376" w:type="dxa"/>
          </w:tcPr>
          <w:p w14:paraId="6D8A479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Examiners / Qybele permissions</w:t>
            </w:r>
          </w:p>
        </w:tc>
        <w:tc>
          <w:tcPr>
            <w:tcW w:w="3816" w:type="dxa"/>
          </w:tcPr>
          <w:p w14:paraId="6CE8708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system must support independent assessment while controlling visibility.</w:t>
            </w:r>
          </w:p>
        </w:tc>
      </w:tr>
      <w:tr w:rsidR="00E3533D" w14:paraId="31EFD7FF"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06BDA484" w14:textId="77777777" w:rsidR="00E3533D" w:rsidRDefault="00000000">
            <w:r>
              <w:rPr>
                <w:sz w:val="15"/>
              </w:rPr>
              <w:t>Known</w:t>
            </w:r>
          </w:p>
        </w:tc>
        <w:tc>
          <w:tcPr>
            <w:tcW w:w="4968" w:type="dxa"/>
          </w:tcPr>
          <w:p w14:paraId="345D0AD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If multiple examiners give different grades, the assessment cannot be sent for approval until the difference is resolved and the agreed result is changed manually.</w:t>
            </w:r>
          </w:p>
        </w:tc>
        <w:tc>
          <w:tcPr>
            <w:tcW w:w="3096" w:type="dxa"/>
          </w:tcPr>
          <w:p w14:paraId="7076688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Multiple Examiners, p. 27</w:t>
            </w:r>
          </w:p>
        </w:tc>
        <w:tc>
          <w:tcPr>
            <w:tcW w:w="2376" w:type="dxa"/>
          </w:tcPr>
          <w:p w14:paraId="0994A4EA"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Examiners / Exam Office</w:t>
            </w:r>
          </w:p>
        </w:tc>
        <w:tc>
          <w:tcPr>
            <w:tcW w:w="3816" w:type="dxa"/>
          </w:tcPr>
          <w:p w14:paraId="26875C6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is a blocked state with coordination and ownership implications.</w:t>
            </w:r>
          </w:p>
        </w:tc>
      </w:tr>
      <w:tr w:rsidR="00E3533D" w14:paraId="2087D395"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593E148C" w14:textId="77777777" w:rsidR="00E3533D" w:rsidRDefault="00000000">
            <w:r>
              <w:rPr>
                <w:sz w:val="15"/>
              </w:rPr>
              <w:t>Known</w:t>
            </w:r>
          </w:p>
        </w:tc>
        <w:tc>
          <w:tcPr>
            <w:tcW w:w="4968" w:type="dxa"/>
          </w:tcPr>
          <w:p w14:paraId="3DA7209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Qybele does not currently record a separate agreement or reconciliation step for multiple-examiner disagreement.</w:t>
            </w:r>
          </w:p>
        </w:tc>
        <w:tc>
          <w:tcPr>
            <w:tcW w:w="3096" w:type="dxa"/>
          </w:tcPr>
          <w:p w14:paraId="4F992F1F"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Multiple Examiners, p. 27</w:t>
            </w:r>
          </w:p>
        </w:tc>
        <w:tc>
          <w:tcPr>
            <w:tcW w:w="2376" w:type="dxa"/>
          </w:tcPr>
          <w:p w14:paraId="42B186F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Examiners / Qybele system</w:t>
            </w:r>
          </w:p>
        </w:tc>
        <w:tc>
          <w:tcPr>
            <w:tcW w:w="3816" w:type="dxa"/>
          </w:tcPr>
          <w:p w14:paraId="2F92746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absence of a recorded reconciliation step may affect traceability and workflow clarity.</w:t>
            </w:r>
          </w:p>
        </w:tc>
      </w:tr>
      <w:tr w:rsidR="00E3533D" w14:paraId="75F5D6F9"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15CCB7E6" w14:textId="77777777" w:rsidR="00E3533D" w:rsidRDefault="00000000">
            <w:r>
              <w:rPr>
                <w:sz w:val="15"/>
              </w:rPr>
              <w:t>Known</w:t>
            </w:r>
          </w:p>
        </w:tc>
        <w:tc>
          <w:tcPr>
            <w:tcW w:w="4968" w:type="dxa"/>
          </w:tcPr>
          <w:p w14:paraId="69B7B1F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Grade appeal reassessment is performed by a new external examiner who must be impartial and must not see the original assessment.</w:t>
            </w:r>
          </w:p>
        </w:tc>
        <w:tc>
          <w:tcPr>
            <w:tcW w:w="3096" w:type="dxa"/>
          </w:tcPr>
          <w:p w14:paraId="47325E0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Grade Appeal and Reassessment, pp. 28-29</w:t>
            </w:r>
          </w:p>
        </w:tc>
        <w:tc>
          <w:tcPr>
            <w:tcW w:w="2376" w:type="dxa"/>
          </w:tcPr>
          <w:p w14:paraId="724D95C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external examiner</w:t>
            </w:r>
          </w:p>
        </w:tc>
        <w:tc>
          <w:tcPr>
            <w:tcW w:w="3816" w:type="dxa"/>
          </w:tcPr>
          <w:p w14:paraId="25778A0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creates strong role, visibility and information-isolation requirements.</w:t>
            </w:r>
          </w:p>
        </w:tc>
      </w:tr>
      <w:tr w:rsidR="00E3533D" w14:paraId="3CD70331"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7344F867" w14:textId="77777777" w:rsidR="00E3533D" w:rsidRDefault="00000000">
            <w:r>
              <w:rPr>
                <w:sz w:val="15"/>
              </w:rPr>
              <w:t>Known</w:t>
            </w:r>
          </w:p>
        </w:tc>
        <w:tc>
          <w:tcPr>
            <w:tcW w:w="4968" w:type="dxa"/>
          </w:tcPr>
          <w:p w14:paraId="37FA81A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Suspected academic misconduct can extend beyond Qybele into email, online meetings, human judgement and formal organisational procedures, while the student's grade is withheld during investigation.</w:t>
            </w:r>
          </w:p>
        </w:tc>
        <w:tc>
          <w:tcPr>
            <w:tcW w:w="3096" w:type="dxa"/>
          </w:tcPr>
          <w:p w14:paraId="204BBAD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Suspected Academic Misconduct, pp. 29-30</w:t>
            </w:r>
          </w:p>
        </w:tc>
        <w:tc>
          <w:tcPr>
            <w:tcW w:w="2376" w:type="dxa"/>
          </w:tcPr>
          <w:p w14:paraId="144C345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Misconduct Coordinator / Examiner / Student</w:t>
            </w:r>
          </w:p>
        </w:tc>
        <w:tc>
          <w:tcPr>
            <w:tcW w:w="3816" w:type="dxa"/>
          </w:tcPr>
          <w:p w14:paraId="4A80736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demonstrates that the enterprise workflow crosses systems and includes sensitive status handling.</w:t>
            </w:r>
          </w:p>
        </w:tc>
      </w:tr>
      <w:tr w:rsidR="00E3533D" w14:paraId="3458D409"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1FA2360F" w14:textId="77777777" w:rsidR="00E3533D" w:rsidRDefault="00000000">
            <w:r>
              <w:rPr>
                <w:sz w:val="15"/>
              </w:rPr>
              <w:t>Known</w:t>
            </w:r>
          </w:p>
        </w:tc>
        <w:tc>
          <w:tcPr>
            <w:tcW w:w="4968" w:type="dxa"/>
          </w:tcPr>
          <w:p w14:paraId="2D00AD5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 xml:space="preserve">The case states that examination information is sensitive, traceability matters, candidate anonymity is </w:t>
            </w:r>
            <w:r>
              <w:rPr>
                <w:sz w:val="15"/>
              </w:rPr>
              <w:lastRenderedPageBreak/>
              <w:t>important, and some organisational rules cannot simply be removed.</w:t>
            </w:r>
          </w:p>
        </w:tc>
        <w:tc>
          <w:tcPr>
            <w:tcW w:w="3096" w:type="dxa"/>
          </w:tcPr>
          <w:p w14:paraId="0E0614C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lastRenderedPageBreak/>
              <w:t>Case Study, Important Case Constraints, p. 30</w:t>
            </w:r>
          </w:p>
        </w:tc>
        <w:tc>
          <w:tcPr>
            <w:tcW w:w="2376" w:type="dxa"/>
          </w:tcPr>
          <w:p w14:paraId="1A57148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Organisation / Qybele governance</w:t>
            </w:r>
          </w:p>
        </w:tc>
        <w:tc>
          <w:tcPr>
            <w:tcW w:w="3816" w:type="dxa"/>
          </w:tcPr>
          <w:p w14:paraId="19BAF51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These are design constraints that must be treated as parameters rather than automatically as UX problems.</w:t>
            </w:r>
          </w:p>
        </w:tc>
      </w:tr>
      <w:tr w:rsidR="00E3533D" w14:paraId="5C2C785F"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4ECB39F5" w14:textId="77777777" w:rsidR="00E3533D" w:rsidRDefault="00000000">
            <w:r>
              <w:rPr>
                <w:sz w:val="15"/>
              </w:rPr>
              <w:t>Assumption</w:t>
            </w:r>
          </w:p>
        </w:tc>
        <w:tc>
          <w:tcPr>
            <w:tcW w:w="4968" w:type="dxa"/>
          </w:tcPr>
          <w:p w14:paraId="657B39E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Examiners may need stronger confirmation when they change Work Status to Completed because the change restricts direct grade editing.</w:t>
            </w:r>
          </w:p>
        </w:tc>
        <w:tc>
          <w:tcPr>
            <w:tcW w:w="3096" w:type="dxa"/>
          </w:tcPr>
          <w:p w14:paraId="436A35B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describes the consequence of Completed status but does not fully describe the confirmation feedback shown at that moment.</w:t>
            </w:r>
          </w:p>
        </w:tc>
        <w:tc>
          <w:tcPr>
            <w:tcW w:w="2376" w:type="dxa"/>
          </w:tcPr>
          <w:p w14:paraId="5C9B16DA"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Qybele product team</w:t>
            </w:r>
          </w:p>
        </w:tc>
        <w:tc>
          <w:tcPr>
            <w:tcW w:w="3816" w:type="dxa"/>
          </w:tcPr>
          <w:p w14:paraId="44C8889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If this assumption is correct, clearer feedback could reduce accidental completion. If incorrect, redesign effort could target the wrong issue.</w:t>
            </w:r>
          </w:p>
        </w:tc>
      </w:tr>
      <w:tr w:rsidR="00E3533D" w14:paraId="06DAB075"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3112AFDA" w14:textId="77777777" w:rsidR="00E3533D" w:rsidRDefault="00000000">
            <w:r>
              <w:rPr>
                <w:sz w:val="15"/>
              </w:rPr>
              <w:t>Assumption</w:t>
            </w:r>
          </w:p>
        </w:tc>
        <w:tc>
          <w:tcPr>
            <w:tcW w:w="4968" w:type="dxa"/>
          </w:tcPr>
          <w:p w14:paraId="34F101C8"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Exam Office may need a clear way to distinguish assessments that are completed by the examiner but not yet approved from those already approved or published.</w:t>
            </w:r>
          </w:p>
        </w:tc>
        <w:tc>
          <w:tcPr>
            <w:tcW w:w="3096" w:type="dxa"/>
          </w:tcPr>
          <w:p w14:paraId="1CDE295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describes separate completion, approval and publication stages.</w:t>
            </w:r>
          </w:p>
        </w:tc>
        <w:tc>
          <w:tcPr>
            <w:tcW w:w="2376" w:type="dxa"/>
          </w:tcPr>
          <w:p w14:paraId="11E5376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w:t>
            </w:r>
          </w:p>
        </w:tc>
        <w:tc>
          <w:tcPr>
            <w:tcW w:w="3816" w:type="dxa"/>
          </w:tcPr>
          <w:p w14:paraId="218BAF8E"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If the system already makes these states very clear, this would not be a priority; if not, status ambiguity could affect operational work.</w:t>
            </w:r>
          </w:p>
        </w:tc>
      </w:tr>
      <w:tr w:rsidR="00E3533D" w14:paraId="27222E72"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0EB03221" w14:textId="77777777" w:rsidR="00E3533D" w:rsidRDefault="00000000">
            <w:r>
              <w:rPr>
                <w:sz w:val="15"/>
              </w:rPr>
              <w:t>Assumption</w:t>
            </w:r>
          </w:p>
        </w:tc>
        <w:tc>
          <w:tcPr>
            <w:tcW w:w="4968" w:type="dxa"/>
          </w:tcPr>
          <w:p w14:paraId="187FC34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Multiple-examiner disagreement may require coordination outside Qybele because the system does not record a separate reconciliation step.</w:t>
            </w:r>
          </w:p>
        </w:tc>
        <w:tc>
          <w:tcPr>
            <w:tcW w:w="3096" w:type="dxa"/>
          </w:tcPr>
          <w:p w14:paraId="78724EF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states disagreement must be resolved and agreed grades changed manually, but does not describe the communication channel.</w:t>
            </w:r>
          </w:p>
        </w:tc>
        <w:tc>
          <w:tcPr>
            <w:tcW w:w="2376" w:type="dxa"/>
          </w:tcPr>
          <w:p w14:paraId="544CE02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Examiners / Exam Office</w:t>
            </w:r>
          </w:p>
        </w:tc>
        <w:tc>
          <w:tcPr>
            <w:tcW w:w="3816" w:type="dxa"/>
          </w:tcPr>
          <w:p w14:paraId="243F300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could create hidden work, delays or weak traceability if coordination happens elsewhere.</w:t>
            </w:r>
          </w:p>
        </w:tc>
      </w:tr>
      <w:tr w:rsidR="00E3533D" w14:paraId="1B13057E"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655CA434" w14:textId="77777777" w:rsidR="00E3533D" w:rsidRDefault="00000000">
            <w:r>
              <w:rPr>
                <w:sz w:val="15"/>
              </w:rPr>
              <w:t>Assumption</w:t>
            </w:r>
          </w:p>
        </w:tc>
        <w:tc>
          <w:tcPr>
            <w:tcW w:w="4968" w:type="dxa"/>
          </w:tcPr>
          <w:p w14:paraId="2E14421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different comment and justification fields may be confusing to examiners because they have different audiences and purposes.</w:t>
            </w:r>
          </w:p>
        </w:tc>
        <w:tc>
          <w:tcPr>
            <w:tcW w:w="3096" w:type="dxa"/>
          </w:tcPr>
          <w:p w14:paraId="5A387F7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documents several comment/justification fields and notes incomplete information about one appeal-related field.</w:t>
            </w:r>
          </w:p>
        </w:tc>
        <w:tc>
          <w:tcPr>
            <w:tcW w:w="2376" w:type="dxa"/>
          </w:tcPr>
          <w:p w14:paraId="447DDB08"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students / Exam Office</w:t>
            </w:r>
          </w:p>
        </w:tc>
        <w:tc>
          <w:tcPr>
            <w:tcW w:w="3816" w:type="dxa"/>
          </w:tcPr>
          <w:p w14:paraId="2B48989A"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If field purpose is unclear, information may be entered in the wrong place or exposed to the wrong audience.</w:t>
            </w:r>
          </w:p>
        </w:tc>
      </w:tr>
      <w:tr w:rsidR="00E3533D" w14:paraId="74E2864D"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43C6796E" w14:textId="77777777" w:rsidR="00E3533D" w:rsidRDefault="00000000">
            <w:r>
              <w:rPr>
                <w:sz w:val="15"/>
              </w:rPr>
              <w:t>Assumption</w:t>
            </w:r>
          </w:p>
        </w:tc>
        <w:tc>
          <w:tcPr>
            <w:tcW w:w="4968" w:type="dxa"/>
          </w:tcPr>
          <w:p w14:paraId="302D55D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External examiners used for appeals may require additional onboarding or support because account and agreement setup can be necessary before reassessment begins.</w:t>
            </w:r>
          </w:p>
        </w:tc>
        <w:tc>
          <w:tcPr>
            <w:tcW w:w="3096" w:type="dxa"/>
          </w:tcPr>
          <w:p w14:paraId="5641F92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says an external examiner may need an agreement and Qybele account before assignment.</w:t>
            </w:r>
          </w:p>
        </w:tc>
        <w:tc>
          <w:tcPr>
            <w:tcW w:w="2376" w:type="dxa"/>
          </w:tcPr>
          <w:p w14:paraId="3BFF6EC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external examiner</w:t>
            </w:r>
          </w:p>
        </w:tc>
        <w:tc>
          <w:tcPr>
            <w:tcW w:w="3816" w:type="dxa"/>
          </w:tcPr>
          <w:p w14:paraId="5148E76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Setup friction could delay appeals and should be understood before redesigning the appeal workflow.</w:t>
            </w:r>
          </w:p>
        </w:tc>
      </w:tr>
      <w:tr w:rsidR="00E3533D" w14:paraId="1B0C8331"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31472C0A" w14:textId="77777777" w:rsidR="00E3533D" w:rsidRDefault="00000000">
            <w:r>
              <w:rPr>
                <w:sz w:val="15"/>
              </w:rPr>
              <w:t>Assumption</w:t>
            </w:r>
          </w:p>
        </w:tc>
        <w:tc>
          <w:tcPr>
            <w:tcW w:w="4968" w:type="dxa"/>
          </w:tcPr>
          <w:p w14:paraId="12713D0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candidate overview may carry a high information load because it combines status, grading, files, comments, points and plagiarism information.</w:t>
            </w:r>
          </w:p>
        </w:tc>
        <w:tc>
          <w:tcPr>
            <w:tcW w:w="3096" w:type="dxa"/>
          </w:tcPr>
          <w:p w14:paraId="1D3FBEC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lists many possible information fields on the candidate overview.</w:t>
            </w:r>
          </w:p>
        </w:tc>
        <w:tc>
          <w:tcPr>
            <w:tcW w:w="2376" w:type="dxa"/>
          </w:tcPr>
          <w:p w14:paraId="3187258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w:t>
            </w:r>
          </w:p>
        </w:tc>
        <w:tc>
          <w:tcPr>
            <w:tcW w:w="3816" w:type="dxa"/>
          </w:tcPr>
          <w:p w14:paraId="28B74CD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If the screen is difficult to scan, it could affect efficiency and increase risk of overlooking important status information.</w:t>
            </w:r>
          </w:p>
        </w:tc>
      </w:tr>
      <w:tr w:rsidR="00E3533D" w14:paraId="54B5DC76"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4A11BE86" w14:textId="77777777" w:rsidR="00E3533D" w:rsidRDefault="00000000">
            <w:r>
              <w:rPr>
                <w:sz w:val="15"/>
              </w:rPr>
              <w:t>Assumption</w:t>
            </w:r>
          </w:p>
        </w:tc>
        <w:tc>
          <w:tcPr>
            <w:tcW w:w="4968" w:type="dxa"/>
          </w:tcPr>
          <w:p w14:paraId="25C6FEB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Because students may accidentally identify themselves in filenames or submitted content, candidate-number anonymity may sometimes be compromised despite system-level anonymisation.</w:t>
            </w:r>
          </w:p>
        </w:tc>
        <w:tc>
          <w:tcPr>
            <w:tcW w:w="3096" w:type="dxa"/>
          </w:tcPr>
          <w:p w14:paraId="5E26526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Case Study explicitly notes these examples but does not quantify how often they occur.</w:t>
            </w:r>
          </w:p>
        </w:tc>
        <w:tc>
          <w:tcPr>
            <w:tcW w:w="2376" w:type="dxa"/>
          </w:tcPr>
          <w:p w14:paraId="7F33FB6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Examiner</w:t>
            </w:r>
          </w:p>
        </w:tc>
        <w:tc>
          <w:tcPr>
            <w:tcW w:w="3816" w:type="dxa"/>
          </w:tcPr>
          <w:p w14:paraId="084185C7"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frequency and handling of these cases could influence whether additional preventive UX measures are needed.</w:t>
            </w:r>
          </w:p>
        </w:tc>
      </w:tr>
      <w:tr w:rsidR="00E3533D" w14:paraId="4A971D39"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5FD78B68" w14:textId="77777777" w:rsidR="00E3533D" w:rsidRDefault="00000000">
            <w:r>
              <w:rPr>
                <w:sz w:val="15"/>
              </w:rPr>
              <w:t>Question</w:t>
            </w:r>
          </w:p>
        </w:tc>
        <w:tc>
          <w:tcPr>
            <w:tcW w:w="4968" w:type="dxa"/>
          </w:tcPr>
          <w:p w14:paraId="6B0C0E3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What exact checks does the Exam Office perform before approving an examiner's completed assessment?</w:t>
            </w:r>
          </w:p>
        </w:tc>
        <w:tc>
          <w:tcPr>
            <w:tcW w:w="3096" w:type="dxa"/>
          </w:tcPr>
          <w:p w14:paraId="488B24D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states that the Exam Office reviews and can edit assessment information before approval, but the review criteria are not described.</w:t>
            </w:r>
          </w:p>
        </w:tc>
        <w:tc>
          <w:tcPr>
            <w:tcW w:w="2376" w:type="dxa"/>
          </w:tcPr>
          <w:p w14:paraId="1D11D89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w:t>
            </w:r>
          </w:p>
        </w:tc>
        <w:tc>
          <w:tcPr>
            <w:tcW w:w="3816" w:type="dxa"/>
          </w:tcPr>
          <w:p w14:paraId="50AE524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answer would clarify administrative tasks, information needs, and potential UX risks in the approval workflow.</w:t>
            </w:r>
          </w:p>
        </w:tc>
      </w:tr>
      <w:tr w:rsidR="00E3533D" w14:paraId="0E15CFA6"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2248ECB9" w14:textId="77777777" w:rsidR="00E3533D" w:rsidRDefault="00000000">
            <w:r>
              <w:rPr>
                <w:sz w:val="15"/>
              </w:rPr>
              <w:t>Question</w:t>
            </w:r>
          </w:p>
        </w:tc>
        <w:tc>
          <w:tcPr>
            <w:tcW w:w="4968" w:type="dxa"/>
          </w:tcPr>
          <w:p w14:paraId="62AE46F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What happens in Qybele if one examiner completes their assessment but another examiner does not complete theirs?</w:t>
            </w:r>
          </w:p>
        </w:tc>
        <w:tc>
          <w:tcPr>
            <w:tcW w:w="3096" w:type="dxa"/>
          </w:tcPr>
          <w:p w14:paraId="52E4DEFF"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multiple-examiner section describes independent grading and disagreement, but not prolonged non-completion by one examiner.</w:t>
            </w:r>
          </w:p>
        </w:tc>
        <w:tc>
          <w:tcPr>
            <w:tcW w:w="2376" w:type="dxa"/>
          </w:tcPr>
          <w:p w14:paraId="314BCD1B"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Qybele product owner</w:t>
            </w:r>
          </w:p>
        </w:tc>
        <w:tc>
          <w:tcPr>
            <w:tcW w:w="3816" w:type="dxa"/>
          </w:tcPr>
          <w:p w14:paraId="440850F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would reveal timeout, reminder, escalation or ownership needs for a blocked assessment.</w:t>
            </w:r>
          </w:p>
        </w:tc>
      </w:tr>
      <w:tr w:rsidR="00E3533D" w14:paraId="47ECDE4C"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75CBB937" w14:textId="77777777" w:rsidR="00E3533D" w:rsidRDefault="00000000">
            <w:r>
              <w:rPr>
                <w:sz w:val="15"/>
              </w:rPr>
              <w:t>Question</w:t>
            </w:r>
          </w:p>
        </w:tc>
        <w:tc>
          <w:tcPr>
            <w:tcW w:w="4968" w:type="dxa"/>
          </w:tcPr>
          <w:p w14:paraId="238D6FB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After both examiners complete grading, can they see each other's comments and justifications, or only the grading result?</w:t>
            </w:r>
          </w:p>
        </w:tc>
        <w:tc>
          <w:tcPr>
            <w:tcW w:w="3096" w:type="dxa"/>
          </w:tcPr>
          <w:p w14:paraId="040469C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says examiners can see each other's results after completion, but does not define all visible fields.</w:t>
            </w:r>
          </w:p>
        </w:tc>
        <w:tc>
          <w:tcPr>
            <w:tcW w:w="2376" w:type="dxa"/>
          </w:tcPr>
          <w:p w14:paraId="385A88A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Qybele product team / Exam Office</w:t>
            </w:r>
          </w:p>
        </w:tc>
        <w:tc>
          <w:tcPr>
            <w:tcW w:w="3816" w:type="dxa"/>
          </w:tcPr>
          <w:p w14:paraId="043A341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answer affects privacy, collaboration, permissions and the design of reconciliation states.</w:t>
            </w:r>
          </w:p>
        </w:tc>
      </w:tr>
      <w:tr w:rsidR="00E3533D" w14:paraId="4B86F44E"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6518ED30" w14:textId="77777777" w:rsidR="00E3533D" w:rsidRDefault="00000000">
            <w:r>
              <w:rPr>
                <w:sz w:val="15"/>
              </w:rPr>
              <w:t>Question</w:t>
            </w:r>
          </w:p>
        </w:tc>
        <w:tc>
          <w:tcPr>
            <w:tcW w:w="4968" w:type="dxa"/>
          </w:tcPr>
          <w:p w14:paraId="085033A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How are examiners notified when an assessment is approved, rejected, returned for correction or published?</w:t>
            </w:r>
          </w:p>
        </w:tc>
        <w:tc>
          <w:tcPr>
            <w:tcW w:w="3096" w:type="dxa"/>
          </w:tcPr>
          <w:p w14:paraId="07D9CEF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describes the handover and publication process but not the notification mechanism.</w:t>
            </w:r>
          </w:p>
        </w:tc>
        <w:tc>
          <w:tcPr>
            <w:tcW w:w="2376" w:type="dxa"/>
          </w:tcPr>
          <w:p w14:paraId="49E53F3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 / Exam Office</w:t>
            </w:r>
          </w:p>
        </w:tc>
        <w:tc>
          <w:tcPr>
            <w:tcW w:w="3816" w:type="dxa"/>
          </w:tcPr>
          <w:p w14:paraId="7AB6A28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would show whether users must manually check status and whether clearer notifications or status feedback are needed.</w:t>
            </w:r>
          </w:p>
        </w:tc>
      </w:tr>
      <w:tr w:rsidR="00E3533D" w14:paraId="0737D74C"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1357428F" w14:textId="77777777" w:rsidR="00E3533D" w:rsidRDefault="00000000">
            <w:r>
              <w:rPr>
                <w:sz w:val="15"/>
              </w:rPr>
              <w:t>Question</w:t>
            </w:r>
          </w:p>
        </w:tc>
        <w:tc>
          <w:tcPr>
            <w:tcW w:w="4968" w:type="dxa"/>
          </w:tcPr>
          <w:p w14:paraId="15A122D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Who is allowed to change an assessment from Completed back to In Progress, and is that action recorded in an audit trail?</w:t>
            </w:r>
          </w:p>
        </w:tc>
        <w:tc>
          <w:tcPr>
            <w:tcW w:w="3096" w:type="dxa"/>
          </w:tcPr>
          <w:p w14:paraId="61C28977"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says the assessment can be returned to In Progress, but it does not fully describe role permissions or logging for this action.</w:t>
            </w:r>
          </w:p>
        </w:tc>
        <w:tc>
          <w:tcPr>
            <w:tcW w:w="2376" w:type="dxa"/>
          </w:tcPr>
          <w:p w14:paraId="7F2081A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Qybele product team</w:t>
            </w:r>
          </w:p>
        </w:tc>
        <w:tc>
          <w:tcPr>
            <w:tcW w:w="3816" w:type="dxa"/>
          </w:tcPr>
          <w:p w14:paraId="1D19F0CE"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answer affects permissions, accountability, recovery from mistakes and traceability.</w:t>
            </w:r>
          </w:p>
        </w:tc>
      </w:tr>
      <w:tr w:rsidR="00E3533D" w14:paraId="00682D4F"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044B2487" w14:textId="77777777" w:rsidR="00E3533D" w:rsidRDefault="00000000">
            <w:r>
              <w:rPr>
                <w:sz w:val="15"/>
              </w:rPr>
              <w:t>Question</w:t>
            </w:r>
          </w:p>
        </w:tc>
        <w:tc>
          <w:tcPr>
            <w:tcW w:w="4968" w:type="dxa"/>
          </w:tcPr>
          <w:p w14:paraId="51C4FF1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What is the exact purpose and visibility of Kommentar ved klage på karakteren (Comment related to grade appeal)?</w:t>
            </w:r>
          </w:p>
        </w:tc>
        <w:tc>
          <w:tcPr>
            <w:tcW w:w="3096" w:type="dxa"/>
          </w:tcPr>
          <w:p w14:paraId="0D7A3FF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explicitly states that its exact purpose, visibility and relationship to other justification fields are not fully described.</w:t>
            </w:r>
          </w:p>
        </w:tc>
        <w:tc>
          <w:tcPr>
            <w:tcW w:w="2376" w:type="dxa"/>
          </w:tcPr>
          <w:p w14:paraId="25F3B155"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Qybele product team</w:t>
            </w:r>
          </w:p>
        </w:tc>
        <w:tc>
          <w:tcPr>
            <w:tcW w:w="3816" w:type="dxa"/>
          </w:tcPr>
          <w:p w14:paraId="10E6C6E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is necessary to avoid designing around an unsupported assumption and to understand privacy and communication requirements.</w:t>
            </w:r>
          </w:p>
        </w:tc>
      </w:tr>
      <w:tr w:rsidR="00E3533D" w14:paraId="67D29AE8"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379EF070" w14:textId="77777777" w:rsidR="00E3533D" w:rsidRDefault="00000000">
            <w:r>
              <w:rPr>
                <w:sz w:val="15"/>
              </w:rPr>
              <w:t>Question</w:t>
            </w:r>
          </w:p>
        </w:tc>
        <w:tc>
          <w:tcPr>
            <w:tcW w:w="4968" w:type="dxa"/>
          </w:tcPr>
          <w:p w14:paraId="677AD021"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How are disagreements between multiple examiners actually coordinated and documented before the agreed grade is entered?</w:t>
            </w:r>
          </w:p>
        </w:tc>
        <w:tc>
          <w:tcPr>
            <w:tcW w:w="3096" w:type="dxa"/>
          </w:tcPr>
          <w:p w14:paraId="6D8F693D"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says disagreement is resolved manually and no separate reconciliation step is recorded.</w:t>
            </w:r>
          </w:p>
        </w:tc>
        <w:tc>
          <w:tcPr>
            <w:tcW w:w="2376" w:type="dxa"/>
          </w:tcPr>
          <w:p w14:paraId="31C52E8A"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Examiners / Exam Office</w:t>
            </w:r>
          </w:p>
        </w:tc>
        <w:tc>
          <w:tcPr>
            <w:tcW w:w="3816" w:type="dxa"/>
          </w:tcPr>
          <w:p w14:paraId="749734D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answer would expose off-system work, handovers and traceability gaps that may be important UX opportunities.</w:t>
            </w:r>
          </w:p>
        </w:tc>
      </w:tr>
      <w:tr w:rsidR="00E3533D" w14:paraId="1CC61B1B"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158D93B8" w14:textId="77777777" w:rsidR="00E3533D" w:rsidRDefault="00000000">
            <w:r>
              <w:rPr>
                <w:sz w:val="15"/>
              </w:rPr>
              <w:t>Question</w:t>
            </w:r>
          </w:p>
        </w:tc>
        <w:tc>
          <w:tcPr>
            <w:tcW w:w="4968" w:type="dxa"/>
          </w:tcPr>
          <w:p w14:paraId="7368C0B9"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How frequently do anonymity problems occur because students include names in filenames or submitted material, and what is the expected examiner response when this happens?</w:t>
            </w:r>
          </w:p>
        </w:tc>
        <w:tc>
          <w:tcPr>
            <w:tcW w:w="3096" w:type="dxa"/>
          </w:tcPr>
          <w:p w14:paraId="14B672F8"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gives examples of anonymity limitations but no frequency or handling procedure.</w:t>
            </w:r>
          </w:p>
        </w:tc>
        <w:tc>
          <w:tcPr>
            <w:tcW w:w="2376" w:type="dxa"/>
          </w:tcPr>
          <w:p w14:paraId="36654E04"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 Examiner</w:t>
            </w:r>
          </w:p>
        </w:tc>
        <w:tc>
          <w:tcPr>
            <w:tcW w:w="3816" w:type="dxa"/>
          </w:tcPr>
          <w:p w14:paraId="676EB29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answer would help determine whether preventive design, guidance or exception handling is needed.</w:t>
            </w:r>
          </w:p>
        </w:tc>
      </w:tr>
      <w:tr w:rsidR="00E3533D" w14:paraId="48A9E3F3"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770AA2E3" w14:textId="77777777" w:rsidR="00E3533D" w:rsidRDefault="00000000">
            <w:r>
              <w:rPr>
                <w:sz w:val="15"/>
              </w:rPr>
              <w:t>Question</w:t>
            </w:r>
          </w:p>
        </w:tc>
        <w:tc>
          <w:tcPr>
            <w:tcW w:w="4968" w:type="dxa"/>
          </w:tcPr>
          <w:p w14:paraId="6E17D4A0"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What information and controls does an external appeal examiner see compared with an original examiner?</w:t>
            </w:r>
          </w:p>
        </w:tc>
        <w:tc>
          <w:tcPr>
            <w:tcW w:w="3096" w:type="dxa"/>
          </w:tcPr>
          <w:p w14:paraId="2344E93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 xml:space="preserve">The case requires independent reassessment without access to the </w:t>
            </w:r>
            <w:r>
              <w:rPr>
                <w:sz w:val="15"/>
              </w:rPr>
              <w:lastRenderedPageBreak/>
              <w:t>original assessment but does not fully describe the appeal examiner interface.</w:t>
            </w:r>
          </w:p>
        </w:tc>
        <w:tc>
          <w:tcPr>
            <w:tcW w:w="2376" w:type="dxa"/>
          </w:tcPr>
          <w:p w14:paraId="25B312B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lastRenderedPageBreak/>
              <w:t>External examiner / Exam Office / Qybele product team</w:t>
            </w:r>
          </w:p>
        </w:tc>
        <w:tc>
          <w:tcPr>
            <w:tcW w:w="3816" w:type="dxa"/>
          </w:tcPr>
          <w:p w14:paraId="61E27B87"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This is important for validating permissions, impartiality and the appeal workflow design.</w:t>
            </w:r>
          </w:p>
        </w:tc>
      </w:tr>
      <w:tr w:rsidR="00E3533D" w14:paraId="56ACEB5E" w14:textId="77777777" w:rsidTr="00551CDA">
        <w:tc>
          <w:tcPr>
            <w:cnfStyle w:val="001000000000" w:firstRow="0" w:lastRow="0" w:firstColumn="1" w:lastColumn="0" w:oddVBand="0" w:evenVBand="0" w:oddHBand="0" w:evenHBand="0" w:firstRowFirstColumn="0" w:firstRowLastColumn="0" w:lastRowFirstColumn="0" w:lastRowLastColumn="0"/>
            <w:tcW w:w="936" w:type="dxa"/>
          </w:tcPr>
          <w:p w14:paraId="389ACF6C" w14:textId="77777777" w:rsidR="00E3533D" w:rsidRDefault="00000000">
            <w:r>
              <w:rPr>
                <w:sz w:val="15"/>
              </w:rPr>
              <w:t>Question</w:t>
            </w:r>
          </w:p>
        </w:tc>
        <w:tc>
          <w:tcPr>
            <w:tcW w:w="4968" w:type="dxa"/>
          </w:tcPr>
          <w:p w14:paraId="26143C86"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How does the system indicate that a student's grade is withheld because of a suspected academic misconduct case, and which roles can see that status?</w:t>
            </w:r>
          </w:p>
        </w:tc>
        <w:tc>
          <w:tcPr>
            <w:tcW w:w="3096" w:type="dxa"/>
          </w:tcPr>
          <w:p w14:paraId="7162B5CC"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case states the grade is withheld during investigation, but does not describe the exact system state or visibility.</w:t>
            </w:r>
          </w:p>
        </w:tc>
        <w:tc>
          <w:tcPr>
            <w:tcW w:w="2376" w:type="dxa"/>
          </w:tcPr>
          <w:p w14:paraId="72E53A22"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Exam Office Misconduct Coordinator / Examiner / Student</w:t>
            </w:r>
          </w:p>
        </w:tc>
        <w:tc>
          <w:tcPr>
            <w:tcW w:w="3816" w:type="dxa"/>
          </w:tcPr>
          <w:p w14:paraId="5EF42143" w14:textId="77777777" w:rsidR="00E3533D" w:rsidRDefault="00000000">
            <w:pPr>
              <w:cnfStyle w:val="000000000000" w:firstRow="0" w:lastRow="0" w:firstColumn="0" w:lastColumn="0" w:oddVBand="0" w:evenVBand="0" w:oddHBand="0" w:evenHBand="0" w:firstRowFirstColumn="0" w:firstRowLastColumn="0" w:lastRowFirstColumn="0" w:lastRowLastColumn="0"/>
            </w:pPr>
            <w:r>
              <w:rPr>
                <w:sz w:val="15"/>
              </w:rPr>
              <w:t>The answer would clarify sensitive status communication, privacy and appropriate next-step guidance.</w:t>
            </w:r>
          </w:p>
        </w:tc>
      </w:tr>
    </w:tbl>
    <w:p w14:paraId="42CE61CB" w14:textId="77777777" w:rsidR="00E3533D" w:rsidRDefault="00E3533D">
      <w:pPr>
        <w:sectPr w:rsidR="00E3533D">
          <w:footerReference w:type="default" r:id="rId9"/>
          <w:pgSz w:w="15840" w:h="12240" w:orient="landscape"/>
          <w:pgMar w:top="648" w:right="504" w:bottom="648" w:left="504" w:header="720" w:footer="720" w:gutter="0"/>
          <w:cols w:space="720"/>
          <w:docGrid w:linePitch="360"/>
        </w:sectPr>
      </w:pPr>
    </w:p>
    <w:p w14:paraId="028A9120" w14:textId="77777777" w:rsidR="00E3533D" w:rsidRDefault="00000000">
      <w:pPr>
        <w:pStyle w:val="Heading1"/>
      </w:pPr>
      <w:r>
        <w:lastRenderedPageBreak/>
        <w:t>3. Review Before Submission</w:t>
      </w:r>
    </w:p>
    <w:p w14:paraId="18EE2D14" w14:textId="77777777" w:rsidR="00E3533D" w:rsidRDefault="00000000">
      <w:pPr>
        <w:pStyle w:val="ListBullet"/>
      </w:pPr>
      <w:r>
        <w:t>Read each row and confirm that it matches the Qybele case material you reviewed.</w:t>
      </w:r>
    </w:p>
    <w:p w14:paraId="04441171" w14:textId="77777777" w:rsidR="00E3533D" w:rsidRDefault="00000000">
      <w:pPr>
        <w:pStyle w:val="ListBullet"/>
      </w:pPr>
      <w:r>
        <w:t>Change wording where necessary so the log reflects your own understanding and investigation.</w:t>
      </w:r>
    </w:p>
    <w:p w14:paraId="425DD6DF" w14:textId="77777777" w:rsidR="00E3533D" w:rsidRDefault="00000000">
      <w:pPr>
        <w:pStyle w:val="ListBullet"/>
      </w:pPr>
      <w:r>
        <w:t>Add screenshot IDs or screen-recording references where you personally used them as evidence.</w:t>
      </w:r>
    </w:p>
    <w:p w14:paraId="2508F30B" w14:textId="77777777" w:rsidR="00E3533D" w:rsidRDefault="00000000">
      <w:pPr>
        <w:pStyle w:val="ListBullet"/>
      </w:pPr>
      <w:r>
        <w:t>Remove questions that can already be answered from the material available to you.</w:t>
      </w:r>
    </w:p>
    <w:p w14:paraId="6360B227" w14:textId="77777777" w:rsidR="00E3533D" w:rsidRDefault="00000000">
      <w:pPr>
        <w:pStyle w:val="ListBullet"/>
      </w:pPr>
      <w:r>
        <w:t>Keep unanswered questions visible as uncertainties rather than replacing them with guesses.</w:t>
      </w:r>
    </w:p>
    <w:p w14:paraId="0F9F751C" w14:textId="77777777" w:rsidR="00E3533D" w:rsidRDefault="00000000">
      <w:pPr>
        <w:pStyle w:val="ListBullet"/>
      </w:pPr>
      <w:r>
        <w:t>Export the final Assumptions and Questions Log as PDF for submission.</w:t>
      </w:r>
    </w:p>
    <w:p w14:paraId="735C7F12" w14:textId="77777777" w:rsidR="00E3533D" w:rsidRDefault="00000000">
      <w:r>
        <w:rPr>
          <w:b/>
        </w:rPr>
        <w:t xml:space="preserve">AI-use reminder: </w:t>
      </w:r>
      <w:r>
        <w:t>The course allows AI to support brainstorming, language and organisation, but the submitted facts, assumptions and questions must reflect your own investigation. Review and verify this draft before using it in your submission.</w:t>
      </w:r>
    </w:p>
    <w:sectPr w:rsidR="00E3533D" w:rsidSect="00034616">
      <w:footerReference w:type="default" r:id="rId10"/>
      <w:pgSz w:w="11909" w:h="16834"/>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6B53" w14:textId="77777777" w:rsidR="00D63642" w:rsidRDefault="00D63642">
      <w:pPr>
        <w:spacing w:after="0" w:line="240" w:lineRule="auto"/>
      </w:pPr>
      <w:r>
        <w:separator/>
      </w:r>
    </w:p>
  </w:endnote>
  <w:endnote w:type="continuationSeparator" w:id="0">
    <w:p w14:paraId="39F1A0E5" w14:textId="77777777" w:rsidR="00D63642" w:rsidRDefault="00D63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4EEC" w14:textId="77777777" w:rsidR="00E3533D" w:rsidRDefault="00E3533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8347" w14:textId="77777777" w:rsidR="00E3533D" w:rsidRDefault="00E353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64DB" w14:textId="77777777" w:rsidR="00E3533D" w:rsidRDefault="00E3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5BFE7" w14:textId="77777777" w:rsidR="00D63642" w:rsidRDefault="00D63642">
      <w:pPr>
        <w:spacing w:after="0" w:line="240" w:lineRule="auto"/>
      </w:pPr>
      <w:r>
        <w:separator/>
      </w:r>
    </w:p>
  </w:footnote>
  <w:footnote w:type="continuationSeparator" w:id="0">
    <w:p w14:paraId="5EA4EFCF" w14:textId="77777777" w:rsidR="00D63642" w:rsidRDefault="00D63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577800">
    <w:abstractNumId w:val="8"/>
  </w:num>
  <w:num w:numId="2" w16cid:durableId="1262645045">
    <w:abstractNumId w:val="6"/>
  </w:num>
  <w:num w:numId="3" w16cid:durableId="1417898487">
    <w:abstractNumId w:val="5"/>
  </w:num>
  <w:num w:numId="4" w16cid:durableId="631986474">
    <w:abstractNumId w:val="4"/>
  </w:num>
  <w:num w:numId="5" w16cid:durableId="1205680065">
    <w:abstractNumId w:val="7"/>
  </w:num>
  <w:num w:numId="6" w16cid:durableId="349650950">
    <w:abstractNumId w:val="3"/>
  </w:num>
  <w:num w:numId="7" w16cid:durableId="1720280191">
    <w:abstractNumId w:val="2"/>
  </w:num>
  <w:num w:numId="8" w16cid:durableId="1055470290">
    <w:abstractNumId w:val="1"/>
  </w:num>
  <w:num w:numId="9" w16cid:durableId="150991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1CDA"/>
    <w:rsid w:val="00AA1D8D"/>
    <w:rsid w:val="00AA749B"/>
    <w:rsid w:val="00B47730"/>
    <w:rsid w:val="00C20FA7"/>
    <w:rsid w:val="00CB0664"/>
    <w:rsid w:val="00D63642"/>
    <w:rsid w:val="00E353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ABC9B"/>
  <w14:defaultImageDpi w14:val="300"/>
  <w15:docId w15:val="{CBF55B74-984F-436D-A59D-1B60A9FE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99"/>
    <w:rsid w:val="00551CD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2130</Words>
  <Characters>12145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Bilal</cp:lastModifiedBy>
  <cp:revision>3</cp:revision>
  <dcterms:created xsi:type="dcterms:W3CDTF">2026-10-05T21:07:00Z</dcterms:created>
  <dcterms:modified xsi:type="dcterms:W3CDTF">2026-10-05T21:10:00Z</dcterms:modified>
  <cp:category/>
</cp:coreProperties>
</file>