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Override ContentType="application/vnd.openxmlformats-officedocument.wordprocessingml.header+xml" PartName="/word/header6.xml"/>
  <Override ContentType="application/vnd.openxmlformats-officedocument.wordprocessingml.footer+xml" PartName="/word/footer6.xml"/>
  <Override ContentType="application/vnd.openxmlformats-officedocument.wordprocessingml.header+xml" PartName="/word/header7.xml"/>
  <Override ContentType="application/vnd.openxmlformats-officedocument.wordprocessingml.footer+xml" PartName="/word/footer7.xml"/>
  <Override ContentType="application/vnd.openxmlformats-officedocument.wordprocessingml.header+xml" PartName="/word/header8.xml"/>
  <Override ContentType="application/vnd.openxmlformats-officedocument.wordprocessingml.footer+xml" PartName="/word/footer8.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pPr>
        <w:jc w:val="center"/>
      </w:pPr>
      <w:r>
        <w:drawing>
          <wp:inline distT="0" distB="0" distL="0" distR="0">
            <wp:extent cx="4154091" cy="87153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3" cstate="none"/>
                    <a:srcRect/>
                    <a:stretch>
                      <a:fillRect/>
                    </a:stretch>
                  </pic:blipFill>
                  <pic:spPr bwMode="auto">
                    <a:xfrm>
                      <a:ext cx="4154091" cy="871538"/>
                      <a:off x="0" y="0"/>
                    </a:xfrm>
                    <a:prstGeom prst="rect">
                      <a:avLst/>
                    </a:prstGeom>
                  </pic:spPr>
                </pic:pic>
              </a:graphicData>
            </a:graphic>
          </wp:inline>
        </w:drawing>
      </w:r>
    </w:p>
    <w:p>
      <w:r>
        <w:t xml:space="preserve"/>
      </w:r>
    </w:p>
    <w:p>
      <w:r>
        <w:t xml:space="preserve"/>
      </w:r>
    </w:p>
    <w:p>
      <w:r>
        <w:t xml:space="preserve"/>
      </w:r>
    </w:p>
    <w:p>
      <w:r>
        <w:t xml:space="preserve"/>
      </w:r>
    </w:p>
    <w:p>
      <w:r>
        <w:t xml:space="preserve"/>
      </w:r>
    </w:p>
    <w:p>
      <w:r>
        <w:t xml:space="preserve"/>
      </w:r>
    </w:p>
    <w:p>
      <w:r>
        <w:t xml:space="preserve"/>
      </w:r>
    </w:p>
    <w:p>
      <w:pPr>
        <w:jc w:val="center"/>
      </w:pPr>
      <w:r>
        <w:rPr>
          <w:b w:val="true"/>
          <w:bCs w:val="true"/>
          <w:sz w:val="40"/>
          <w:szCs w:val="40"/>
          <w:rFonts w:ascii="Calibri" w:cs="Calibri" w:eastAsia="Calibri" w:hAnsi="Calibri"/>
        </w:rPr>
        <w:t xml:space="preserve">IBM Cloud for VMware Solutions Proposal</w:t>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pPr>
        <w:jc w:val="center"/>
      </w:pPr>
      <w:r>
        <w:drawing>
          <wp:inline distT="0" distB="0" distL="0" distR="0">
            <wp:extent cx="946547" cy="85010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4" cstate="none"/>
                    <a:srcRect/>
                    <a:stretch>
                      <a:fillRect/>
                    </a:stretch>
                  </pic:blipFill>
                  <pic:spPr bwMode="auto">
                    <a:xfrm>
                      <a:ext cx="946547" cy="850106"/>
                      <a:off x="0" y="0"/>
                    </a:xfrm>
                    <a:prstGeom prst="rect">
                      <a:avLst/>
                    </a:prstGeom>
                  </pic:spPr>
                </pic:pic>
              </a:graphicData>
            </a:graphic>
          </wp:inline>
        </w:drawing>
      </w:r>
    </w:p>
    <w:p>
      <w:r>
        <w:t xml:space="preserve"/>
      </w:r>
    </w:p>
    <w:p>
      <w:r>
        <w:t xml:space="preserve"/>
      </w:r>
    </w:p>
    <w:p>
      <w:r>
        <w:t xml:space="preserve"/>
      </w:r>
    </w:p>
    <w:p>
      <w:r>
        <w:t xml:space="preserve"/>
      </w:r>
    </w:p>
    <w:p>
      <w:r>
        <w:t xml:space="preserve"/>
      </w:r>
    </w:p>
    <w:p>
      <w:r>
        <w:t xml:space="preserve"/>
      </w:r>
    </w:p>
    <w:p>
      <w:r>
        <w:rPr>
          <w:b w:val="true"/>
          <w:bCs w:val="true"/>
          <w:sz w:val="22"/>
          <w:szCs w:val="22"/>
          <w:rFonts w:ascii="Calibri" w:cs="Calibri" w:eastAsia="Calibri" w:hAnsi="Calibri"/>
        </w:rPr>
        <w:t xml:space="preserve">Prepared for: Test Customer</w:t>
      </w:r>
    </w:p>
    <w:p>
      <w:r>
        <w:t xml:space="preserve"/>
      </w:r>
    </w:p>
    <w:p>
      <w:r>
        <w:t xml:space="preserve"/>
      </w:r>
    </w:p>
    <w:p>
      <w:r>
        <w:rPr>
          <w:b w:val="true"/>
          <w:bCs w:val="true"/>
          <w:sz w:val="22"/>
          <w:szCs w:val="22"/>
          <w:rFonts w:ascii="Calibri" w:cs="Calibri" w:eastAsia="Calibri" w:hAnsi="Calibri"/>
        </w:rPr>
        <w:t xml:space="preserve">Prepared by: jvenuto@us.ibm.com</w:t>
      </w:r>
    </w:p>
    <w:p>
      <w:r>
        <w:t xml:space="preserve"/>
      </w:r>
    </w:p>
    <w:p>
      <w:r>
        <w:t xml:space="preserve"/>
      </w:r>
    </w:p>
    <w:p>
      <w:r>
        <w:rPr>
          <w:b w:val="true"/>
          <w:bCs w:val="true"/>
          <w:sz w:val="22"/>
          <w:szCs w:val="22"/>
          <w:rFonts w:ascii="Calibri" w:cs="Calibri" w:eastAsia="Calibri" w:hAnsi="Calibri"/>
        </w:rPr>
        <w:t xml:space="preserve">Prepared on: 10-8-2025</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p>
      <w:pPr>
        <w:jc w:val="right"/>
      </w:pPr>
      <w:r>
        <w:drawing>
          <wp:inline distT="0" distB="0" distL="0" distR="0">
            <wp:extent cx="660797" cy="2464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5" cstate="none"/>
                    <a:srcRect/>
                    <a:stretch>
                      <a:fillRect/>
                    </a:stretch>
                  </pic:blipFill>
                  <pic:spPr bwMode="auto">
                    <a:xfrm>
                      <a:ext cx="660797" cy="246459"/>
                      <a:off x="0" y="0"/>
                    </a:xfrm>
                    <a:prstGeom prst="rect">
                      <a:avLst/>
                    </a:prstGeom>
                  </pic:spPr>
                </pic:pic>
              </a:graphicData>
            </a:graphic>
          </wp:inline>
        </w:drawing>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val="none" w:sz="0" w:color="ffffff"/>
              <w:bottom w:val="none" w:sz="0" w:color="ffffff"/>
              <w:left w:val="none" w:sz="0" w:color="ffffff"/>
              <w:right w:val="none" w:sz="0" w:color="ffffff"/>
            </w:tcBorders>
            <w:tcMar>
              <w:top w:w="0" w:type="dxa"/>
              <w:bottom w:w="0" w:type="dxa"/>
              <w:end w:w="0" w:type="dxa"/>
              <w:start w:w="0" w:type="dxa"/>
            </w:tcMar>
            <w:tcW w:w="30" w:type="pct"/>
          </w:tcPr>
          <w:p>
            <w:r>
              <w:t xml:space="preserve"/>
            </w:r>
          </w:p>
          <w:p>
            <w:r>
              <w:t xml:space="preserve"/>
            </w:r>
          </w:p>
          <w:p>
            <w:r>
              <w:t xml:space="preserve"/>
            </w:r>
          </w:p>
          <w:p>
            <w:r>
              <w:t xml:space="preserve"/>
            </w:r>
          </w:p>
          <w:p>
            <w:r>
              <w:rPr>
                <w:b w:val="true"/>
                <w:bCs w:val="true"/>
                <w:color w:val="726e6e"/>
                <w:sz w:val="28"/>
                <w:szCs w:val="28"/>
                <w:rFonts w:ascii="Calibri" w:cs="Calibri" w:eastAsia="Calibri" w:hAnsi="Calibri"/>
              </w:rPr>
              <w:t xml:space="preserve">Highlights</w:t>
            </w:r>
          </w:p>
          <w:p>
            <w:r>
              <w:t xml:space="preserve"/>
            </w:r>
          </w:p>
          <w:p>
            <w:r>
              <w:t xml:space="preserve"/>
            </w:r>
          </w:p>
          <w:p>
            <w:pPr>
              <w:pStyle w:val="ListParagraph"/>
              <w:numPr>
                <w:ilvl w:val="0"/>
                <w:numId w:val="1"/>
              </w:numPr>
            </w:pPr>
            <w:r>
              <w:rPr>
                <w:color w:val="726e6e"/>
                <w:sz w:val="22"/>
                <w:szCs w:val="22"/>
                <w:rFonts w:ascii="Calibri" w:cs="Calibri" w:eastAsia="Calibri" w:hAnsi="Calibri"/>
              </w:rPr>
              <w:t xml:space="preserve">Modernize VMware workloads through cloud automation</w:t>
            </w:r>
          </w:p>
          <w:p>
            <w:r>
              <w:t xml:space="preserve"/>
            </w:r>
          </w:p>
          <w:p>
            <w:pPr>
              <w:pStyle w:val="ListParagraph"/>
              <w:numPr>
                <w:ilvl w:val="0"/>
                <w:numId w:val="1"/>
              </w:numPr>
            </w:pPr>
            <w:r>
              <w:rPr>
                <w:color w:val="726e6e"/>
                <w:sz w:val="22"/>
                <w:szCs w:val="22"/>
                <w:rFonts w:ascii="Calibri" w:cs="Calibri" w:eastAsia="Calibri" w:hAnsi="Calibri"/>
              </w:rPr>
              <w:t xml:space="preserve">Log in to an existing VMware management plane offered “as a service” by IBM at 99.99% availability</w:t>
            </w:r>
          </w:p>
          <w:p>
            <w:r>
              <w:t xml:space="preserve"/>
            </w:r>
          </w:p>
          <w:p>
            <w:pPr>
              <w:pStyle w:val="ListParagraph"/>
              <w:numPr>
                <w:ilvl w:val="0"/>
                <w:numId w:val="1"/>
              </w:numPr>
            </w:pPr>
            <w:r>
              <w:rPr>
                <w:color w:val="726e6e"/>
                <w:sz w:val="22"/>
                <w:szCs w:val="22"/>
                <w:rFonts w:ascii="Calibri" w:cs="Calibri" w:eastAsia="Calibri" w:hAnsi="Calibri"/>
              </w:rPr>
              <w:t xml:space="preserve">Offload day 2 operations with IBM management up to the hypervisor</w:t>
            </w:r>
          </w:p>
          <w:p>
            <w:r>
              <w:t xml:space="preserve"/>
            </w:r>
          </w:p>
          <w:p>
            <w:pPr>
              <w:pStyle w:val="ListParagraph"/>
              <w:numPr>
                <w:ilvl w:val="0"/>
                <w:numId w:val="1"/>
              </w:numPr>
            </w:pPr>
            <w:r>
              <w:rPr>
                <w:color w:val="726e6e"/>
                <w:sz w:val="22"/>
                <w:szCs w:val="22"/>
                <w:rFonts w:ascii="Calibri" w:cs="Calibri" w:eastAsia="Calibri" w:hAnsi="Calibri"/>
              </w:rPr>
              <w:t xml:space="preserve">Multiple host configurations with options for both NFS and VSAN storage</w:t>
            </w:r>
          </w:p>
          <w:p>
            <w:pPr>
              <w:pBdr>
                <w:bottom w:color="auto" w:space="1" w:val="single" w:sz="6"/>
              </w:pBdr>
            </w:pPr>
            <w:r>
              <w:rPr>
                <w:sz w:val="22"/>
                <w:szCs w:val="22"/>
                <w:rFonts w:ascii="Calibri" w:cs="Calibri" w:eastAsia="Calibri" w:hAnsi="Calibri"/>
              </w:rPr>
              <w:t xml:space="preserve"/>
            </w:r>
          </w:p>
        </w:tc>
        <w:tc>
          <w:tcPr>
            <w:tcBorders>
              <w:top w:val="none" w:sz="0" w:color="ffffff"/>
              <w:bottom w:val="none" w:sz="0" w:color="ffffff"/>
              <w:left w:val="none" w:sz="0" w:color="ffffff"/>
              <w:right w:val="none" w:sz="0" w:color="ffffff"/>
            </w:tcBorders>
            <w:tcMar>
              <w:top w:w="0" w:type="dxa"/>
              <w:bottom w:w="0" w:type="dxa"/>
              <w:end w:w="0" w:type="dxa"/>
              <w:start w:w="200" w:type="dxa"/>
            </w:tcMar>
            <w:tcW w:w="70" w:type="pct"/>
          </w:tcPr>
          <w:p>
            <w:pPr>
              <w:pStyle w:val="Heading1"/>
            </w:pPr>
            <w:r>
              <w:rPr>
                <w:color w:val="0072c3"/>
                <w:sz w:val="48"/>
                <w:szCs w:val="48"/>
                <w:rFonts w:ascii="Calibri" w:cs="Calibri" w:eastAsia="Calibri" w:hAnsi="Calibri"/>
              </w:rPr>
              <w:t xml:space="preserve">Focus on your VMware workloads; let IBM do the rest</w:t>
            </w:r>
          </w:p>
          <w:p>
            <w:r>
              <w:t xml:space="preserve"/>
            </w:r>
          </w:p>
          <w:p>
            <w:r>
              <w:rPr>
                <w:sz w:val="36"/>
                <w:szCs w:val="36"/>
                <w:rFonts w:ascii="Calibri" w:cs="Calibri" w:eastAsia="Calibri" w:hAnsi="Calibri"/>
              </w:rPr>
              <w:t xml:space="preserve">IBM Cloud for VMware as a Service simplifies your VMware administration</w:t>
            </w:r>
          </w:p>
          <w:p>
            <w:r>
              <w:t xml:space="preserve"/>
            </w:r>
          </w:p>
          <w:p>
            <w:r>
              <w:rPr>
                <w:sz w:val="24"/>
                <w:szCs w:val="24"/>
                <w:rFonts w:ascii="Calibri" w:cs="Calibri" w:eastAsia="Calibri" w:hAnsi="Calibri"/>
              </w:rPr>
              <w:t xml:space="preserve">Increasingly, IT departments are receiving instruction to move applications to the cloud and modernize across the board, with few resources or support. Extending VMware workloads to the cloud or modernizing applications using cloud services can be complicated undertakings. How can your organization take advantage of what the cloud has to offer while reducing complexity and minimizing risk?</w:t>
            </w:r>
          </w:p>
          <w:p>
            <w:r>
              <w:t xml:space="preserve"/>
            </w:r>
          </w:p>
          <w:p>
            <w:r>
              <w:rPr>
                <w:sz w:val="24"/>
                <w:szCs w:val="24"/>
                <w:rFonts w:ascii="Calibri" w:cs="Calibri" w:eastAsia="Calibri" w:hAnsi="Calibri"/>
              </w:rPr>
              <w:t xml:space="preserve">To address these needs and pain points, IBM is now making available a managed service, IBM Cloud for VMware as a Service where IBM is making a significant investment in building out a management control plane (per MZR) has a 99.99% availability.</w:t>
            </w:r>
          </w:p>
          <w:p>
            <w:r>
              <w:t xml:space="preserve"/>
            </w:r>
          </w:p>
          <w:p>
            <w:r>
              <w:rPr>
                <w:sz w:val="24"/>
                <w:szCs w:val="24"/>
                <w:rFonts w:ascii="Calibri" w:cs="Calibri" w:eastAsia="Calibri" w:hAnsi="Calibri"/>
              </w:rPr>
              <w:t xml:space="preserve">This means that:</w:t>
            </w:r>
          </w:p>
          <w:p>
            <w:r>
              <w:rPr>
                <w:sz w:val="24"/>
                <w:szCs w:val="24"/>
                <w:rFonts w:ascii="Calibri" w:cs="Calibri" w:eastAsia="Calibri" w:hAnsi="Calibri"/>
              </w:rPr>
              <w:t xml:space="preserve">      1. Customers quickly onboard to an existing </w:t>
            </w:r>
          </w:p>
          <w:p>
            <w:r>
              <w:rPr>
                <w:sz w:val="24"/>
                <w:szCs w:val="24"/>
                <w:rFonts w:ascii="Calibri" w:cs="Calibri" w:eastAsia="Calibri" w:hAnsi="Calibri"/>
              </w:rPr>
              <w:t xml:space="preserve">         management backplane vs having to build </w:t>
            </w:r>
          </w:p>
          <w:p>
            <w:r>
              <w:rPr>
                <w:sz w:val="24"/>
                <w:szCs w:val="24"/>
                <w:rFonts w:ascii="Calibri" w:cs="Calibri" w:eastAsia="Calibri" w:hAnsi="Calibri"/>
              </w:rPr>
              <w:t xml:space="preserve">         one themselves, improving time to </w:t>
            </w:r>
          </w:p>
          <w:p>
            <w:r>
              <w:rPr>
                <w:sz w:val="24"/>
                <w:szCs w:val="24"/>
                <w:rFonts w:ascii="Calibri" w:cs="Calibri" w:eastAsia="Calibri" w:hAnsi="Calibri"/>
              </w:rPr>
              <w:t xml:space="preserve">         deployment</w:t>
            </w:r>
          </w:p>
          <w:p>
            <w:r>
              <w:rPr>
                <w:sz w:val="24"/>
                <w:szCs w:val="24"/>
                <w:rFonts w:ascii="Calibri" w:cs="Calibri" w:eastAsia="Calibri" w:hAnsi="Calibri"/>
              </w:rPr>
              <w:t xml:space="preserve">      2. the cost of that management backplane is </w:t>
            </w:r>
          </w:p>
          <w:p>
            <w:r>
              <w:rPr>
                <w:sz w:val="24"/>
                <w:szCs w:val="24"/>
                <w:rFonts w:ascii="Calibri" w:cs="Calibri" w:eastAsia="Calibri" w:hAnsi="Calibri"/>
              </w:rPr>
              <w:t xml:space="preserve">         much lower as IBM can scale out vs </w:t>
            </w:r>
          </w:p>
          <w:p>
            <w:r>
              <w:rPr>
                <w:sz w:val="24"/>
                <w:szCs w:val="24"/>
                <w:rFonts w:ascii="Calibri" w:cs="Calibri" w:eastAsia="Calibri" w:hAnsi="Calibri"/>
              </w:rPr>
              <w:t xml:space="preserve">         individual customer instances, and included </w:t>
            </w:r>
          </w:p>
          <w:p>
            <w:r>
              <w:rPr>
                <w:sz w:val="24"/>
                <w:szCs w:val="24"/>
                <w:rFonts w:ascii="Calibri" w:cs="Calibri" w:eastAsia="Calibri" w:hAnsi="Calibri"/>
              </w:rPr>
              <w:t xml:space="preserve">         in the cost of the workload hosts and,</w:t>
            </w:r>
          </w:p>
          <w:p>
            <w:r>
              <w:rPr>
                <w:sz w:val="24"/>
                <w:szCs w:val="24"/>
                <w:rFonts w:ascii="Calibri" w:cs="Calibri" w:eastAsia="Calibri" w:hAnsi="Calibri"/>
              </w:rPr>
              <w:t xml:space="preserve">      3. Customers don't have to account for a </w:t>
            </w:r>
          </w:p>
          <w:p>
            <w:r>
              <w:rPr>
                <w:sz w:val="24"/>
                <w:szCs w:val="24"/>
                <w:rFonts w:ascii="Calibri" w:cs="Calibri" w:eastAsia="Calibri" w:hAnsi="Calibri"/>
              </w:rPr>
              <w:t xml:space="preserve">         management overhead when they size out </w:t>
            </w:r>
          </w:p>
          <w:p>
            <w:r>
              <w:rPr>
                <w:sz w:val="24"/>
                <w:szCs w:val="24"/>
                <w:rFonts w:ascii="Calibri" w:cs="Calibri" w:eastAsia="Calibri" w:hAnsi="Calibri"/>
              </w:rPr>
              <w:t xml:space="preserve">         their workload environment – 100% of their </w:t>
            </w:r>
          </w:p>
          <w:p>
            <w:r>
              <w:rPr>
                <w:sz w:val="24"/>
                <w:szCs w:val="24"/>
                <w:rFonts w:ascii="Calibri" w:cs="Calibri" w:eastAsia="Calibri" w:hAnsi="Calibri"/>
              </w:rPr>
              <w:t xml:space="preserve">         environment is dedicated to running that </w:t>
            </w:r>
          </w:p>
          <w:p>
            <w:r>
              <w:rPr>
                <w:sz w:val="24"/>
                <w:szCs w:val="24"/>
                <w:rFonts w:ascii="Calibri" w:cs="Calibri" w:eastAsia="Calibri" w:hAnsi="Calibri"/>
              </w:rPr>
              <w:t xml:space="preserve">         workload</w:t>
            </w:r>
          </w:p>
          <w:p>
            <w:r>
              <w:rPr>
                <w:sz w:val="24"/>
                <w:szCs w:val="24"/>
                <w:rFonts w:ascii="Calibri" w:cs="Calibri" w:eastAsia="Calibri" w:hAnsi="Calibri"/>
              </w:rPr>
              <w:t xml:space="preserve">      4. All of this gives customers more time and </w:t>
            </w:r>
          </w:p>
          <w:p>
            <w:r>
              <w:rPr>
                <w:sz w:val="24"/>
                <w:szCs w:val="24"/>
                <w:rFonts w:ascii="Calibri" w:cs="Calibri" w:eastAsia="Calibri" w:hAnsi="Calibri"/>
              </w:rPr>
              <w:t xml:space="preserve">         resources to focus on innovation.</w:t>
            </w:r>
          </w:p>
          <w:p>
            <w:r>
              <w:t xml:space="preserve"/>
            </w:r>
          </w:p>
          <w:p>
            <w:r>
              <w:rPr>
                <w:sz w:val="24"/>
                <w:szCs w:val="24"/>
                <w:rFonts w:ascii="Calibri" w:cs="Calibri" w:eastAsia="Calibri" w:hAnsi="Calibri"/>
              </w:rPr>
              <w:t xml:space="preserve">In addition, this managed service allows customers to still run their workloads on dedicated infrastructure and allows them control on how much capacity they need.</w:t>
            </w:r>
          </w:p>
          <w:p>
            <w:r>
              <w:t xml:space="preserve"/>
            </w:r>
          </w:p>
          <w:p>
            <w:r>
              <w:rPr>
                <w:sz w:val="24"/>
                <w:szCs w:val="24"/>
                <w:rFonts w:ascii="Calibri" w:cs="Calibri" w:eastAsia="Calibri" w:hAnsi="Calibri"/>
              </w:rPr>
              <w:t xml:space="preserve">By offering 7 different dedicated host profiles, with both NFS and VSAN storage options, IBM provides the most flexibility in matching infrastructure resources to your specific VMware workload and enterprise application computing needs.  By offering dedicated hosts, you can ensure that enterprise requirements for performance, availability and isolation can be met.</w:t>
            </w:r>
          </w:p>
          <w:p>
            <w:r>
              <w:t xml:space="preserve"/>
            </w:r>
          </w:p>
          <w:p>
            <w:r>
              <w:rPr>
                <w:sz w:val="24"/>
                <w:szCs w:val="24"/>
                <w:rFonts w:ascii="Calibri" w:cs="Calibri" w:eastAsia="Calibri" w:hAnsi="Calibri"/>
              </w:rPr>
              <w:t xml:space="preserve">In addition, with a fully native like VMware experience, clients can leverage their existing VMware resources and skills.  This managed service is based on VMware Cloud Director; a multi-tenant management layer that is designed for the Cloud and simplifies a lot of complex networking &amp; management tasks while taking full advantage of the robustness of the VMware platform.</w:t>
            </w:r>
          </w:p>
          <w:p>
            <w:r>
              <w:t xml:space="preserve"/>
            </w:r>
          </w:p>
        </w:tc>
      </w:tr>
    </w:tbl>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val="none" w:sz="0" w:color="ffffff"/>
              <w:bottom w:val="none" w:sz="0" w:color="ffffff"/>
              <w:left w:val="none" w:sz="0" w:color="ffffff"/>
              <w:right w:val="none" w:sz="0" w:color="ffffff"/>
            </w:tcBorders>
            <w:tcMar>
              <w:top w:w="0" w:type="dxa"/>
              <w:bottom w:w="0" w:type="dxa"/>
              <w:end w:w="0" w:type="dxa"/>
              <w:start w:w="0" w:type="dxa"/>
            </w:tcMar>
            <w:tcW w:w="50" w:type="pct"/>
          </w:tcPr>
          <w:p>
            <w:r>
              <w:rPr>
                <w:b w:val="true"/>
                <w:bCs w:val="true"/>
                <w:sz w:val="22"/>
                <w:szCs w:val="22"/>
                <w:rFonts w:ascii="Calibri" w:cs="Calibri" w:eastAsia="Calibri" w:hAnsi="Calibri"/>
              </w:rPr>
              <w:t xml:space="preserve">IBM Cloud</w:t>
            </w:r>
          </w:p>
          <w:p>
            <w:r>
              <w:rPr>
                <w:sz w:val="22"/>
                <w:szCs w:val="22"/>
                <w:rFonts w:ascii="Calibri" w:cs="Calibri" w:eastAsia="Calibri" w:hAnsi="Calibri"/>
              </w:rPr>
              <w:t xml:space="preserve">Solution Brief</w:t>
            </w:r>
          </w:p>
        </w:tc>
        <w:tc>
          <w:tcPr>
            <w:tcBorders>
              <w:top w:val="none" w:sz="0" w:color="ffffff"/>
              <w:bottom w:val="none" w:sz="0" w:color="ffffff"/>
              <w:left w:val="none" w:sz="0" w:color="ffffff"/>
              <w:right w:val="none" w:sz="0" w:color="ffffff"/>
            </w:tcBorders>
            <w:tcMar>
              <w:top w:w="0" w:type="dxa"/>
              <w:bottom w:w="0" w:type="dxa"/>
              <w:end w:w="0" w:type="dxa"/>
              <w:start w:w="0" w:type="dxa"/>
            </w:tcMar>
            <w:tcW w:w="50" w:type="pct"/>
          </w:tcPr>
          <w:p>
            <w:pPr>
              <w:jc w:val="right"/>
            </w:pPr>
            <w:r>
              <w:rPr>
                <w:rFonts w:ascii="Calibri" w:cs="Calibri" w:eastAsia="Calibri" w:hAnsi="Calibri"/>
              </w:rPr>
              <w:r>
                <w:drawing>
                  <wp:inline distT="0" distB="0" distL="0" distR="0">
                    <wp:extent cx="660797" cy="2464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6" cstate="none"/>
                            <a:srcRect/>
                            <a:stretch>
                              <a:fillRect/>
                            </a:stretch>
                          </pic:blipFill>
                          <pic:spPr bwMode="auto">
                            <a:xfrm>
                              <a:ext cx="660797" cy="246459"/>
                              <a:off x="0" y="0"/>
                            </a:xfrm>
                            <a:prstGeom prst="rect">
                              <a:avLst/>
                            </a:prstGeom>
                          </pic:spPr>
                        </pic:pic>
                      </a:graphicData>
                    </a:graphic>
                  </wp:inline>
                </w:drawing>
              </w:r>
            </w:r>
          </w:p>
        </w:tc>
      </w:tr>
      <w:t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2"/>
          </w:tcPr>
          <w:p>
            <w:r>
              <w:rPr>
                <w:sz w:val="22"/>
                <w:szCs w:val="22"/>
                <w:rFonts w:ascii="Calibri" w:cs="Calibri" w:eastAsia="Calibri" w:hAnsi="Calibri"/>
              </w:rPr>
              <w:t xml:space="preserve"/>
            </w:r>
          </w:p>
        </w:tc>
      </w:tr>
      <w:tr>
        <w:tc>
          <w:tcPr>
            <w:tcBorders>
              <w:top w:val="none" w:sz="0" w:color="ffffff"/>
              <w:bottom w:val="none" w:sz="0" w:color="ffffff"/>
              <w:left w:val="none" w:sz="0" w:color="ffffff"/>
              <w:right w:val="none" w:sz="0" w:color="ffffff"/>
            </w:tcBorders>
            <w:tcMar>
              <w:top w:w="0" w:type="dxa"/>
              <w:bottom w:w="0" w:type="dxa"/>
              <w:end w:w="0" w:type="dxa"/>
              <w:start w:w="0" w:type="dxa"/>
            </w:tcMar>
            <w:tcW w:w="50" w:type="pct"/>
          </w:tcPr>
          <w:p>
            <w:r>
              <w:rPr>
                <w:b w:val="true"/>
                <w:bCs w:val="true"/>
                <w:color w:val="0072c3"/>
                <w:sz w:val="32"/>
                <w:szCs w:val="32"/>
                <w:rFonts w:ascii="Calibri" w:cs="Calibri" w:eastAsia="Calibri" w:hAnsi="Calibri"/>
              </w:rPr>
              <w:t xml:space="preserve">Why IBM?</w:t>
            </w:r>
          </w:p>
          <w:p>
            <w:r>
              <w:t xml:space="preserve"/>
            </w:r>
          </w:p>
          <w:p>
            <w:r>
              <w:rPr>
                <w:sz w:val="22"/>
                <w:szCs w:val="22"/>
                <w:rFonts w:ascii="Calibri" w:cs="Calibri" w:eastAsia="Calibri" w:hAnsi="Calibri"/>
              </w:rPr>
              <w:t xml:space="preserve">IBM’s recent acquisition of Red Hat combined with a strategic partnership with VMware uniquely positions the IBM Cloud to offer this “lift, shift, and transform” solution for VMware workloads. No other major cloud provider brings the VMware SDDC together with a Kubernetes-based app development platform like OpenShift in a tightly integrated solution that offers the speed and scale of public cloud with the control and visibility of a private cloud. Other similar services from other cloud providers offer solutions that focus on ease of deploying OpenShift but require refactoring of virtual machines prior to adoption and abstract too much control from enterprise customers.</w:t>
            </w:r>
          </w:p>
          <w:p>
            <w:r>
              <w:t xml:space="preserve"/>
            </w:r>
          </w:p>
          <w:p>
            <w:r>
              <w:t xml:space="preserve"/>
            </w:r>
          </w:p>
          <w:p>
            <w:r>
              <w:t xml:space="preserve"/>
            </w:r>
          </w:p>
          <w:p>
            <w:r>
              <w:t xml:space="preserve"/>
            </w:r>
          </w:p>
          <w:p>
            <w:r>
              <w:rPr>
                <w:b w:val="true"/>
                <w:bCs w:val="true"/>
                <w:color w:val="0072c3"/>
                <w:sz w:val="32"/>
                <w:szCs w:val="32"/>
                <w:rFonts w:ascii="Calibri" w:cs="Calibri" w:eastAsia="Calibri" w:hAnsi="Calibri"/>
              </w:rPr>
              <w:t xml:space="preserve">Next steps</w:t>
            </w:r>
          </w:p>
          <w:p>
            <w:r>
              <w:t xml:space="preserve"/>
            </w:r>
          </w:p>
          <w:p>
            <w:pPr>
              <w:pStyle w:val="size14NoUnderline"/>
            </w:pPr>
            <w:hyperlink w:history="1" r:id="rIdm2fp-j0az7">
              <w:r>
                <w:rPr>
                  <w:rStyle w:val="Hyperlink"/>
                </w:rPr>
                <w:t xml:space="preserve">Learn more about Modernization of VMware Workloads on the IBM Cloud</w:t>
              </w:r>
            </w:hyperlink>
          </w:p>
          <w:p>
            <w:r>
              <w:t xml:space="preserve"/>
            </w:r>
          </w:p>
          <w:p>
            <w:pPr>
              <w:pStyle w:val="size14NoUnderline"/>
            </w:pPr>
            <w:hyperlink w:history="1" r:id="rIddemqbn-r6h">
              <w:r>
                <w:rPr>
                  <w:rStyle w:val="Hyperlink"/>
                </w:rPr>
                <w:t xml:space="preserve">Learn how to run Red Hat OpenShift on a VMware SDDC</w:t>
              </w:r>
            </w:hyperlink>
          </w:p>
          <w:p>
            <w:r>
              <w:t xml:space="preserve"/>
            </w:r>
          </w:p>
          <w:p>
            <w:pPr>
              <w:pStyle w:val="size14NoUnderline"/>
            </w:pPr>
            <w:hyperlink w:history="1" r:id="rIdrwilfp-jz2">
              <w:r>
                <w:rPr>
                  <w:rStyle w:val="Hyperlink"/>
                </w:rPr>
                <w:t xml:space="preserve">Place your order from our console</w:t>
              </w:r>
            </w:hyperlink>
          </w:p>
          <w:p>
            <w:r>
              <w:t xml:space="preserve"/>
            </w:r>
          </w:p>
          <w:p>
            <w:pPr>
              <w:pStyle w:val="size14NoUnderline"/>
            </w:pPr>
            <w:hyperlink w:history="1" r:id="rIdbt0w6lxcp_">
              <w:r>
                <w:rPr>
                  <w:rStyle w:val="Hyperlink"/>
                </w:rPr>
                <w:t xml:space="preserve">Check out our single node trial</w:t>
              </w:r>
            </w:hyperlink>
          </w:p>
          <w:p>
            <w:r>
              <w:t xml:space="preserve"/>
            </w:r>
          </w:p>
        </w:tc>
      </w:tr>
    </w:tbl>
    <w:p>
      <w:pPr>
        <w:sectPr>
          <w:pgSz w:w="11906" w:h="16838" w:orient="portrait"/>
          <w:pgMar w:top="1440" w:right="1440" w:bottom="1440" w:left="1440" w:header="708" w:footer="708" w:gutter="0" w:mirrorMargins="false"/>
          <w:cols w:space="708" w:num="1"/>
          <w:docGrid w:linePitch="360"/>
          <w:headerReference w:type="default" r:id="rId9"/>
          <w:footerReference w:type="default" r:id="rId10"/>
        </w:sectPr>
      </w:pPr>
    </w:p>
    <w:p>
      <w:r>
        <w:t xml:space="preserve"/>
      </w:r>
    </w:p>
    <w:p>
      <w:r>
        <w:rPr>
          <w:b w:val="true"/>
          <w:bCs w:val="true"/>
          <w:sz w:val="28"/>
          <w:szCs w:val="28"/>
          <w:rFonts w:ascii="Calibri" w:cs="Calibri" w:eastAsia="Calibri" w:hAnsi="Calibri"/>
        </w:rPr>
        <w:t xml:space="preserve">Solution Configuration Details &amp; Pricing</w:t>
      </w:r>
    </w:p>
    <w:p>
      <w:r>
        <w:rPr>
          <w:sz w:val="22"/>
          <w:szCs w:val="22"/>
          <w:rFonts w:ascii="Calibri" w:cs="Calibri" w:eastAsia="Calibri" w:hAnsi="Calibri"/>
        </w:rPr>
        <w:t xml:space="preserve">We are proposing the following configuration based on the customer-provided number of VMs and the VM sizing details</w:t>
      </w: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tblGrid>
      <w:tr>
        <w:trPr>
          <w:trHeight w:val="100" w:hRule="auto"/>
        </w:trPr>
        <w:tc>
          <w:tcPr>
            <w:tcMar>
              <w:top w:w="100" w:type="dxa"/>
              <w:bottom w:w="100" w:type="dxa"/>
              <w:end w:w="100" w:type="dxa"/>
              <w:start w:w="100" w:type="dxa"/>
            </w:tcMar>
            <w:shd w:fill="2f5496"/>
            <w:gridSpan w:val="4"/>
          </w:tcPr>
          <w:p>
            <w:r>
              <w:rPr>
                <w:b w:val="true"/>
                <w:bCs w:val="true"/>
                <w:color w:val="f2f2f2"/>
                <w:sz w:val="22"/>
                <w:szCs w:val="22"/>
                <w:rFonts w:ascii="Calibri" w:cs="Calibri" w:eastAsia="Calibri" w:hAnsi="Calibri"/>
              </w:rPr>
              <w:t xml:space="preserve">Dallas DAL10 Data Center - workload-a</w:t>
            </w:r>
          </w:p>
        </w:tc>
      </w:tr>
      <w:tr>
        <w:trPr>
          <w:trHeight w:val="100" w:hRule="auto"/>
        </w:trPr>
        <w:tc>
          <w:tcPr>
            <w:tcMar>
              <w:top w:w="100" w:type="dxa"/>
              <w:bottom w:w="100" w:type="dxa"/>
              <w:end w:w="100" w:type="dxa"/>
              <w:start w:w="100" w:type="dxa"/>
            </w:tcMar>
            <w:shd w:fill="2f5496"/>
            <w:tcW w:w="61" w:type="pct"/>
          </w:tcPr>
          <w:p>
            <w:r>
              <w:rPr>
                <w:b w:val="true"/>
                <w:bCs w:val="true"/>
                <w:color w:val="f2f2f2"/>
                <w:sz w:val="22"/>
                <w:szCs w:val="22"/>
                <w:rFonts w:ascii="Calibri" w:cs="Calibri" w:eastAsia="Calibri" w:hAnsi="Calibri"/>
              </w:rPr>
              <w:t xml:space="preserve">VMware as a Service</w:t>
            </w:r>
          </w:p>
        </w:tc>
        <w:tc>
          <w:tcPr>
            <w:tcMar>
              <w:top w:w="100" w:type="dxa"/>
              <w:bottom w:w="100" w:type="dxa"/>
              <w:end w:w="100" w:type="dxa"/>
              <w:start w:w="100" w:type="dxa"/>
            </w:tcMar>
            <w:shd w:fill="2f5496"/>
            <w:tcW w:w="13" w:type="pct"/>
          </w:tcPr>
          <w:p>
            <w:pPr>
              <w:jc w:val="center"/>
            </w:pPr>
            <w:r>
              <w:rPr>
                <w:b w:val="true"/>
                <w:bCs w:val="true"/>
                <w:color w:val="f2f2f2"/>
                <w:sz w:val="22"/>
                <w:szCs w:val="22"/>
                <w:rFonts w:ascii="Calibri" w:cs="Calibri" w:eastAsia="Calibri" w:hAnsi="Calibri"/>
              </w:rPr>
              <w:t xml:space="preserve">Unit Price</w:t>
            </w:r>
          </w:p>
        </w:tc>
        <w:tc>
          <w:tcPr>
            <w:tcMar>
              <w:top w:w="100" w:type="dxa"/>
              <w:bottom w:w="100" w:type="dxa"/>
              <w:end w:w="100" w:type="dxa"/>
              <w:start w:w="100" w:type="dxa"/>
            </w:tcMar>
            <w:shd w:fill="2f5496"/>
            <w:tcW w:w="13" w:type="pct"/>
          </w:tcPr>
          <w:p>
            <w:pPr>
              <w:jc w:val="center"/>
            </w:pPr>
            <w:r>
              <w:rPr>
                <w:b w:val="true"/>
                <w:bCs w:val="true"/>
                <w:color w:val="f2f2f2"/>
                <w:sz w:val="22"/>
                <w:szCs w:val="22"/>
                <w:rFonts w:ascii="Calibri" w:cs="Calibri" w:eastAsia="Calibri" w:hAnsi="Calibri"/>
              </w:rPr>
              <w:t xml:space="preserve">Quantity</w:t>
            </w:r>
          </w:p>
        </w:tc>
        <w:tc>
          <w:tcPr>
            <w:tcMar>
              <w:top w:w="100" w:type="dxa"/>
              <w:bottom w:w="100" w:type="dxa"/>
              <w:end w:w="100" w:type="dxa"/>
              <w:start w:w="100" w:type="dxa"/>
            </w:tcMar>
            <w:shd w:fill="2f5496"/>
            <w:tcW w:w="13" w:type="pct"/>
          </w:tcPr>
          <w:p>
            <w:pPr>
              <w:jc w:val="center"/>
            </w:pPr>
            <w:r>
              <w:rPr>
                <w:b w:val="true"/>
                <w:bCs w:val="true"/>
                <w:color w:val="f2f2f2"/>
                <w:sz w:val="22"/>
                <w:szCs w:val="22"/>
                <w:rFonts w:ascii="Calibri" w:cs="Calibri" w:eastAsia="Calibri" w:hAnsi="Calibri"/>
              </w:rPr>
              <w:t xml:space="preserve">Monthly</w:t>
            </w:r>
          </w:p>
        </w:tc>
      </w:tr>
      <w:tr>
        <w:trPr>
          <w:trHeight w:val="100" w:hRule="auto"/>
        </w:trPr>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Host Profile</w:t>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$47,012.00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Bare Metal - Dual Socket</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48 Cores</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$6,716.00</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7</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$47,012.00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768 GB RAM</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23 TB VSAN</w:t>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c>
          <w:tcPr>
            <w:tcBorders>
              <w:top w:val="none" w:sz="0" w:color="ffffff"/>
              <w:bottom w:val="none" w:sz="0" w:color="ffffff"/>
              <w:left w:val="none" w:sz="0" w:color="ffffff"/>
            </w:tcBorders>
            <w:tcMar>
              <w:top w:w="100" w:type="dxa"/>
              <w:bottom w:w="100" w:type="dxa"/>
              <w:end w:w="100" w:type="dxa"/>
              <w:start w:w="100" w:type="dxa"/>
            </w:tcMar>
          </w:tcPr>
          <w:p>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Licenses</w:t>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CentOS</w:t>
            </w:r>
          </w:p>
        </w:tc>
        <w:tc>
          <w:tcPr>
            <w:tcMar>
              <w:top w:w="100" w:type="dxa"/>
              <w:bottom w:w="100" w:type="dxa"/>
              <w:end w:w="100" w:type="dxa"/>
              <w:start w:w="100" w:type="dxa"/>
            </w:tcMar>
          </w:tcPr>
          <w:p>
            <w:r>
              <w:rPr>
                <w:sz w:val="22"/>
                <w:szCs w:val="22"/>
                <w:rFonts w:ascii="Calibri" w:cs="Calibri" w:eastAsia="Calibri" w:hAnsi="Calibri"/>
              </w:rPr>
              <w:t xml:space="preserve">$0.00</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Red Hat Enterprise Linux (up to 8 vCPU)</w:t>
            </w:r>
          </w:p>
        </w:tc>
        <w:tc>
          <w:tcPr>
            <w:tcMar>
              <w:top w:w="100" w:type="dxa"/>
              <w:bottom w:w="100" w:type="dxa"/>
              <w:end w:w="100" w:type="dxa"/>
              <w:start w:w="100" w:type="dxa"/>
            </w:tcMar>
          </w:tcPr>
          <w:p>
            <w:r>
              <w:rPr>
                <w:sz w:val="22"/>
                <w:szCs w:val="22"/>
                <w:rFonts w:ascii="Calibri" w:cs="Calibri" w:eastAsia="Calibri" w:hAnsi="Calibri"/>
              </w:rPr>
              <w:t xml:space="preserve">$12.41</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Red Hat Enterprise Linux (9-127 vCPU)</w:t>
            </w:r>
          </w:p>
        </w:tc>
        <w:tc>
          <w:tcPr>
            <w:tcMar>
              <w:top w:w="100" w:type="dxa"/>
              <w:bottom w:w="100" w:type="dxa"/>
              <w:end w:w="100" w:type="dxa"/>
              <w:start w:w="100" w:type="dxa"/>
            </w:tcMar>
          </w:tcPr>
          <w:p>
            <w:r>
              <w:rPr>
                <w:sz w:val="22"/>
                <w:szCs w:val="22"/>
                <w:rFonts w:ascii="Calibri" w:cs="Calibri" w:eastAsia="Calibri" w:hAnsi="Calibri"/>
              </w:rPr>
              <w:t xml:space="preserve">$8.03</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Red Hat Enterprise Linux (over 127 vCPU)</w:t>
            </w:r>
          </w:p>
        </w:tc>
        <w:tc>
          <w:tcPr>
            <w:tcMar>
              <w:top w:w="100" w:type="dxa"/>
              <w:bottom w:w="100" w:type="dxa"/>
              <w:end w:w="100" w:type="dxa"/>
              <w:start w:w="100" w:type="dxa"/>
            </w:tcMar>
          </w:tcPr>
          <w:p>
            <w:r>
              <w:rPr>
                <w:sz w:val="22"/>
                <w:szCs w:val="22"/>
                <w:rFonts w:ascii="Calibri" w:cs="Calibri" w:eastAsia="Calibri" w:hAnsi="Calibri"/>
              </w:rPr>
              <w:t xml:space="preserve">$6.57</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Windows license</w:t>
            </w:r>
          </w:p>
        </w:tc>
        <w:tc>
          <w:tcPr>
            <w:tcMar>
              <w:top w:w="100" w:type="dxa"/>
              <w:bottom w:w="100" w:type="dxa"/>
              <w:end w:w="100" w:type="dxa"/>
              <w:start w:w="100" w:type="dxa"/>
            </w:tcMar>
          </w:tcPr>
          <w:p>
            <w:r>
              <w:rPr>
                <w:sz w:val="22"/>
                <w:szCs w:val="22"/>
                <w:rFonts w:ascii="Calibri" w:cs="Calibri" w:eastAsia="Calibri" w:hAnsi="Calibri"/>
              </w:rPr>
              <w:t xml:space="preserve">$15.50</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Network</w:t>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
            </w:r>
          </w:p>
        </w:tc>
        <w:tc>
          <w:tcPr>
            <w:tcMar>
              <w:top w:w="100" w:type="dxa"/>
              <w:bottom w:w="100" w:type="dxa"/>
              <w:end w:w="100" w:type="dxa"/>
              <w:start w:w="100" w:type="dxa"/>
            </w:tcMar>
            <w:shd w:fill="bfbfbf"/>
          </w:tcPr>
          <w:p>
            <w:r>
              <w:rPr>
                <w:b w:val="true"/>
                <w:bCs w:val="true"/>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Dedicated with 1 GBps uplinks</w:t>
            </w:r>
          </w:p>
        </w:tc>
        <w:tc>
          <w:tcPr>
            <w:tcMar>
              <w:top w:w="100" w:type="dxa"/>
              <w:bottom w:w="100" w:type="dxa"/>
              <w:end w:w="100" w:type="dxa"/>
              <w:start w:w="100" w:type="dxa"/>
            </w:tcMar>
          </w:tcPr>
          <w:p>
            <w:r>
              <w:rPr>
                <w:sz w:val="22"/>
                <w:szCs w:val="22"/>
                <w:rFonts w:ascii="Calibri" w:cs="Calibri" w:eastAsia="Calibri" w:hAnsi="Calibri"/>
              </w:rPr>
              <w:t xml:space="preserve">$962.50</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Dedicated with 10 GBps uplinks</w:t>
            </w:r>
          </w:p>
        </w:tc>
        <w:tc>
          <w:tcPr>
            <w:tcMar>
              <w:top w:w="100" w:type="dxa"/>
              <w:bottom w:w="100" w:type="dxa"/>
              <w:end w:w="100" w:type="dxa"/>
              <w:start w:w="100" w:type="dxa"/>
            </w:tcMar>
          </w:tcPr>
          <w:p>
            <w:r>
              <w:rPr>
                <w:sz w:val="22"/>
                <w:szCs w:val="22"/>
                <w:rFonts w:ascii="Calibri" w:cs="Calibri" w:eastAsia="Calibri" w:hAnsi="Calibri"/>
              </w:rPr>
              <w:t xml:space="preserve">$2,216.50</w:t>
            </w:r>
          </w:p>
        </w:tc>
        <w:tc>
          <w:tcPr>
            <w:tcMar>
              <w:top w:w="100" w:type="dxa"/>
              <w:bottom w:w="100" w:type="dxa"/>
              <w:end w:w="100" w:type="dxa"/>
              <w:start w:w="100" w:type="dxa"/>
            </w:tcMar>
          </w:tcPr>
          <w:p>
            <w:r>
              <w:rPr>
                <w:sz w:val="22"/>
                <w:szCs w:val="22"/>
                <w:rFonts w:ascii="Calibri" w:cs="Calibri" w:eastAsia="Calibri" w:hAnsi="Calibri"/>
              </w:rPr>
              <w:t xml:space="preserve">0</w:t>
            </w:r>
          </w:p>
        </w:tc>
        <w:tc>
          <w:tcPr>
            <w:tcMar>
              <w:top w:w="100" w:type="dxa"/>
              <w:bottom w:w="100" w:type="dxa"/>
              <w:end w:w="100" w:type="dxa"/>
              <w:start w:w="100" w:type="dxa"/>
            </w:tcMar>
          </w:tcPr>
          <w:p>
            <w:r>
              <w:rPr>
                <w:sz w:val="22"/>
                <w:szCs w:val="22"/>
                <w:rFonts w:ascii="Calibri" w:cs="Calibri" w:eastAsia="Calibri" w:hAnsi="Calibri"/>
              </w:rPr>
              <w:t xml:space="preserve">$0.00</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100" w:type="dxa"/>
              <w:end w:w="100" w:type="dxa"/>
              <w:start w:w="100" w:type="dxa"/>
            </w:tcMar>
            <w:shd w:fill="2f5496"/>
            <w:gridSpan w:val="2"/>
          </w:tcPr>
          <w:p>
            <w:r>
              <w:rPr>
                <w:b w:val="true"/>
                <w:bCs w:val="true"/>
                <w:color w:val="f2f2f2"/>
                <w:sz w:val="22"/>
                <w:szCs w:val="22"/>
                <w:rFonts w:ascii="Calibri" w:cs="Calibri" w:eastAsia="Calibri" w:hAnsi="Calibri"/>
              </w:rPr>
              <w:t xml:space="preserve">Total</w:t>
            </w:r>
          </w:p>
        </w:tc>
        <w:tc>
          <w:tcPr>
            <w:tcMar>
              <w:top w:w="100" w:type="dxa"/>
              <w:bottom w:w="100" w:type="dxa"/>
              <w:end w:w="100" w:type="dxa"/>
              <w:start w:w="100" w:type="dxa"/>
            </w:tcMar>
            <w:shd w:fill="2f5496"/>
          </w:tcPr>
          <w:p>
            <w:r>
              <w:rPr>
                <w:b w:val="true"/>
                <w:bCs w:val="true"/>
                <w:color w:val="f2f2f2"/>
                <w:sz w:val="22"/>
                <w:szCs w:val="22"/>
                <w:rFonts w:ascii="Calibri" w:cs="Calibri" w:eastAsia="Calibri" w:hAnsi="Calibri"/>
              </w:rPr>
              <w:t xml:space="preserve">$47,012.00</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100" w:type="dxa"/>
              <w:end w:w="100" w:type="dxa"/>
              <w:start w:w="100" w:type="dxa"/>
            </w:tcMar>
            <w:gridSpan w:val="2"/>
          </w:tcPr>
          <w:p>
            <w:r>
              <w:rPr>
                <w:b w:val="true"/>
                <w:bCs w:val="true"/>
                <w:sz w:val="22"/>
                <w:szCs w:val="22"/>
                <w:rFonts w:ascii="Calibri" w:cs="Calibri" w:eastAsia="Calibri" w:hAnsi="Calibri"/>
              </w:rPr>
              <w:t xml:space="preserve">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0 %</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100" w:type="dxa"/>
              <w:end w:w="100" w:type="dxa"/>
              <w:start w:w="100" w:type="dxa"/>
            </w:tcMar>
            <w:gridSpan w:val="2"/>
          </w:tcPr>
          <w:p>
            <w:r>
              <w:rPr>
                <w:b w:val="true"/>
                <w:bCs w:val="true"/>
                <w:sz w:val="22"/>
                <w:szCs w:val="22"/>
                <w:rFonts w:ascii="Calibri" w:cs="Calibri" w:eastAsia="Calibri" w:hAnsi="Calibri"/>
              </w:rPr>
              <w:t xml:space="preserve">Price per Node</w:t>
            </w:r>
          </w:p>
        </w:tc>
        <w:tc>
          <w:tcPr>
            <w:tcMar>
              <w:top w:w="100" w:type="dxa"/>
              <w:bottom w:w="100" w:type="dxa"/>
              <w:end w:w="100" w:type="dxa"/>
              <w:start w:w="100" w:type="dxa"/>
            </w:tcMar>
          </w:tcPr>
          <w:p>
            <w:r>
              <w:rPr>
                <w:b w:val="true"/>
                <w:bCs w:val="true"/>
                <w:sz w:val="22"/>
                <w:szCs w:val="22"/>
                <w:rFonts w:ascii="Calibri" w:cs="Calibri" w:eastAsia="Calibri" w:hAnsi="Calibri"/>
              </w:rPr>
              <w:t xml:space="preserve">$0.00</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100" w:type="dxa"/>
              <w:end w:w="100" w:type="dxa"/>
              <w:start w:w="100" w:type="dxa"/>
            </w:tcMar>
            <w:gridSpan w:val="2"/>
          </w:tcPr>
          <w:p>
            <w:r>
              <w:rPr>
                <w:b w:val="true"/>
                <w:bCs w:val="true"/>
                <w:sz w:val="22"/>
                <w:szCs w:val="22"/>
                <w:rFonts w:ascii="Calibri" w:cs="Calibri" w:eastAsia="Calibri" w:hAnsi="Calibri"/>
              </w:rPr>
              <w:t xml:space="preserve">Price per Node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$0.00</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100" w:type="dxa"/>
              <w:end w:w="100" w:type="dxa"/>
              <w:start w:w="100" w:type="dxa"/>
            </w:tcMar>
            <w:gridSpan w:val="2"/>
          </w:tcPr>
          <w:p>
            <w:r>
              <w:rPr>
                <w:b w:val="true"/>
                <w:bCs w:val="true"/>
                <w:sz w:val="22"/>
                <w:szCs w:val="22"/>
                <w:rFonts w:ascii="Calibri" w:cs="Calibri" w:eastAsia="Calibri" w:hAnsi="Calibri"/>
              </w:rPr>
              <w:t xml:space="preserve">Unit Total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$47,012.00</w:t>
            </w:r>
          </w:p>
        </w:tc>
      </w:tr>
    </w:tbl>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jc w:val="left"/>
      </w:tblPr>
      <w:tblGrid>
        <w:gridCol w:w="100"/>
        <w:gridCol w:w="100"/>
        <w:gridCol w:w="100"/>
      </w:tblGrid>
      <w:tr>
        <w:trPr>
          <w:trHeight w:val="100" w:hRule="auto"/>
        </w:trPr>
        <w:tc>
          <w:tcPr>
            <w:tcMar>
              <w:top w:w="100" w:type="dxa"/>
              <w:bottom w:w="100" w:type="dxa"/>
              <w:end w:w="100" w:type="dxa"/>
              <w:start w:w="100" w:type="dxa"/>
            </w:tcMar>
            <w:shd w:fill="2f5496"/>
            <w:gridSpan w:val="4"/>
          </w:tcPr>
          <w:p>
            <w:r>
              <w:rPr>
                <w:b w:val="true"/>
                <w:bCs w:val="true"/>
                <w:color w:val="f2f2f2"/>
                <w:sz w:val="22"/>
                <w:szCs w:val="22"/>
                <w:rFonts w:ascii="Calibri" w:cs="Calibri" w:eastAsia="Calibri" w:hAnsi="Calibri"/>
              </w:rPr>
              <w:t xml:space="preserve">Includes a Total of:</w:t>
            </w:r>
          </w:p>
        </w:tc>
      </w:tr>
      <w:tr>
        <w:trPr>
          <w:trHeight w:val="100" w:hRule="auto"/>
        </w:trPr>
        <w:tc>
          <w:tcPr>
            <w:tcMar>
              <w:top w:w="100" w:type="dxa"/>
              <w:bottom w:w="100" w:type="dxa"/>
              <w:end w:w="100" w:type="dxa"/>
              <w:start w:w="100" w:type="dxa"/>
            </w:tcMar>
            <w:tcW w:w="33" w:type="pct"/>
          </w:tcPr>
          <w:p>
            <w:r>
              <w:rPr>
                <w:b w:val="true"/>
                <w:bCs w:val="true"/>
                <w:sz w:val="22"/>
                <w:szCs w:val="22"/>
                <w:rFonts w:ascii="Calibri" w:cs="Calibri" w:eastAsia="Calibri" w:hAnsi="Calibri"/>
              </w:rPr>
              <w:t xml:space="preserve">vCPUs</w:t>
            </w:r>
          </w:p>
        </w:tc>
        <w:tc>
          <w:tcPr>
            <w:tcMar>
              <w:top w:w="100" w:type="dxa"/>
              <w:bottom w:w="100" w:type="dxa"/>
              <w:end w:w="100" w:type="dxa"/>
              <w:start w:w="100" w:type="dxa"/>
            </w:tcMar>
            <w:tcW w:w="33" w:type="pct"/>
          </w:tcPr>
          <w:p>
            <w:r>
              <w:rPr>
                <w:b w:val="true"/>
                <w:bCs w:val="true"/>
                <w:sz w:val="22"/>
                <w:szCs w:val="22"/>
                <w:rFonts w:ascii="Calibri" w:cs="Calibri" w:eastAsia="Calibri" w:hAnsi="Calibri"/>
              </w:rPr>
              <w:t xml:space="preserve">RAM (GB)</w:t>
            </w:r>
          </w:p>
        </w:tc>
        <w:tc>
          <w:tcPr>
            <w:tcMar>
              <w:top w:w="100" w:type="dxa"/>
              <w:bottom w:w="100" w:type="dxa"/>
              <w:end w:w="100" w:type="dxa"/>
              <w:start w:w="100" w:type="dxa"/>
            </w:tcMar>
            <w:tcW w:w="34" w:type="pct"/>
          </w:tcPr>
          <w:p>
            <w:r>
              <w:rPr>
                <w:b w:val="true"/>
                <w:bCs w:val="true"/>
                <w:sz w:val="22"/>
                <w:szCs w:val="22"/>
                <w:rFonts w:ascii="Calibri" w:cs="Calibri" w:eastAsia="Calibri" w:hAnsi="Calibri"/>
              </w:rPr>
              <w:t xml:space="preserve">Usable storage (TB)</w:t>
            </w:r>
          </w:p>
        </w:tc>
      </w:tr>
      <w:tr>
        <w:trPr>
          <w:trHeight w:val="100" w:hRule="auto"/>
        </w:trPr>
        <w:tc>
          <w:tcPr>
            <w:tcMar>
              <w:top w:w="100" w:type="dxa"/>
              <w:bottom w:w="100" w:type="dxa"/>
              <w:end w:w="100" w:type="dxa"/>
              <w:start w:w="100" w:type="dxa"/>
            </w:tcMar>
          </w:tcPr>
          <w:p>
            <w:r>
              <w:rPr>
                <w:sz w:val="22"/>
                <w:szCs w:val="22"/>
                <w:rFonts w:ascii="Calibri" w:cs="Calibri" w:eastAsia="Calibri" w:hAnsi="Calibri"/>
              </w:rPr>
              <w:t xml:space="preserve">1613</w:t>
            </w:r>
          </w:p>
        </w:tc>
        <w:tc>
          <w:tcPr>
            <w:tcMar>
              <w:top w:w="100" w:type="dxa"/>
              <w:bottom w:w="100" w:type="dxa"/>
              <w:end w:w="100" w:type="dxa"/>
              <w:start w:w="100" w:type="dxa"/>
            </w:tcMar>
          </w:tcPr>
          <w:p>
            <w:r>
              <w:rPr>
                <w:sz w:val="22"/>
                <w:szCs w:val="22"/>
                <w:rFonts w:ascii="Calibri" w:cs="Calibri" w:eastAsia="Calibri" w:hAnsi="Calibri"/>
              </w:rPr>
              <w:t xml:space="preserve">5592</w:t>
            </w:r>
          </w:p>
        </w:tc>
        <w:tc>
          <w:tcPr>
            <w:tcMar>
              <w:top w:w="100" w:type="dxa"/>
              <w:bottom w:w="100" w:type="dxa"/>
              <w:end w:w="100" w:type="dxa"/>
              <w:start w:w="100" w:type="dxa"/>
            </w:tcMar>
          </w:tcPr>
          <w:p>
            <w:r>
              <w:rPr>
                <w:sz w:val="22"/>
                <w:szCs w:val="22"/>
                <w:rFonts w:ascii="Calibri" w:cs="Calibri" w:eastAsia="Calibri" w:hAnsi="Calibri"/>
              </w:rPr>
              <w:t xml:space="preserve">131894</w:t>
            </w:r>
          </w:p>
        </w:tc>
      </w:tr>
    </w:tbl>
    <w:p>
      <w:r>
        <w:t xml:space="preserve"/>
      </w:r>
    </w:p>
    <w:p>
      <w:r>
        <w:t xml:space="preserve"/>
      </w:r>
    </w:p>
    <w:p>
      <w:r>
        <w:t xml:space="preserve"/>
      </w:r>
    </w:p>
    <w:p>
      <w:r>
        <w:drawing>
          <wp:anchor distT="0" distB="0" distL="0" distR="0" simplePos="0" allowOverlap="1" behindDoc="1" locked="0" layoutInCell="1" relativeHeight="6191250">
            <wp:simplePos x="0" y="0"/>
            <wp:positionH relativeFrom="page">
              <wp:align>center</wp:align>
            </wp:positionH>
            <wp:positionV relativeFrom="page">
              <wp:align>center</wp:align>
            </wp:positionV>
            <wp:extent cx="6191250" cy="6191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6191250" cy="6191250"/>
                      <a:off x="0" y="0"/>
                    </a:xfrm>
                    <a:prstGeom prst="rect">
                      <a:avLst/>
                    </a:prstGeom>
                  </pic:spPr>
                </pic:pic>
              </a:graphicData>
            </a:graphic>
          </wp:anchor>
        </w:drawing>
      </w:r>
    </w:p>
    <w:p>
      <w:r>
        <w:rPr>
          <w:b w:val="true"/>
          <w:bCs w:val="true"/>
          <w:sz w:val="28"/>
          <w:szCs w:val="28"/>
          <w:rFonts w:ascii="Calibri" w:cs="Calibri" w:eastAsia="Calibri" w:hAnsi="Calibri"/>
        </w:rPr>
        <w:t xml:space="preserve">Total monthly price of VMware:</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45%"/>
        <w:jc w:val="right"/>
      </w:tblPr>
      <w:tblGrid>
        <w:gridCol w:w="100"/>
        <w:gridCol w:w="100"/>
        <w:gridCol w:w="100"/>
      </w:tblGrid>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List Price</w:t>
            </w:r>
          </w:p>
        </w:tc>
        <w:tc>
          <w:tcPr>
            <w:tcMar>
              <w:top w:w="100" w:type="dxa"/>
              <w:bottom w:w="100" w:type="dxa"/>
              <w:end w:w="100" w:type="dxa"/>
              <w:start w:w="100" w:type="dxa"/>
            </w:tcMar>
          </w:tcPr>
          <w:p>
            <w:r>
              <w:rPr>
                <w:b w:val="true"/>
                <w:bCs w:val="true"/>
                <w:sz w:val="22"/>
                <w:szCs w:val="22"/>
                <w:rFonts w:ascii="Calibri" w:cs="Calibri" w:eastAsia="Calibri" w:hAnsi="Calibri"/>
              </w:rPr>
              <w:t xml:space="preserve">$47,012.00</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0 %</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$47,012.00</w:t>
            </w:r>
          </w:p>
        </w:tc>
      </w:tr>
    </w:tbl>
    <w:p>
      <w:r>
        <w:t xml:space="preserve"/>
      </w:r>
    </w:p>
    <w:p>
      <w:r>
        <w:t xml:space="preserve"/>
      </w:r>
    </w:p>
    <w:p>
      <w:pPr>
        <w:sectPr>
          <w:pgSz w:w="11906" w:h="16838" w:orient="portrait"/>
          <w:pgMar w:top="1440" w:right="1440" w:bottom="1440" w:left="1440" w:header="708" w:footer="708" w:gutter="0" w:mirrorMargins="false"/>
          <w:cols w:space="708" w:num="1"/>
          <w:docGrid w:linePitch="360"/>
          <w:headerReference w:type="default" r:id="rId11"/>
          <w:footerReference w:type="default" r:id="rId12"/>
        </w:sectPr>
      </w:pPr>
    </w:p>
    <w:p>
      <w:r>
        <w:rPr>
          <w:b w:val="true"/>
          <w:bCs w:val="true"/>
          <w:color w:val="0072c3"/>
          <w:sz w:val="32"/>
          <w:szCs w:val="32"/>
          <w:rFonts w:ascii="Calibri" w:cs="Calibri" w:eastAsia="Calibri" w:hAnsi="Calibri"/>
        </w:rPr>
        <w:t xml:space="preserve">Common Services</w:t>
      </w:r>
    </w:p>
    <w:p>
      <w:r>
        <w:t xml:space="preserve"/>
      </w:r>
    </w:p>
    <w:p>
      <w:r>
        <w:t xml:space="preserve"/>
      </w:r>
    </w:p>
    <w:p>
      <w:r>
        <w:rPr>
          <w:b w:val="true"/>
          <w:bCs w:val="true"/>
          <w:sz w:val="28"/>
          <w:szCs w:val="28"/>
          <w:rFonts w:ascii="Calibri" w:cs="Calibri" w:eastAsia="Calibri" w:hAnsi="Calibri"/>
        </w:rPr>
        <w:t xml:space="preserve">Solution Configuration Details &amp; Pricing</w:t>
      </w:r>
    </w:p>
    <w:p>
      <w:r>
        <w:rPr>
          <w:sz w:val="24"/>
          <w:szCs w:val="24"/>
          <w:rFonts w:ascii="Calibri" w:cs="Calibri" w:eastAsia="Calibri" w:hAnsi="Calibri"/>
        </w:rPr>
        <w:t xml:space="preserve">We are proposing the following configuration based on the customer-provided number of VMs and the VM sizing details</w:t>
      </w:r>
    </w:p>
    <w:p>
      <w:r>
        <w:t xml:space="preserve"/>
      </w:r>
    </w:p>
    <w:p>
      <w:r>
        <w:rPr>
          <w:b w:val="true"/>
          <w:bCs w:val="true"/>
          <w:color w:val="0072c3"/>
          <w:sz w:val="28"/>
          <w:szCs w:val="28"/>
          <w:rFonts w:ascii="Calibri" w:cs="Calibri" w:eastAsia="Calibri" w:hAnsi="Calibri"/>
        </w:rPr>
        <w:t xml:space="preserve">Security</w:t>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tblGrid>
      <w:tr>
        <w:trPr>
          <w:trHeight w:val="100" w:hRule="auto"/>
        </w:trPr>
        <w:tc>
          <w:tcPr>
            <w:tcMar>
              <w:top w:w="100" w:type="dxa"/>
              <w:bottom w:w="100" w:type="dxa"/>
              <w:end w:w="100" w:type="dxa"/>
              <w:start w:w="100" w:type="dxa"/>
            </w:tcMar>
            <w:shd w:fill="bfbfbf"/>
            <w:gridSpan w:val="4"/>
            <w:tcW w:w="55" w:type="pct"/>
          </w:tcPr>
          <w:p>
            <w:pPr>
              <w:jc w:val="left"/>
            </w:pPr>
            <w:r>
              <w:rPr>
                <w:b w:val="true"/>
                <w:bCs w:val="true"/>
                <w:sz w:val="22"/>
                <w:szCs w:val="22"/>
                <w:rFonts w:ascii="Calibri" w:cs="Calibri" w:eastAsia="Calibri" w:hAnsi="Calibri"/>
              </w:rPr>
              <w:t xml:space="preserve">Security</w:t>
            </w:r>
          </w:p>
        </w:tc>
      </w:tr>
      <w:tr>
        <w:trPr>
          <w:trHeight w:val="100" w:hRule="auto"/>
        </w:trPr>
        <w:tc>
          <w:tcPr>
            <w:tcMar>
              <w:top w:w="100" w:type="dxa"/>
              <w:bottom w:w="100" w:type="dxa"/>
              <w:end w:w="100" w:type="dxa"/>
              <w:start w:w="100" w:type="dxa"/>
            </w:tcMar>
            <w:shd w:fill="2f5496"/>
            <w:gridSpan w:val="4"/>
            <w:tcW w:w="55" w:type="pct"/>
          </w:tcPr>
          <w:p>
            <w:pPr>
              <w:jc w:val="left"/>
            </w:pPr>
            <w:r>
              <w:rPr>
                <w:b w:val="true"/>
                <w:bCs w:val="true"/>
                <w:color w:val="f2f2f2"/>
                <w:sz w:val="22"/>
                <w:szCs w:val="22"/>
                <w:rFonts w:ascii="Calibri" w:cs="Calibri" w:eastAsia="Calibri" w:hAnsi="Calibri"/>
              </w:rPr>
              <w:t xml:space="preserve">Security and Compliance Center scc-protect-1</w:t>
            </w:r>
          </w:p>
        </w:tc>
      </w:tr>
      <w:tr>
        <w:trPr>
          <w:trHeight w:val="100" w:hRule="auto"/>
        </w:trPr>
        <w:tc>
          <w:tcPr>
            <w:tcMar>
              <w:top w:w="100" w:type="dxa"/>
              <w:bottom w:w="100" w:type="dxa"/>
              <w:end w:w="100" w:type="dxa"/>
              <w:start w:w="100" w:type="dxa"/>
            </w:tcMar>
            <w:shd w:fill="2f5496"/>
            <w:tcW w:w="55" w:type="pct"/>
          </w:tcPr>
          <w:p>
            <w:pPr>
              <w:jc w:val="center"/>
            </w:pPr>
            <w:r>
              <w:rPr>
                <w:b w:val="true"/>
                <w:bCs w:val="true"/>
                <w:color w:val="f2f2f2"/>
                <w:sz w:val="22"/>
                <w:szCs w:val="22"/>
                <w:rFonts w:ascii="Calibri" w:cs="Calibri" w:eastAsia="Calibri" w:hAnsi="Calibri"/>
              </w:rPr>
              <w:t xml:space="preserve">Item Name</w:t>
            </w:r>
          </w:p>
        </w:tc>
        <w:tc>
          <w:tcPr>
            <w:tcMar>
              <w:top w:w="100" w:type="dxa"/>
              <w:bottom w:w="100" w:type="dxa"/>
              <w:end w:w="100" w:type="dxa"/>
              <w:start w:w="100" w:type="dxa"/>
            </w:tcMar>
            <w:shd w:fill="2f5496"/>
            <w:tcW w:w="18" w:type="pct"/>
          </w:tcPr>
          <w:p>
            <w:pPr>
              <w:jc w:val="center"/>
            </w:pPr>
            <w:r>
              <w:rPr>
                <w:b w:val="true"/>
                <w:bCs w:val="true"/>
                <w:color w:val="f2f2f2"/>
                <w:sz w:val="22"/>
                <w:szCs w:val="22"/>
                <w:rFonts w:ascii="Calibri" w:cs="Calibri" w:eastAsia="Calibri" w:hAnsi="Calibri"/>
              </w:rPr>
              <w:t xml:space="preserve">Unit Price</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Quantity</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Monthly Price</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Number of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Multi Cloud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$18.00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7</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126</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$16.22</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53</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859.7777777777778</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Cloud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7</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Kubernetes/Openshift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Virtual Machines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53</w:t>
            </w:r>
          </w:p>
        </w:tc>
      </w:tr>
    </w:tbl>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rPr>
          <w:trHeight w:val="100" w:hRule="auto"/>
        </w:trPr>
        <w:tc>
          <w:tcPr>
            <w:tcMar>
              <w:top w:w="100" w:type="dxa"/>
              <w:bottom w:w="100" w:type="dxa"/>
              <w:end w:w="100" w:type="dxa"/>
              <w:start w:w="100" w:type="dxa"/>
            </w:tcMar>
            <w:shd w:fill="2f5496"/>
            <w:gridSpan w:val="2"/>
            <w:tcW w:w="55" w:type="pct"/>
          </w:tcPr>
          <w:p>
            <w:pPr>
              <w:jc w:val="left"/>
            </w:pPr>
            <w:r>
              <w:rPr>
                <w:b w:val="true"/>
                <w:bCs w:val="true"/>
                <w:color w:val="f2f2f2"/>
                <w:sz w:val="22"/>
                <w:szCs w:val="22"/>
                <w:rFonts w:ascii="Calibri" w:cs="Calibri" w:eastAsia="Calibri" w:hAnsi="Calibri"/>
              </w:rPr>
              <w:t xml:space="preserve">Associated to</w:t>
            </w:r>
          </w:p>
        </w:tc>
      </w:tr>
      <w:tr>
        <w:trPr>
          <w:trHeight w:val="100" w:hRule="auto"/>
        </w:trPr>
        <w:tc>
          <w:tcPr>
            <w:tcBorders>
              <w:left w:val="outset" w:sz="20" w:color="6fdc8c"/>
            </w:tcBorders>
            <w:tcMar>
              <w:top w:w="100" w:type="dxa"/>
              <w:bottom w:w="100" w:type="dxa"/>
              <w:end w:w="100" w:type="dxa"/>
              <w:start w:w="100" w:type="dxa"/>
            </w:tcMar>
            <w:tcW w:w="55" w:type="pct"/>
          </w:tcPr>
          <w:p>
            <w:pPr>
              <w:jc w:val="left"/>
            </w:pPr>
            <w:r>
              <w:rPr>
                <w:sz w:val="22"/>
                <w:szCs w:val="22"/>
                <w:rFonts w:ascii="Calibri" w:cs="Calibri" w:eastAsia="Calibri" w:hAnsi="Calibri"/>
              </w:rPr>
              <w:t xml:space="preserve">VMware</w:t>
            </w:r>
          </w:p>
        </w:tc>
        <w:tc>
          <w:tcPr>
            <w:tcMar>
              <w:top w:w="100" w:type="dxa"/>
              <w:bottom w:w="100" w:type="dxa"/>
              <w:end w:w="100" w:type="dxa"/>
              <w:start w:w="100" w:type="dxa"/>
            </w:tcMar>
            <w:tcW w:w="55" w:type="pct"/>
          </w:tcPr>
          <w:p>
            <w:pPr>
              <w:jc w:val="left"/>
            </w:pPr>
            <w:r>
              <w:rPr>
                <w:sz w:val="22"/>
                <w:szCs w:val="22"/>
                <w:rFonts w:ascii="Calibri" w:cs="Calibri" w:eastAsia="Calibri" w:hAnsi="Calibri"/>
              </w:rPr>
              <w:t xml:space="preserve">VMware Service Instance 1</w:t>
            </w:r>
          </w:p>
        </w:tc>
      </w:tr>
    </w:tbl>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tblGrid>
      <w:tr>
        <w:trPr>
          <w:trHeight w:val="100" w:hRule="auto"/>
        </w:trPr>
        <w:tc>
          <w:tcPr>
            <w:tcMar>
              <w:top w:w="100" w:type="dxa"/>
              <w:bottom w:w="100" w:type="dxa"/>
              <w:end w:w="100" w:type="dxa"/>
              <w:start w:w="100" w:type="dxa"/>
            </w:tcMar>
            <w:shd w:fill="bfbfbf"/>
            <w:gridSpan w:val="4"/>
            <w:tcW w:w="55" w:type="pct"/>
          </w:tcPr>
          <w:p>
            <w:pPr>
              <w:jc w:val="left"/>
            </w:pPr>
            <w:r>
              <w:rPr>
                <w:b w:val="true"/>
                <w:bCs w:val="true"/>
                <w:sz w:val="22"/>
                <w:szCs w:val="22"/>
                <w:rFonts w:ascii="Calibri" w:cs="Calibri" w:eastAsia="Calibri" w:hAnsi="Calibri"/>
              </w:rPr>
              <w:t xml:space="preserve">Security</w:t>
            </w:r>
          </w:p>
        </w:tc>
      </w:tr>
      <w:tr>
        <w:trPr>
          <w:trHeight w:val="100" w:hRule="auto"/>
        </w:trPr>
        <w:tc>
          <w:tcPr>
            <w:tcMar>
              <w:top w:w="100" w:type="dxa"/>
              <w:bottom w:w="100" w:type="dxa"/>
              <w:end w:w="100" w:type="dxa"/>
              <w:start w:w="100" w:type="dxa"/>
            </w:tcMar>
            <w:shd w:fill="2f5496"/>
            <w:gridSpan w:val="4"/>
            <w:tcW w:w="55" w:type="pct"/>
          </w:tcPr>
          <w:p>
            <w:pPr>
              <w:jc w:val="left"/>
            </w:pPr>
            <w:r>
              <w:rPr>
                <w:b w:val="true"/>
                <w:bCs w:val="true"/>
                <w:color w:val="f2f2f2"/>
                <w:sz w:val="22"/>
                <w:szCs w:val="22"/>
                <w:rFonts w:ascii="Calibri" w:cs="Calibri" w:eastAsia="Calibri" w:hAnsi="Calibri"/>
              </w:rPr>
              <w:t xml:space="preserve">Security and Compliance Center </w:t>
            </w:r>
          </w:p>
        </w:tc>
      </w:tr>
      <w:tr>
        <w:trPr>
          <w:trHeight w:val="100" w:hRule="auto"/>
        </w:trPr>
        <w:tc>
          <w:tcPr>
            <w:tcMar>
              <w:top w:w="100" w:type="dxa"/>
              <w:bottom w:w="100" w:type="dxa"/>
              <w:end w:w="100" w:type="dxa"/>
              <w:start w:w="100" w:type="dxa"/>
            </w:tcMar>
            <w:shd w:fill="2f5496"/>
            <w:tcW w:w="55" w:type="pct"/>
          </w:tcPr>
          <w:p>
            <w:pPr>
              <w:jc w:val="center"/>
            </w:pPr>
            <w:r>
              <w:rPr>
                <w:b w:val="true"/>
                <w:bCs w:val="true"/>
                <w:color w:val="f2f2f2"/>
                <w:sz w:val="22"/>
                <w:szCs w:val="22"/>
                <w:rFonts w:ascii="Calibri" w:cs="Calibri" w:eastAsia="Calibri" w:hAnsi="Calibri"/>
              </w:rPr>
              <w:t xml:space="preserve">Item Name</w:t>
            </w:r>
          </w:p>
        </w:tc>
        <w:tc>
          <w:tcPr>
            <w:tcMar>
              <w:top w:w="100" w:type="dxa"/>
              <w:bottom w:w="100" w:type="dxa"/>
              <w:end w:w="100" w:type="dxa"/>
              <w:start w:w="100" w:type="dxa"/>
            </w:tcMar>
            <w:shd w:fill="2f5496"/>
            <w:tcW w:w="18" w:type="pct"/>
          </w:tcPr>
          <w:p>
            <w:pPr>
              <w:jc w:val="center"/>
            </w:pPr>
            <w:r>
              <w:rPr>
                <w:b w:val="true"/>
                <w:bCs w:val="true"/>
                <w:color w:val="f2f2f2"/>
                <w:sz w:val="22"/>
                <w:szCs w:val="22"/>
                <w:rFonts w:ascii="Calibri" w:cs="Calibri" w:eastAsia="Calibri" w:hAnsi="Calibri"/>
              </w:rPr>
              <w:t xml:space="preserve">Unit Price</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Quantity</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Monthly Price</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Number of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Multi Cloud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Cloud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Kubernetes/Openshift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Virtual Machines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bl>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rPr>
          <w:trHeight w:val="100" w:hRule="auto"/>
        </w:trPr>
        <w:tc>
          <w:tcPr>
            <w:tcMar>
              <w:top w:w="100" w:type="dxa"/>
              <w:bottom w:w="100" w:type="dxa"/>
              <w:end w:w="100" w:type="dxa"/>
              <w:start w:w="100" w:type="dxa"/>
            </w:tcMar>
            <w:shd w:fill="2f5496"/>
            <w:gridSpan w:val="2"/>
            <w:tcW w:w="55" w:type="pct"/>
          </w:tcPr>
          <w:p>
            <w:pPr>
              <w:jc w:val="left"/>
            </w:pPr>
            <w:r>
              <w:rPr>
                <w:b w:val="true"/>
                <w:bCs w:val="true"/>
                <w:color w:val="f2f2f2"/>
                <w:sz w:val="22"/>
                <w:szCs w:val="22"/>
                <w:rFonts w:ascii="Calibri" w:cs="Calibri" w:eastAsia="Calibri" w:hAnsi="Calibri"/>
              </w:rPr>
              <w:t xml:space="preserve">Associated to</w:t>
            </w:r>
          </w:p>
        </w:tc>
      </w:tr>
      <w:tr>
        <w:trPr>
          <w:trHeight w:val="100" w:hRule="auto"/>
        </w:trPr>
        <w:tc>
          <w:tcPr>
            <w:tcBorders>
              <w:left w:val="outset" w:sz="20" w:color="6fdc8c"/>
            </w:tcBorders>
            <w:tcMar>
              <w:top w:w="100" w:type="dxa"/>
              <w:bottom w:w="100" w:type="dxa"/>
              <w:end w:w="100" w:type="dxa"/>
              <w:start w:w="100" w:type="dxa"/>
            </w:tcMar>
            <w:tcW w:w="55" w:type="pct"/>
          </w:tcPr>
          <w:p>
            <w:pPr>
              <w:jc w:val="left"/>
            </w:pPr>
            <w:r>
              <w:rPr>
                <w:sz w:val="22"/>
                <w:szCs w:val="22"/>
                <w:rFonts w:ascii="Calibri" w:cs="Calibri" w:eastAsia="Calibri" w:hAnsi="Calibri"/>
              </w:rPr>
              <w:t xml:space="preserve">VMware</w:t>
            </w:r>
          </w:p>
        </w:tc>
        <w:tc>
          <w:tcPr>
            <w:tcMar>
              <w:top w:w="100" w:type="dxa"/>
              <w:bottom w:w="100" w:type="dxa"/>
              <w:end w:w="100" w:type="dxa"/>
              <w:start w:w="100" w:type="dxa"/>
            </w:tcMar>
            <w:tcW w:w="55" w:type="pct"/>
          </w:tcPr>
          <w:p>
            <w:pPr>
              <w:jc w:val="left"/>
            </w:pPr>
            <w:r>
              <w:rPr>
                <w:sz w:val="22"/>
                <w:szCs w:val="22"/>
                <w:rFonts w:ascii="Calibri" w:cs="Calibri" w:eastAsia="Calibri" w:hAnsi="Calibri"/>
              </w:rPr>
              <w:t xml:space="preserve">VMware Service Instance 1</w:t>
            </w:r>
          </w:p>
        </w:tc>
      </w:tr>
    </w:tbl>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tblGrid>
      <w:tr>
        <w:trPr>
          <w:trHeight w:val="100" w:hRule="auto"/>
        </w:trPr>
        <w:tc>
          <w:tcPr>
            <w:tcMar>
              <w:top w:w="100" w:type="dxa"/>
              <w:bottom w:w="100" w:type="dxa"/>
              <w:end w:w="100" w:type="dxa"/>
              <w:start w:w="100" w:type="dxa"/>
            </w:tcMar>
            <w:shd w:fill="bfbfbf"/>
            <w:gridSpan w:val="4"/>
            <w:tcW w:w="55" w:type="pct"/>
          </w:tcPr>
          <w:p>
            <w:pPr>
              <w:jc w:val="left"/>
            </w:pPr>
            <w:r>
              <w:rPr>
                <w:b w:val="true"/>
                <w:bCs w:val="true"/>
                <w:sz w:val="22"/>
                <w:szCs w:val="22"/>
                <w:rFonts w:ascii="Calibri" w:cs="Calibri" w:eastAsia="Calibri" w:hAnsi="Calibri"/>
              </w:rPr>
              <w:t xml:space="preserve">Security</w:t>
            </w:r>
          </w:p>
        </w:tc>
      </w:tr>
      <w:tr>
        <w:trPr>
          <w:trHeight w:val="100" w:hRule="auto"/>
        </w:trPr>
        <w:tc>
          <w:tcPr>
            <w:tcMar>
              <w:top w:w="100" w:type="dxa"/>
              <w:bottom w:w="100" w:type="dxa"/>
              <w:end w:w="100" w:type="dxa"/>
              <w:start w:w="100" w:type="dxa"/>
            </w:tcMar>
            <w:shd w:fill="2f5496"/>
            <w:gridSpan w:val="4"/>
            <w:tcW w:w="55" w:type="pct"/>
          </w:tcPr>
          <w:p>
            <w:pPr>
              <w:jc w:val="left"/>
            </w:pPr>
            <w:r>
              <w:rPr>
                <w:b w:val="true"/>
                <w:bCs w:val="true"/>
                <w:color w:val="f2f2f2"/>
                <w:sz w:val="22"/>
                <w:szCs w:val="22"/>
                <w:rFonts w:ascii="Calibri" w:cs="Calibri" w:eastAsia="Calibri" w:hAnsi="Calibri"/>
              </w:rPr>
              <w:t xml:space="preserve">Security and Compliance Center SCC-EX_VMware_SingleSite</w:t>
            </w:r>
          </w:p>
        </w:tc>
      </w:tr>
      <w:tr>
        <w:trPr>
          <w:trHeight w:val="100" w:hRule="auto"/>
        </w:trPr>
        <w:tc>
          <w:tcPr>
            <w:tcMar>
              <w:top w:w="100" w:type="dxa"/>
              <w:bottom w:w="100" w:type="dxa"/>
              <w:end w:w="100" w:type="dxa"/>
              <w:start w:w="100" w:type="dxa"/>
            </w:tcMar>
            <w:shd w:fill="2f5496"/>
            <w:tcW w:w="55" w:type="pct"/>
          </w:tcPr>
          <w:p>
            <w:pPr>
              <w:jc w:val="center"/>
            </w:pPr>
            <w:r>
              <w:rPr>
                <w:b w:val="true"/>
                <w:bCs w:val="true"/>
                <w:color w:val="f2f2f2"/>
                <w:sz w:val="22"/>
                <w:szCs w:val="22"/>
                <w:rFonts w:ascii="Calibri" w:cs="Calibri" w:eastAsia="Calibri" w:hAnsi="Calibri"/>
              </w:rPr>
              <w:t xml:space="preserve">Item Name</w:t>
            </w:r>
          </w:p>
        </w:tc>
        <w:tc>
          <w:tcPr>
            <w:tcMar>
              <w:top w:w="100" w:type="dxa"/>
              <w:bottom w:w="100" w:type="dxa"/>
              <w:end w:w="100" w:type="dxa"/>
              <w:start w:w="100" w:type="dxa"/>
            </w:tcMar>
            <w:shd w:fill="2f5496"/>
            <w:tcW w:w="18" w:type="pct"/>
          </w:tcPr>
          <w:p>
            <w:pPr>
              <w:jc w:val="center"/>
            </w:pPr>
            <w:r>
              <w:rPr>
                <w:b w:val="true"/>
                <w:bCs w:val="true"/>
                <w:color w:val="f2f2f2"/>
                <w:sz w:val="22"/>
                <w:szCs w:val="22"/>
                <w:rFonts w:ascii="Calibri" w:cs="Calibri" w:eastAsia="Calibri" w:hAnsi="Calibri"/>
              </w:rPr>
              <w:t xml:space="preserve">Unit Price</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Quantity</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Monthly Price</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Number of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Multi Cloud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$18.00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4</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72</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Cloud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Compute Instances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4</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Kubernetes/Openshift Worker Nodes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VM Node Items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Total Virtual Machines</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w:t>
            </w:r>
          </w:p>
        </w:tc>
      </w:tr>
    </w:tbl>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rPr>
          <w:trHeight w:val="100" w:hRule="auto"/>
        </w:trPr>
        <w:tc>
          <w:tcPr>
            <w:tcMar>
              <w:top w:w="100" w:type="dxa"/>
              <w:bottom w:w="100" w:type="dxa"/>
              <w:end w:w="100" w:type="dxa"/>
              <w:start w:w="100" w:type="dxa"/>
            </w:tcMar>
            <w:shd w:fill="2f5496"/>
            <w:gridSpan w:val="2"/>
            <w:tcW w:w="55" w:type="pct"/>
          </w:tcPr>
          <w:p>
            <w:pPr>
              <w:jc w:val="left"/>
            </w:pPr>
            <w:r>
              <w:rPr>
                <w:b w:val="true"/>
                <w:bCs w:val="true"/>
                <w:color w:val="f2f2f2"/>
                <w:sz w:val="22"/>
                <w:szCs w:val="22"/>
                <w:rFonts w:ascii="Calibri" w:cs="Calibri" w:eastAsia="Calibri" w:hAnsi="Calibri"/>
              </w:rPr>
              <w:t xml:space="preserve">Associated to</w:t>
            </w:r>
          </w:p>
        </w:tc>
      </w:tr>
      <w:tr>
        <w:trPr>
          <w:trHeight w:val="100" w:hRule="auto"/>
        </w:trPr>
        <w:tc>
          <w:tcPr>
            <w:tcBorders>
              <w:left w:val="outset" w:sz="20" w:color="6fdc8c"/>
            </w:tcBorders>
            <w:tcMar>
              <w:top w:w="100" w:type="dxa"/>
              <w:bottom w:w="100" w:type="dxa"/>
              <w:end w:w="100" w:type="dxa"/>
              <w:start w:w="100" w:type="dxa"/>
            </w:tcMar>
            <w:tcW w:w="55" w:type="pct"/>
          </w:tcPr>
          <w:p>
            <w:pPr>
              <w:jc w:val="left"/>
            </w:pPr>
            <w:r>
              <w:rPr>
                <w:sz w:val="22"/>
                <w:szCs w:val="22"/>
                <w:rFonts w:ascii="Calibri" w:cs="Calibri" w:eastAsia="Calibri" w:hAnsi="Calibri"/>
              </w:rPr>
              <w:t xml:space="preserve">VMware</w:t>
            </w:r>
          </w:p>
        </w:tc>
        <w:tc>
          <w:tcPr>
            <w:tcMar>
              <w:top w:w="100" w:type="dxa"/>
              <w:bottom w:w="100" w:type="dxa"/>
              <w:end w:w="100" w:type="dxa"/>
              <w:start w:w="100" w:type="dxa"/>
            </w:tcMar>
            <w:tcW w:w="55" w:type="pct"/>
          </w:tcPr>
          <w:p>
            <w:pPr>
              <w:jc w:val="left"/>
            </w:pPr>
            <w:r>
              <w:rPr>
                <w:sz w:val="22"/>
                <w:szCs w:val="22"/>
                <w:rFonts w:ascii="Calibri" w:cs="Calibri" w:eastAsia="Calibri" w:hAnsi="Calibri"/>
              </w:rPr>
              <w:t xml:space="preserve">VMware Service Instance 1</w:t>
            </w:r>
          </w:p>
        </w:tc>
      </w:tr>
    </w:tbl>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45%"/>
        <w:jc w:val="right"/>
      </w:tblPr>
      <w:tblGrid>
        <w:gridCol w:w="100"/>
        <w:gridCol w:w="100"/>
        <w:gridCol w:w="100"/>
      </w:tblGrid>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List Price</w:t>
            </w:r>
          </w:p>
        </w:tc>
        <w:tc>
          <w:tcPr>
            <w:tcMar>
              <w:top w:w="100" w:type="dxa"/>
              <w:bottom w:w="100" w:type="dxa"/>
              <w:end w:w="100" w:type="dxa"/>
              <w:start w:w="100" w:type="dxa"/>
            </w:tcMar>
          </w:tcPr>
          <w:p>
            <w:r>
              <w:rPr>
                <w:b w:val="true"/>
                <w:bCs w:val="true"/>
                <w:sz w:val="22"/>
                <w:szCs w:val="22"/>
                <w:rFonts w:ascii="Calibri" w:cs="Calibri" w:eastAsia="Calibri" w:hAnsi="Calibri"/>
              </w:rPr>
              <w:t xml:space="preserve">$1,057.78</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0 %</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$1,057.78</w:t>
            </w:r>
          </w:p>
        </w:tc>
      </w:tr>
    </w:tbl>
    <w:p>
      <w:r>
        <w:t xml:space="preserve"/>
      </w:r>
    </w:p>
    <w:p>
      <w:r>
        <w:t xml:space="preserve"/>
      </w:r>
    </w:p>
    <w:p>
      <w:r>
        <w:rPr>
          <w:b w:val="true"/>
          <w:bCs w:val="true"/>
          <w:color w:val="0072c3"/>
          <w:sz w:val="28"/>
          <w:szCs w:val="28"/>
          <w:rFonts w:ascii="Calibri" w:cs="Calibri" w:eastAsia="Calibri" w:hAnsi="Calibri"/>
        </w:rPr>
        <w:t xml:space="preserve">Network</w:t>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tblGrid>
      <w:tr>
        <w:trPr>
          <w:trHeight w:val="100" w:hRule="auto"/>
        </w:trPr>
        <w:tc>
          <w:tcPr>
            <w:tcMar>
              <w:top w:w="100" w:type="dxa"/>
              <w:bottom w:w="100" w:type="dxa"/>
              <w:end w:w="100" w:type="dxa"/>
              <w:start w:w="100" w:type="dxa"/>
            </w:tcMar>
            <w:shd w:fill="bfbfbf"/>
            <w:gridSpan w:val="4"/>
            <w:tcW w:w="55" w:type="pct"/>
          </w:tcPr>
          <w:p>
            <w:pPr>
              <w:jc w:val="left"/>
            </w:pPr>
            <w:r>
              <w:rPr>
                <w:b w:val="true"/>
                <w:bCs w:val="true"/>
                <w:sz w:val="22"/>
                <w:szCs w:val="22"/>
                <w:rFonts w:ascii="Calibri" w:cs="Calibri" w:eastAsia="Calibri" w:hAnsi="Calibri"/>
              </w:rPr>
              <w:t xml:space="preserve">Network</w:t>
            </w:r>
          </w:p>
        </w:tc>
      </w:tr>
      <w:tr>
        <w:trPr>
          <w:trHeight w:val="100" w:hRule="auto"/>
        </w:trPr>
        <w:tc>
          <w:tcPr>
            <w:tcMar>
              <w:top w:w="100" w:type="dxa"/>
              <w:bottom w:w="100" w:type="dxa"/>
              <w:end w:w="100" w:type="dxa"/>
              <w:start w:w="100" w:type="dxa"/>
            </w:tcMar>
            <w:shd w:fill="2f5496"/>
            <w:gridSpan w:val="4"/>
            <w:tcW w:w="55" w:type="pct"/>
          </w:tcPr>
          <w:p>
            <w:pPr>
              <w:jc w:val="left"/>
            </w:pPr>
            <w:r>
              <w:rPr>
                <w:b w:val="true"/>
                <w:bCs w:val="true"/>
                <w:color w:val="f2f2f2"/>
                <w:sz w:val="22"/>
                <w:szCs w:val="22"/>
                <w:rFonts w:ascii="Calibri" w:cs="Calibri" w:eastAsia="Calibri" w:hAnsi="Calibri"/>
              </w:rPr>
              <w:t xml:space="preserve">Transit Gateway NET-EX_VMware_SingleSite</w:t>
            </w:r>
          </w:p>
        </w:tc>
      </w:tr>
      <w:tr>
        <w:trPr>
          <w:trHeight w:val="100" w:hRule="auto"/>
        </w:trPr>
        <w:tc>
          <w:tcPr>
            <w:tcMar>
              <w:top w:w="100" w:type="dxa"/>
              <w:bottom w:w="100" w:type="dxa"/>
              <w:end w:w="100" w:type="dxa"/>
              <w:start w:w="100" w:type="dxa"/>
            </w:tcMar>
            <w:shd w:fill="2f5496"/>
            <w:tcW w:w="55" w:type="pct"/>
          </w:tcPr>
          <w:p>
            <w:pPr>
              <w:jc w:val="center"/>
            </w:pPr>
            <w:r>
              <w:rPr>
                <w:b w:val="true"/>
                <w:bCs w:val="true"/>
                <w:color w:val="f2f2f2"/>
                <w:sz w:val="22"/>
                <w:szCs w:val="22"/>
                <w:rFonts w:ascii="Calibri" w:cs="Calibri" w:eastAsia="Calibri" w:hAnsi="Calibri"/>
              </w:rPr>
              <w:t xml:space="preserve">Item Name</w:t>
            </w:r>
          </w:p>
        </w:tc>
        <w:tc>
          <w:tcPr>
            <w:tcMar>
              <w:top w:w="100" w:type="dxa"/>
              <w:bottom w:w="100" w:type="dxa"/>
              <w:end w:w="100" w:type="dxa"/>
              <w:start w:w="100" w:type="dxa"/>
            </w:tcMar>
            <w:shd w:fill="2f5496"/>
            <w:tcW w:w="18" w:type="pct"/>
          </w:tcPr>
          <w:p>
            <w:pPr>
              <w:jc w:val="center"/>
            </w:pPr>
            <w:r>
              <w:rPr>
                <w:b w:val="true"/>
                <w:bCs w:val="true"/>
                <w:color w:val="f2f2f2"/>
                <w:sz w:val="22"/>
                <w:szCs w:val="22"/>
                <w:rFonts w:ascii="Calibri" w:cs="Calibri" w:eastAsia="Calibri" w:hAnsi="Calibri"/>
              </w:rPr>
              <w:t xml:space="preserve">Unit Price</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Quantity</w:t>
            </w:r>
          </w:p>
        </w:tc>
        <w:tc>
          <w:tcPr>
            <w:tcMar>
              <w:top w:w="100" w:type="dxa"/>
              <w:bottom w:w="100" w:type="dxa"/>
              <w:end w:w="100" w:type="dxa"/>
              <w:start w:w="100" w:type="dxa"/>
            </w:tcMar>
            <w:shd w:fill="2f5496"/>
            <w:tcW w:w="18" w:type="pct"/>
          </w:tcPr>
          <w:p>
            <w:pPr>
              <w:jc w:val="center"/>
            </w:pPr>
            <w:r>
              <w:rPr>
                <w:color w:val="f2f2f2"/>
                <w:sz w:val="22"/>
                <w:szCs w:val="22"/>
                <w:rFonts w:ascii="Calibri" w:cs="Calibri" w:eastAsia="Calibri" w:hAnsi="Calibri"/>
              </w:rPr>
              <w:t xml:space="preserve">Monthly Price</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Direct Link connection</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$20.90000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2</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$0.00</w:t>
            </w:r>
          </w:p>
        </w:tc>
      </w:tr>
      <w:tr>
        <w:trPr>
          <w:trHeight w:val="100" w:hRule="auto"/>
        </w:trPr>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Global Egress Data (GB) per month</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$0.02090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10</w:t>
            </w:r>
          </w:p>
        </w:tc>
        <w:tc>
          <w:tcPr>
            <w:tcMar>
              <w:top w:w="100" w:type="dxa"/>
              <w:bottom w:w="100" w:type="dxa"/>
              <w:end w:w="100" w:type="dxa"/>
              <w:start w:w="100" w:type="dxa"/>
            </w:tcMar>
            <w:tcW w:w="18" w:type="pct"/>
          </w:tcPr>
          <w:p>
            <w:pPr>
              <w:jc w:val="left"/>
            </w:pPr>
            <w:r>
              <w:rPr>
                <w:sz w:val="22"/>
                <w:szCs w:val="22"/>
                <w:rFonts w:ascii="Calibri" w:cs="Calibri" w:eastAsia="Calibri" w:hAnsi="Calibri"/>
              </w:rPr>
              <w:t xml:space="preserve">$0.21</w:t>
            </w:r>
          </w:p>
        </w:tc>
      </w:tr>
    </w:tbl>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rPr>
          <w:trHeight w:val="100" w:hRule="auto"/>
        </w:trPr>
        <w:tc>
          <w:tcPr>
            <w:tcMar>
              <w:top w:w="100" w:type="dxa"/>
              <w:bottom w:w="100" w:type="dxa"/>
              <w:end w:w="100" w:type="dxa"/>
              <w:start w:w="100" w:type="dxa"/>
            </w:tcMar>
            <w:shd w:fill="2f5496"/>
            <w:gridSpan w:val="2"/>
            <w:tcW w:w="55" w:type="pct"/>
          </w:tcPr>
          <w:p>
            <w:pPr>
              <w:jc w:val="left"/>
            </w:pPr>
            <w:r>
              <w:rPr>
                <w:b w:val="true"/>
                <w:bCs w:val="true"/>
                <w:color w:val="f2f2f2"/>
                <w:sz w:val="22"/>
                <w:szCs w:val="22"/>
                <w:rFonts w:ascii="Calibri" w:cs="Calibri" w:eastAsia="Calibri" w:hAnsi="Calibri"/>
              </w:rPr>
              <w:t xml:space="preserve">Associated to</w:t>
            </w:r>
          </w:p>
        </w:tc>
      </w:tr>
      <w:tr>
        <w:trPr>
          <w:trHeight w:val="100" w:hRule="auto"/>
        </w:trPr>
        <w:tc>
          <w:tcPr>
            <w:tcBorders>
              <w:left w:val="outset" w:sz="20" w:color="6fdc8c"/>
            </w:tcBorders>
            <w:tcMar>
              <w:top w:w="100" w:type="dxa"/>
              <w:bottom w:w="100" w:type="dxa"/>
              <w:end w:w="100" w:type="dxa"/>
              <w:start w:w="100" w:type="dxa"/>
            </w:tcMar>
            <w:tcW w:w="55" w:type="pct"/>
          </w:tcPr>
          <w:p>
            <w:pPr>
              <w:jc w:val="left"/>
            </w:pPr>
            <w:r>
              <w:rPr>
                <w:sz w:val="22"/>
                <w:szCs w:val="22"/>
                <w:rFonts w:ascii="Calibri" w:cs="Calibri" w:eastAsia="Calibri" w:hAnsi="Calibri"/>
              </w:rPr>
              <w:t xml:space="preserve">VMware</w:t>
            </w:r>
          </w:p>
        </w:tc>
        <w:tc>
          <w:tcPr>
            <w:tcMar>
              <w:top w:w="100" w:type="dxa"/>
              <w:bottom w:w="100" w:type="dxa"/>
              <w:end w:w="100" w:type="dxa"/>
              <w:start w:w="100" w:type="dxa"/>
            </w:tcMar>
            <w:tcW w:w="55" w:type="pct"/>
          </w:tcPr>
          <w:p>
            <w:pPr>
              <w:jc w:val="left"/>
            </w:pPr>
            <w:r>
              <w:rPr>
                <w:sz w:val="22"/>
                <w:szCs w:val="22"/>
                <w:rFonts w:ascii="Calibri" w:cs="Calibri" w:eastAsia="Calibri" w:hAnsi="Calibri"/>
              </w:rPr>
              <w:t xml:space="preserve">VMware Service Instance 1</w:t>
            </w:r>
          </w:p>
        </w:tc>
      </w:tr>
    </w:tbl>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45%"/>
        <w:jc w:val="right"/>
      </w:tblPr>
      <w:tblGrid>
        <w:gridCol w:w="100"/>
        <w:gridCol w:w="100"/>
        <w:gridCol w:w="100"/>
      </w:tblGrid>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List Price</w:t>
            </w:r>
          </w:p>
        </w:tc>
        <w:tc>
          <w:tcPr>
            <w:tcMar>
              <w:top w:w="100" w:type="dxa"/>
              <w:bottom w:w="100" w:type="dxa"/>
              <w:end w:w="100" w:type="dxa"/>
              <w:start w:w="100" w:type="dxa"/>
            </w:tcMar>
          </w:tcPr>
          <w:p>
            <w:r>
              <w:rPr>
                <w:b w:val="true"/>
                <w:bCs w:val="true"/>
                <w:sz w:val="22"/>
                <w:szCs w:val="22"/>
                <w:rFonts w:ascii="Calibri" w:cs="Calibri" w:eastAsia="Calibri" w:hAnsi="Calibri"/>
              </w:rPr>
              <w:t xml:space="preserve">$0.21</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0 %</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$0.21</w:t>
            </w:r>
          </w:p>
        </w:tc>
      </w:tr>
    </w:tbl>
    <w:p>
      <w:r>
        <w:rPr>
          <w:b w:val="true"/>
          <w:bCs w:val="true"/>
          <w:sz w:val="28"/>
          <w:szCs w:val="28"/>
          <w:rFonts w:ascii="Calibri" w:cs="Calibri" w:eastAsia="Calibri" w:hAnsi="Calibri"/>
        </w:rPr>
        <w:t xml:space="preserve">Total monthly price of Common Services:</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45%"/>
        <w:jc w:val="right"/>
      </w:tblPr>
      <w:tblGrid>
        <w:gridCol w:w="100"/>
        <w:gridCol w:w="100"/>
        <w:gridCol w:w="100"/>
      </w:tblGrid>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List Price</w:t>
            </w:r>
          </w:p>
        </w:tc>
        <w:tc>
          <w:tcPr>
            <w:tcMar>
              <w:top w:w="100" w:type="dxa"/>
              <w:bottom w:w="100" w:type="dxa"/>
              <w:end w:w="100" w:type="dxa"/>
              <w:start w:w="100" w:type="dxa"/>
            </w:tcMar>
          </w:tcPr>
          <w:p>
            <w:r>
              <w:rPr>
                <w:b w:val="true"/>
                <w:bCs w:val="true"/>
                <w:sz w:val="22"/>
                <w:szCs w:val="22"/>
                <w:rFonts w:ascii="Calibri" w:cs="Calibri" w:eastAsia="Calibri" w:hAnsi="Calibri"/>
              </w:rPr>
              <w:t xml:space="preserve">$1,057.99</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0 %</w:t>
            </w:r>
          </w:p>
        </w:tc>
      </w:tr>
      <w:tr>
        <w:trPr>
          <w:trHeight w:val="100" w:hRule="auto"/>
        </w:trPr>
        <w:tc>
          <w:tcPr>
            <w:tcBorders>
              <w:top w:val="none" w:sz="0" w:color="ffffff"/>
              <w:bottom w:val="none" w:sz="0" w:color="ffffff"/>
              <w:left w:val="none" w:sz="0" w:color="ffffff"/>
              <w:right w:val="none" w:sz="0" w:color="ffffff"/>
            </w:tcBorders>
            <w:tcMar>
              <w:top w:w="100" w:type="dxa"/>
              <w:bottom w:w="100" w:type="dxa"/>
              <w:end w:w="100" w:type="dxa"/>
              <w:start w:w="100" w:type="dxa"/>
            </w:tcMar>
            <w:gridSpan w:val="1"/>
          </w:tcPr>
          <w:p>
            <w:r>
              <w:rPr>
                <w:sz w:val="22"/>
                <w:szCs w:val="22"/>
                <w:rFonts w:ascii="Calibri" w:cs="Calibri" w:eastAsia="Calibri" w:hAnsi="Calibri"/>
              </w:rPr>
              <w:t xml:space="preserve"/>
            </w:r>
          </w:p>
        </w:tc>
        <w:tc>
          <w:tcPr>
            <w:tcMar>
              <w:top w:w="100" w:type="dxa"/>
              <w:bottom w:w="20" w:type="dxa"/>
              <w:end w:w="100" w:type="dxa"/>
              <w:start w:w="100" w:type="dxa"/>
            </w:tcMar>
          </w:tcPr>
          <w:p>
            <w:r>
              <w:rPr>
                <w:b w:val="true"/>
                <w:bCs w:val="true"/>
                <w:sz w:val="22"/>
                <w:szCs w:val="22"/>
                <w:rFonts w:ascii="Calibri" w:cs="Calibri" w:eastAsia="Calibri" w:hAnsi="Calibri"/>
              </w:rPr>
              <w:t xml:space="preserve">Total After Discount</w:t>
            </w:r>
          </w:p>
        </w:tc>
        <w:tc>
          <w:tcPr>
            <w:tcMar>
              <w:top w:w="100" w:type="dxa"/>
              <w:bottom w:w="100" w:type="dxa"/>
              <w:end w:w="100" w:type="dxa"/>
              <w:start w:w="100" w:type="dxa"/>
            </w:tcMar>
          </w:tcPr>
          <w:p>
            <w:r>
              <w:rPr>
                <w:b w:val="true"/>
                <w:bCs w:val="true"/>
                <w:sz w:val="22"/>
                <w:szCs w:val="22"/>
                <w:rFonts w:ascii="Calibri" w:cs="Calibri" w:eastAsia="Calibri" w:hAnsi="Calibri"/>
              </w:rPr>
              <w:t xml:space="preserve">$1,057.99</w:t>
            </w:r>
          </w:p>
        </w:tc>
      </w:tr>
    </w:tbl>
    <w:p>
      <w:pPr>
        <w:sectPr>
          <w:pgSz w:w="11906" w:h="16838" w:orient="portrait"/>
          <w:pgMar w:top="1440" w:right="1440" w:bottom="1440" w:left="1440" w:header="708" w:footer="708" w:gutter="0" w:mirrorMargins="false"/>
          <w:cols w:space="708" w:num="1"/>
          <w:docGrid w:linePitch="360"/>
          <w:headerReference w:type="default" r:id="rId13"/>
          <w:footerReference w:type="default" r:id="rId14"/>
        </w:sectPr>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jc w:val="left"/>
      </w:tblPr>
      <w:tblGrid>
        <w:gridCol w:w="100"/>
      </w:tblGrid>
      <w:tr>
        <w:trPr>
          <w:trHeight w:val="100" w:hRule="auto"/>
        </w:trPr>
        <w:tc>
          <w:tcPr>
            <w:tcMar>
              <w:top w:w="100" w:type="dxa"/>
              <w:bottom w:w="100" w:type="dxa"/>
              <w:end w:w="100" w:type="dxa"/>
              <w:start w:w="100" w:type="dxa"/>
            </w:tcMar>
            <w:shd w:fill="2f5496"/>
            <w:gridSpan w:val="4"/>
          </w:tcPr>
          <w:p>
            <w:r>
              <w:rPr>
                <w:b w:val="true"/>
                <w:bCs w:val="true"/>
                <w:color w:val="f2f2f2"/>
                <w:sz w:val="22"/>
                <w:szCs w:val="22"/>
                <w:rFonts w:ascii="Calibri" w:cs="Calibri" w:eastAsia="Calibri" w:hAnsi="Calibri"/>
              </w:rPr>
              <w:t xml:space="preserve">Total Monthly Price of this Solution:</w:t>
            </w:r>
          </w:p>
        </w:tc>
      </w:tr>
      <w:tr>
        <w:trPr>
          <w:trHeight w:val="100" w:hRule="auto"/>
        </w:trPr>
        <w:tc>
          <w:tcPr>
            <w:tcMar>
              <w:top w:w="100" w:type="dxa"/>
              <w:bottom w:w="100" w:type="dxa"/>
              <w:end w:w="100" w:type="dxa"/>
              <w:start w:w="100" w:type="dxa"/>
            </w:tcMar>
          </w:tcPr>
          <w:p>
            <w:r>
              <w:rPr>
                <w:b w:val="true"/>
                <w:bCs w:val="true"/>
                <w:sz w:val="22"/>
                <w:szCs w:val="22"/>
                <w:rFonts w:ascii="Calibri" w:cs="Calibri" w:eastAsia="Calibri" w:hAnsi="Calibri"/>
              </w:rPr>
              <w:t xml:space="preserve">$48,069.99</w:t>
            </w:r>
          </w:p>
        </w:tc>
      </w:tr>
    </w:tbl>
    <w:p>
      <w:r>
        <w:t xml:space="preserve"/>
      </w:r>
    </w:p>
    <w:p>
      <w:r>
        <w:t xml:space="preserve"/>
      </w:r>
    </w:p>
    <w:p>
      <w:pPr>
        <w:sectPr>
          <w:pgSz w:w="11906" w:h="16838" w:orient="portrait"/>
          <w:pgMar w:top="1440" w:right="1440" w:bottom="1440" w:left="1440" w:header="708" w:footer="708" w:gutter="0" w:mirrorMargins="false"/>
          <w:cols w:space="708" w:num="1"/>
          <w:docGrid w:linePitch="360"/>
          <w:headerReference w:type="default" r:id="rId15"/>
          <w:footerReference w:type="default" r:id="rId16"/>
        </w:sectPr>
      </w:pPr>
    </w:p>
    <w:p>
      <w:r>
        <w:t xml:space="preserve"/>
      </w:r>
    </w:p>
    <w:p>
      <w:r>
        <w:rPr>
          <w:b w:val="true"/>
          <w:bCs w:val="true"/>
          <w:sz w:val="24"/>
          <w:szCs w:val="24"/>
          <w:rFonts w:ascii="Times New Roman" w:cs="Times New Roman" w:eastAsia="Times New Roman" w:hAnsi="Times New Roman"/>
        </w:rPr>
        <w:t xml:space="preserve">Cloud Services Agreement and Service Description</w:t>
      </w:r>
    </w:p>
    <w:p>
      <w:pPr>
        <w:pBdr>
          <w:bottom w:color="auto" w:space="1" w:val="single" w:sz="6"/>
        </w:pBdr>
      </w:pPr>
    </w:p>
    <w:p>
      <w:r>
        <w:rPr>
          <w:sz w:val="22"/>
          <w:szCs w:val="22"/>
          <w:rFonts w:ascii="Calibri" w:cs="Calibri" w:eastAsia="Calibri" w:hAnsi="Calibri"/>
        </w:rPr>
        <w:t xml:space="preserve">Doing business with IBM Cloud is easy. Short and simple IBM Cloud Services Agreement with IBM Cloud Services Description is all this is needed.</w:t>
      </w:r>
    </w:p>
    <w:p>
      <w:pPr>
        <w:pStyle w:val="size11"/>
      </w:pPr>
      <w:r>
        <w:rPr>
          <w:sz w:val="22"/>
          <w:szCs w:val="22"/>
          <w:rFonts w:ascii="Calibri" w:cs="Calibri" w:eastAsia="Calibri" w:hAnsi="Calibri"/>
        </w:rPr>
        <w:t xml:space="preserve">	•  IBM Cloud Services Agreement: </w:t>
      </w:r>
      <w:hyperlink w:history="1" r:id="rIdxf05rfghrd">
        <w:r>
          <w:rPr>
            <w:rStyle w:val="Hyperlink"/>
          </w:rPr>
          <w:t xml:space="preserve">https://www.ibm.com/support/customer/csol/terms/</w:t>
        </w:r>
      </w:hyperlink>
    </w:p>
    <w:p>
      <w:pPr>
        <w:pStyle w:val="size11"/>
      </w:pPr>
      <w:r>
        <w:rPr>
          <w:sz w:val="22"/>
          <w:szCs w:val="22"/>
          <w:rFonts w:ascii="Calibri" w:cs="Calibri" w:eastAsia="Calibri" w:hAnsi="Calibri"/>
        </w:rPr>
        <w:t xml:space="preserve">	•  IBM Cloud Service Description: </w:t>
      </w:r>
      <w:hyperlink w:history="1" r:id="rIdu1wznpj-mj">
        <w:r>
          <w:rPr>
            <w:rStyle w:val="Hyperlink"/>
          </w:rPr>
          <w:t xml:space="preserve">https://www-03.ibm.com/software/sla/sladb.nsf/sla/bm</w:t>
        </w:r>
      </w:hyperlink>
    </w:p>
    <w:p>
      <w:r>
        <w:t xml:space="preserve"/>
      </w:r>
    </w:p>
    <w:p>
      <w:pPr>
        <w:pStyle w:val="size11"/>
      </w:pPr>
      <w:r>
        <w:rPr>
          <w:sz w:val="22"/>
          <w:szCs w:val="22"/>
          <w:rFonts w:ascii="Calibri" w:cs="Calibri" w:eastAsia="Calibri" w:hAnsi="Calibri"/>
        </w:rPr>
        <w:t xml:space="preserve">Basic support is included at no extra charge, including 24x7 phone access to IBM Cloud support personnel. Additional tiered support options and details available at: </w:t>
      </w:r>
      <w:hyperlink w:history="1" r:id="rIdyf8hbi6wmq">
        <w:r>
          <w:rPr>
            <w:rStyle w:val="Hyperlink"/>
          </w:rPr>
          <w:t xml:space="preserve">https://www.ibm.com/cloud/support</w:t>
        </w:r>
      </w:hyperlink>
    </w:p>
    <w:p>
      <w:r>
        <w:t xml:space="preserve"/>
      </w:r>
    </w:p>
    <w:p>
      <w:pPr>
        <w:pStyle w:val="size11"/>
      </w:pPr>
      <w:r>
        <w:rPr>
          <w:sz w:val="22"/>
          <w:szCs w:val="22"/>
          <w:rFonts w:ascii="Calibri" w:cs="Calibri" w:eastAsia="Calibri" w:hAnsi="Calibri"/>
        </w:rPr>
        <w:t xml:space="preserve">Optional migration services from the IBM Cloud Migrations Services team are available in bundled offerings. Migration options and details available at: </w:t>
      </w:r>
      <w:hyperlink w:history="1" r:id="rIdfutntuztqh">
        <w:r>
          <w:rPr>
            <w:rStyle w:val="Hyperlink"/>
          </w:rPr>
          <w:t xml:space="preserve">https://www.ibm.com/services/cloud/migration</w:t>
        </w:r>
      </w:hyperlink>
    </w:p>
    <w:p>
      <w:pPr>
        <w:sectPr>
          <w:pgSz w:w="11906" w:h="16838" w:orient="portrait"/>
          <w:pgMar w:top="1440" w:right="1440" w:bottom="1440" w:left="1440" w:header="708" w:footer="708" w:gutter="0" w:mirrorMargins="false"/>
          <w:cols w:space="708" w:num="1"/>
          <w:docGrid w:linePitch="360"/>
          <w:headerReference w:type="default" r:id="rId17"/>
          <w:footerReference w:type="default" r:id="rId18"/>
        </w:sectPr>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val="none" w:sz="0" w:color="ffffff"/>
              <w:bottom w:val="none" w:sz="0" w:color="ffffff"/>
              <w:left w:val="none" w:sz="0" w:color="ffffff"/>
              <w:right w:val="none" w:sz="0" w:color="ffffff"/>
            </w:tcBorders>
            <w:tcMar>
              <w:top w:w="0" w:type="dxa"/>
              <w:bottom w:w="0" w:type="dxa"/>
              <w:end w:w="0" w:type="dxa"/>
              <w:start w:w="0" w:type="dxa"/>
            </w:tcMar>
            <w:tcW w:w="50" w:type="pct"/>
          </w:tcPr>
          <w:p>
            <w:r>
              <w:rPr>
                <w:b w:val="true"/>
                <w:bCs w:val="true"/>
                <w:sz w:val="22"/>
                <w:szCs w:val="22"/>
                <w:rFonts w:ascii="Calibri" w:cs="Calibri" w:eastAsia="Calibri" w:hAnsi="Calibri"/>
              </w:rPr>
              <w:t xml:space="preserve">IBM Cloud</w:t>
            </w:r>
          </w:p>
          <w:p>
            <w:r>
              <w:rPr>
                <w:sz w:val="22"/>
                <w:szCs w:val="22"/>
                <w:rFonts w:ascii="Calibri" w:cs="Calibri" w:eastAsia="Calibri" w:hAnsi="Calibri"/>
              </w:rPr>
              <w:t xml:space="preserve">Solution Brief</w:t>
            </w:r>
          </w:p>
        </w:tc>
        <w:tc>
          <w:tcPr>
            <w:tcBorders>
              <w:top w:val="none" w:sz="0" w:color="ffffff"/>
              <w:bottom w:val="none" w:sz="0" w:color="ffffff"/>
              <w:left w:val="none" w:sz="0" w:color="ffffff"/>
              <w:right w:val="none" w:sz="0" w:color="ffffff"/>
            </w:tcBorders>
            <w:tcMar>
              <w:top w:w="0" w:type="dxa"/>
              <w:bottom w:w="0" w:type="dxa"/>
              <w:end w:w="0" w:type="dxa"/>
              <w:start w:w="0" w:type="dxa"/>
            </w:tcMar>
            <w:tcW w:w="50" w:type="pct"/>
          </w:tcPr>
          <w:p>
            <w:pPr>
              <w:jc w:val="right"/>
            </w:pPr>
            <w:r>
              <w:rPr>
                <w:rFonts w:ascii="Calibri" w:cs="Calibri" w:eastAsia="Calibri" w:hAnsi="Calibri"/>
              </w:rPr>
              <w:r>
                <w:drawing>
                  <wp:inline distT="0" distB="0" distL="0" distR="0">
                    <wp:extent cx="660797" cy="2464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1" cstate="none"/>
                            <a:srcRect/>
                            <a:stretch>
                              <a:fillRect/>
                            </a:stretch>
                          </pic:blipFill>
                          <pic:spPr bwMode="auto">
                            <a:xfrm>
                              <a:ext cx="660797" cy="246459"/>
                              <a:off x="0" y="0"/>
                            </a:xfrm>
                            <a:prstGeom prst="rect">
                              <a:avLst/>
                            </a:prstGeom>
                          </pic:spPr>
                        </pic:pic>
                      </a:graphicData>
                    </a:graphic>
                  </wp:inline>
                </w:drawing>
              </w:r>
            </w:r>
          </w:p>
        </w:tc>
      </w:tr>
    </w:tbl>
    <w:p>
      <w:pPr>
        <w:pBdr>
          <w:bottom w:color="auto" w:space="1" w:val="single" w:sz="6"/>
        </w:pBdr>
      </w:pPr>
    </w:p>
    <w:p>
      <w:r>
        <w:t xml:space="preserve"/>
      </w:r>
    </w:p>
    <w:p>
      <w:r>
        <w:rPr>
          <w:color w:val="9b9898"/>
          <w:sz w:val="18"/>
          <w:szCs w:val="18"/>
          <w:rFonts w:ascii="Calibri" w:cs="Calibri" w:eastAsia="Calibri" w:hAnsi="Calibri"/>
        </w:rPr>
        <w:t xml:space="preserve">© Copyright IBM Corporation 2025.</w:t>
      </w:r>
    </w:p>
    <w:p>
      <w:r>
        <w:t xml:space="preserve"/>
      </w:r>
    </w:p>
    <w:p>
      <w:pPr>
        <w:pStyle w:val="size9"/>
      </w:pPr>
      <w:r>
        <w:rPr>
          <w:color w:val="9b9898"/>
          <w:sz w:val="18"/>
          <w:szCs w:val="18"/>
          <w:rFonts w:ascii="Calibri" w:cs="Calibri" w:eastAsia="Calibri" w:hAnsi="Calibri"/>
        </w:rPr>
        <w:t xml:space="preserve">IBM, the IBM logo, and ibm.com are trademarks of International Business Machines Corp., registered in many jurisdictions worldwide. Other product and service names might be trademarks of IBM or other companies. A current list of IBM trademarks is available on the Web at </w:t>
      </w:r>
      <w:r>
        <w:rPr>
          <w:sz w:val="22"/>
          <w:szCs w:val="22"/>
          <w:rFonts w:ascii="Calibri" w:cs="Calibri" w:eastAsia="Calibri" w:hAnsi="Calibri"/>
        </w:rPr>
        <w:t xml:space="preserve">.</w:t>
      </w:r>
    </w:p>
    <w:p>
      <w:r>
        <w:t xml:space="preserve"/>
      </w:r>
    </w:p>
    <w:p>
      <w:r>
        <w:rPr>
          <w:color w:val="9b9898"/>
          <w:sz w:val="18"/>
          <w:szCs w:val="18"/>
          <w:rFonts w:ascii="Calibri" w:cs="Calibri" w:eastAsia="Calibri" w:hAnsi="Calibri"/>
        </w:rPr>
        <w:t xml:space="preserve">This document contains information pertaining to the following IBM products which are trademarks and/or registered trademarks of IBM Corporation:</w:t>
      </w:r>
    </w:p>
    <w:p>
      <w:r>
        <w:rPr>
          <w:color w:val="9b9898"/>
          <w:sz w:val="18"/>
          <w:szCs w:val="18"/>
          <w:rFonts w:ascii="Calibri" w:cs="Calibri" w:eastAsia="Calibri" w:hAnsi="Calibri"/>
        </w:rPr>
        <w:t xml:space="preserve">IBM Cloud</w:t>
      </w:r>
    </w:p>
    <w:p>
      <w:r>
        <w:t xml:space="preserve"/>
      </w:r>
    </w:p>
    <w:p>
      <w:pPr>
        <w:pBdr>
          <w:bottom w:color="auto" w:space="1" w:val="single" w:sz="6"/>
        </w:pBdr>
      </w:pPr>
    </w:p>
    <w:p>
      <w:r>
        <w:t xml:space="preserve"/>
      </w:r>
    </w:p>
    <w:p>
      <w:r>
        <w:drawing>
          <wp:inline distT="0" distB="0" distL="0" distR="0">
            <wp:extent cx="660797" cy="25360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7" cstate="none"/>
                    <a:srcRect/>
                    <a:stretch>
                      <a:fillRect/>
                    </a:stretch>
                  </pic:blipFill>
                  <pic:spPr bwMode="auto">
                    <a:xfrm>
                      <a:ext cx="660797" cy="253603"/>
                      <a:off x="0" y="0"/>
                    </a:xfrm>
                    <a:prstGeom prst="rect">
                      <a:avLst/>
                    </a:prstGeom>
                  </pic:spPr>
                </pic:pic>
              </a:graphicData>
            </a:graphic>
          </wp:inline>
        </w:drawing>
      </w:r>
    </w:p>
    <w:p>
      <w:r>
        <w:t xml:space="preserve"/>
      </w:r>
    </w:p>
    <w:p>
      <w:r>
        <w:t xml:space="preserve"/>
      </w:r>
    </w:p>
    <w:p>
      <w:r>
        <w:rPr>
          <w:color w:val="9b9898"/>
          <w:sz w:val="18"/>
          <w:szCs w:val="18"/>
          <w:rFonts w:ascii="Calibri" w:cs="Calibri" w:eastAsia="Calibri" w:hAnsi="Calibri"/>
        </w:rPr>
        <w:t xml:space="preserve">All statements regarding IBM's future direction and intent are subject to change or withdrawal without notice, and represent goals and objectives only.</w:t>
      </w:r>
    </w:p>
    <w:sectPr>
      <w:pgSz w:w="11906" w:h="16838" w:orient="portrait"/>
      <w:pgMar w:top="1440" w:right="1440" w:bottom="1440" w:left="1440" w:header="708" w:footer="708" w:gutter="0" w:mirrorMargins="false"/>
      <w:cols w:space="708" w:num="1"/>
      <w:docGrid w:linePitch="360"/>
      <w:headerReference w:type="default" r:id="rId19"/>
      <w:footerReference w:type="default" r:id="rId2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sz w:val="36"/>
        <w:szCs w:val="36"/>
        <w:rFonts w:ascii="Times New Roman" w:cs="Times New Roman" w:eastAsia="Times New Roman" w:hAnsi="Times New Roman"/>
      </w:rPr>
      <w:t xml:space="preserve">IBM Cloud for VMware Solutions Proposal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sz w:val="36"/>
        <w:szCs w:val="36"/>
        <w:rFonts w:ascii="Times New Roman" w:cs="Times New Roman" w:eastAsia="Times New Roman" w:hAnsi="Times New Roman"/>
      </w:rPr>
      <w:t xml:space="preserve">IBM Cloud for VMware Solutions Proposal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sz w:val="36"/>
        <w:szCs w:val="36"/>
        <w:rFonts w:ascii="Times New Roman" w:cs="Times New Roman" w:eastAsia="Times New Roman" w:hAnsi="Times New Roman"/>
      </w:rPr>
      <w:t xml:space="preserve">IBM Cloud for VMware Solutions Proposal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sz w:val="36"/>
        <w:szCs w:val="36"/>
        <w:rFonts w:ascii="Times New Roman" w:cs="Times New Roman" w:eastAsia="Times New Roman" w:hAnsi="Times New Roman"/>
      </w:rPr>
      <w:t xml:space="preserve">IBM Cloud for VMware Solutions Proposal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drawing>
        <wp:inline distT="0" distB="0" distL="0" distR="0">
          <wp:extent cx="1968103" cy="2286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968103" cy="228600"/>
                    <a:off x="0" y="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drawing>
        <wp:inline distT="0" distB="0" distL="0" distR="0">
          <wp:extent cx="1968103" cy="2286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968103" cy="228600"/>
                    <a:off x="0" y="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drawing>
        <wp:inline distT="0" distB="0" distL="0" distR="0">
          <wp:extent cx="1968103" cy="2286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968103" cy="228600"/>
                    <a:off x="0" y="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decimalEnclosedFullstop"/>
      <w:lvlText w:val="%1"/>
      <w:pPr>
        <w:ind w:left="720" w:hanging="260"/>
      </w:pPr>
      <w:rPr>
        <w:sz w:val="18"/>
        <w:szCs w:val="18"/>
        <w:rFonts w:ascii="Calibri" w:cs="Calibri" w:eastAsia="Calibri" w:hAnsi="Calibri"/>
      </w:r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default">
    <w:name w:val="default"/>
    <w:rPr>
      <w:sz w:val="22"/>
      <w:szCs w:val="22"/>
      <w:rFonts w:ascii="Calibri" w:cs="Calibri" w:eastAsia="Calibri" w:hAnsi="Calibri"/>
    </w:rPr>
    <w:basedOn w:val="Normal"/>
    <w:next w:val="Normal"/>
    <w:qFormat/>
  </w:style>
  <w:style w:type="paragraph" w:styleId="size9">
    <w:name w:val="size9"/>
    <w:rPr>
      <w:sz w:val="18"/>
      <w:szCs w:val="18"/>
      <w:rFonts w:ascii="Calibri" w:cs="Calibri" w:eastAsia="Calibri" w:hAnsi="Calibri"/>
    </w:rPr>
    <w:basedOn w:val="Normal"/>
    <w:next w:val="Normal"/>
    <w:qFormat/>
  </w:style>
  <w:style w:type="paragraph" w:styleId="size11">
    <w:name w:val="size11"/>
    <w:rPr>
      <w:sz w:val="22"/>
      <w:szCs w:val="22"/>
      <w:rFonts w:ascii="Calibri" w:cs="Calibri" w:eastAsia="Calibri" w:hAnsi="Calibri"/>
    </w:rPr>
    <w:basedOn w:val="Normal"/>
    <w:next w:val="Normal"/>
    <w:qFormat/>
  </w:style>
  <w:style w:type="paragraph" w:styleId="size12">
    <w:name w:val="size12"/>
    <w:rPr>
      <w:sz w:val="24"/>
      <w:szCs w:val="24"/>
      <w:rFonts w:ascii="Calibri" w:cs="Calibri" w:eastAsia="Calibri" w:hAnsi="Calibri"/>
    </w:rPr>
    <w:basedOn w:val="Normal"/>
    <w:next w:val="Normal"/>
    <w:qFormat/>
  </w:style>
  <w:style w:type="paragraph" w:styleId="size14NoUnderline">
    <w:name w:val="size14NoUnderline"/>
    <w:rPr>
      <w:u w:val="words" w:color="ffffff"/>
      <w:sz w:val="28"/>
      <w:szCs w:val="28"/>
      <w:rFonts w:ascii="Calibri" w:cs="Calibri" w:eastAsia="Calibri" w:hAnsi="Calibri"/>
    </w:rPr>
    <w:basedOn w:val="Normal"/>
    <w:next w:val="Normal"/>
    <w:qFormat/>
  </w:style>
  <w:style w:type="paragraph" w:styleId="size11NoUnderline">
    <w:name w:val="size11NoUnderline"/>
    <w:rPr>
      <w:u w:val="words" w:color="ffffff"/>
      <w:sz w:val="22"/>
      <w:szCs w:val="22"/>
      <w:rFonts w:ascii="Calibri" w:cs="Calibri" w:eastAsia="Calibri" w:hAnsi="Calibri"/>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jz1aoyjlt" Type="http://schemas.openxmlformats.org/officeDocument/2006/relationships/hyperlink" Target="https://www.ibm.com/cloud/architecture/architectures/virtualizationArchitecture" TargetMode="External"/><Relationship Id="rIdlshweffm0g" Type="http://schemas.openxmlformats.org/officeDocument/2006/relationships/hyperlink" Target="https://www.vmware.com/resources/compatibility/search.php" TargetMode="External"/><Relationship Id="rIdxf05rfghrd" Type="http://schemas.openxmlformats.org/officeDocument/2006/relationships/hyperlink" Target="https://www.ibm.com/support/customer/csol/terms/" TargetMode="External"/><Relationship Id="rIdu1wznpj-mj" Type="http://schemas.openxmlformats.org/officeDocument/2006/relationships/hyperlink" Target="https://www-03.ibm.com/software/sla/sladb.nsf/sla/bm" TargetMode="External"/><Relationship Id="rIdyf8hbi6wmq" Type="http://schemas.openxmlformats.org/officeDocument/2006/relationships/hyperlink" Target="https://www.ibm.com/cloud/support" TargetMode="External"/><Relationship Id="rIdfutntuztqh" Type="http://schemas.openxmlformats.org/officeDocument/2006/relationships/hyperlink" Target="https://www.ibm.com/services/cloud/migration" TargetMode="External"/><Relationship Id="rIdm2fp-j0az7" Type="http://schemas.openxmlformats.org/officeDocument/2006/relationships/hyperlink" Target="https://www.ibm.com/cloud/vmware/appmod" TargetMode="External"/><Relationship Id="rIddemqbn-r6h" Type="http://schemas.openxmlformats.org/officeDocument/2006/relationships/hyperlink" Target="https://cloud.ibm.com/docs/services/vmwaresolutions?topic=vmware-solutions-vcs-openshift-intro" TargetMode="External"/><Relationship Id="rIdrwilfp-jz2" Type="http://schemas.openxmlformats.org/officeDocument/2006/relationships/hyperlink" Target="https://cloud.ibm.com/infrastructure/vmware-solutions/console" TargetMode="External"/><Relationship Id="rIdbt0w6lxcp_" Type="http://schemas.openxmlformats.org/officeDocument/2006/relationships/hyperlink" Target="https://cloud.ibm.com/infrastructure/vmware-solutions/console/gettingstarted/vcstria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31" Type="http://schemas.openxmlformats.org/officeDocument/2006/relationships/image" Target="media/a6q9tuqjnxq9eezi9araq5.png"/><Relationship Id="rId32" Type="http://schemas.openxmlformats.org/officeDocument/2006/relationships/image" Target="media/wqc7dzinuxmlfqq47sqr9.png"/><Relationship Id="rId33" Type="http://schemas.openxmlformats.org/officeDocument/2006/relationships/image" Target="media/yljjvsfijaehqzwrz5uzzc.png"/><Relationship Id="rId34" Type="http://schemas.openxmlformats.org/officeDocument/2006/relationships/image" Target="media/z2ikxzr68fnitmg7def8j.png"/><Relationship Id="rId35" Type="http://schemas.openxmlformats.org/officeDocument/2006/relationships/image" Target="media/kuqrjheg0toiuqwooxwpq.png"/><Relationship Id="rId36" Type="http://schemas.openxmlformats.org/officeDocument/2006/relationships/image" Target="media/aqy331urcujiwlwq2pbnjm.png"/><Relationship Id="rId37" Type="http://schemas.openxmlformats.org/officeDocument/2006/relationships/image" Target="media/pka6pbuykpeivdtezp84bg.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footer6.xml.rels><Relationships xmlns="http://schemas.openxmlformats.org/package/2006/relationships"/>
</file>

<file path=word/_rels/footer7.xml.rels><Relationships xmlns="http://schemas.openxmlformats.org/package/2006/relationships"/>
</file>

<file path=word/_rels/footer8.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zzv8x308z0d5dx5wtdcl7j.png"/></Relationships>
</file>

<file path=word/_rels/header2.xml.rels><Relationships xmlns="http://schemas.openxmlformats.org/package/2006/relationships"/>
</file>

<file path=word/_rels/header3.xml.rels><Relationships xmlns="http://schemas.openxmlformats.org/package/2006/relationships"/>
</file>

<file path=word/_rels/header4.xml.rels><Relationships xmlns="http://schemas.openxmlformats.org/package/2006/relationships"><Relationship Id="rId0" Type="http://schemas.openxmlformats.org/officeDocument/2006/relationships/image" Target="media/pt0chy228ra5f4xtocf176.png"/></Relationships>
</file>

<file path=word/_rels/header5.xml.rels><Relationships xmlns="http://schemas.openxmlformats.org/package/2006/relationships"/>
</file>

<file path=word/_rels/header6.xml.rels><Relationships xmlns="http://schemas.openxmlformats.org/package/2006/relationships"/>
</file>

<file path=word/_rels/header7.xml.rels><Relationships xmlns="http://schemas.openxmlformats.org/package/2006/relationships"><Relationship Id="rId0" Type="http://schemas.openxmlformats.org/officeDocument/2006/relationships/image" Target="media/pt0chy228ra5f4xtocf176.png"/></Relationships>
</file>

<file path=word/_rels/header8.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2025-10-08T18:31:24Z</dcterms:created>
  <dcterms:modified xsi:type="dcterms:W3CDTF">2025-10-08T18:31:24Z</dcterms:modified>
</cp:coreProperties>
</file>