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Incident Response Plan — Template</w:t>
      </w:r>
    </w:p>
    <w:p>
      <w:pPr>
        <w:jc w:val="left"/>
      </w:pPr>
      <w:r>
        <w:rPr>
          <w:sz w:val="22"/>
        </w:rPr>
        <w:t>Hudson Valley CISO • Updated August 14, 2025</w:t>
      </w:r>
    </w:p>
    <w:p>
      <w:r>
        <w:t>Purpose: Provide a concise, actionable playbook to triage, contain, and recover from security incidents. Adapt sections to your environment.</w:t>
      </w:r>
    </w:p>
    <w:p>
      <w:pPr>
        <w:pStyle w:val="Heading1"/>
      </w:pPr>
      <w:r>
        <w:t>1. Scope &amp; Definitions</w:t>
      </w:r>
    </w:p>
    <w:p>
      <w:r>
        <w:t>Define what constitutes a security incident, severity levels (SEV-1 to SEV-4), and systems in scope.</w:t>
      </w:r>
    </w:p>
    <w:p>
      <w:pPr>
        <w:pStyle w:val="Heading1"/>
      </w:pPr>
      <w:r>
        <w:t>2. Roles &amp; Responsibilities</w:t>
      </w:r>
    </w:p>
    <w:p>
      <w:r>
        <w:t>Assign an Incident Lead, Triage Engineer, Comms Lead, IT Ops, Legal/Privacy, HR, Executive Sponsor, and Third-Party contacts (MSSP, insurer). Maintain 24/7 contact info.</w:t>
      </w:r>
    </w:p>
    <w:p>
      <w:pPr>
        <w:pStyle w:val="Heading1"/>
      </w:pPr>
      <w:r>
        <w:t>3. Detection &amp; Triage</w:t>
      </w:r>
    </w:p>
    <w:p>
      <w:r>
        <w:t>Sources: EDR alerts, SIEM, email abuse reports, vendor notices. Triage: verify, classify severity, start incident log, preserve evidence.</w:t>
      </w:r>
    </w:p>
    <w:p>
      <w:pPr>
        <w:pStyle w:val="Heading1"/>
      </w:pPr>
      <w:r>
        <w:t>4. Containment, Eradication, Recovery</w:t>
      </w:r>
    </w:p>
    <w:p>
      <w:r>
        <w:t>Short-term containment (isolate hosts, disable accounts), long-term (block IOCs, reset tokens). Eradication (remove malware, patch). Recovery (rebuild, restore verified backups).</w:t>
      </w:r>
    </w:p>
    <w:p>
      <w:pPr>
        <w:pStyle w:val="Heading1"/>
      </w:pPr>
      <w:r>
        <w:t>5. Communications</w:t>
      </w:r>
    </w:p>
    <w:p>
      <w:r>
        <w:t>Internal updates cadence; single source of truth; external notifications to customers/regulators/insurer as required. Use approved templates and legal review.</w:t>
      </w:r>
    </w:p>
    <w:p>
      <w:pPr>
        <w:pStyle w:val="Heading1"/>
      </w:pPr>
      <w:r>
        <w:t>6. Evidence &amp; Forensics</w:t>
      </w:r>
    </w:p>
    <w:p>
      <w:r>
        <w:t>Time-sync systems; capture volatile data where appropriate; maintain chain of custody; retain logs and images per policy.</w:t>
      </w:r>
    </w:p>
    <w:p>
      <w:pPr>
        <w:pStyle w:val="Heading1"/>
      </w:pPr>
      <w:r>
        <w:t>7. Third Parties &amp; Law Enforcement</w:t>
      </w:r>
    </w:p>
    <w:p>
      <w:r>
        <w:t>When to engage vendors, outside counsel, insurer, or law enforcement. Include criteria and contacts.</w:t>
      </w:r>
    </w:p>
    <w:p>
      <w:pPr>
        <w:pStyle w:val="Heading1"/>
      </w:pPr>
      <w:r>
        <w:t>8. Post-Incident Review</w:t>
      </w:r>
    </w:p>
    <w:p>
      <w:r>
        <w:t>Within 10 business days: root cause, contributing factors, corrective actions, lessons learned, and metrics.</w:t>
      </w:r>
    </w:p>
    <w:p>
      <w:pPr>
        <w:pStyle w:val="Heading1"/>
      </w:pPr>
      <w:r>
        <w:t>Appendix A — Contact Roster (table)</w:t>
      </w:r>
    </w:p>
    <w:p>
      <w:r>
        <w:t>Role | Name | Primary | Backup | After-hours | Notes</w:t>
      </w:r>
    </w:p>
    <w:p>
      <w:pPr>
        <w:pStyle w:val="Heading1"/>
      </w:pPr>
      <w:r>
        <w:t>Appendix B — Notification Templates</w:t>
      </w:r>
    </w:p>
    <w:p>
      <w:r>
        <w:t>Internal alert, customer advisory, regulatory notice (as applicable).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